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F83EE" w14:textId="77777777" w:rsidR="00866EA8" w:rsidRPr="00866EA8" w:rsidRDefault="00866EA8" w:rsidP="00914946">
      <w:pPr>
        <w:tabs>
          <w:tab w:val="left" w:pos="8820"/>
        </w:tabs>
        <w:spacing w:line="240" w:lineRule="auto"/>
        <w:ind w:right="1020"/>
        <w:rPr>
          <w:sz w:val="2"/>
        </w:rPr>
        <w:sectPr w:rsidR="00866EA8" w:rsidRPr="00866EA8" w:rsidSect="00545C3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742" w:right="1200" w:bottom="1898" w:left="1200" w:header="0" w:footer="576" w:gutter="0"/>
          <w:pgNumType w:start="1"/>
          <w:cols w:space="720"/>
          <w:noEndnote/>
          <w:titlePg/>
          <w:docGrid w:linePitch="278"/>
        </w:sectPr>
      </w:pPr>
    </w:p>
    <w:p w14:paraId="40D1515E" w14:textId="77777777" w:rsidR="000600A4" w:rsidRPr="000600A4" w:rsidRDefault="000600A4" w:rsidP="000600A4">
      <w:pPr>
        <w:suppressAutoHyphens w:val="0"/>
        <w:spacing w:line="240" w:lineRule="auto"/>
        <w:rPr>
          <w:rFonts w:eastAsia="MS Mincho"/>
          <w:b/>
          <w:spacing w:val="0"/>
          <w:w w:val="100"/>
          <w:kern w:val="0"/>
          <w:lang w:eastAsia="ja-JP"/>
        </w:rPr>
      </w:pPr>
      <w:r w:rsidRPr="000600A4">
        <w:rPr>
          <w:rFonts w:eastAsia="MS Mincho"/>
          <w:b/>
          <w:spacing w:val="0"/>
          <w:w w:val="100"/>
          <w:kern w:val="0"/>
          <w:lang w:eastAsia="ja-JP"/>
        </w:rPr>
        <w:t>Second regular session 2021</w:t>
      </w:r>
    </w:p>
    <w:p w14:paraId="392B5C17" w14:textId="77777777" w:rsidR="000600A4" w:rsidRPr="000600A4" w:rsidRDefault="000600A4" w:rsidP="000600A4">
      <w:pPr>
        <w:tabs>
          <w:tab w:val="left" w:pos="1080"/>
        </w:tabs>
        <w:suppressAutoHyphens w:val="0"/>
        <w:spacing w:line="240" w:lineRule="auto"/>
        <w:jc w:val="both"/>
        <w:rPr>
          <w:rFonts w:eastAsia="MS Mincho"/>
          <w:spacing w:val="0"/>
          <w:w w:val="100"/>
          <w:kern w:val="0"/>
          <w:lang w:eastAsia="ja-JP"/>
        </w:rPr>
      </w:pPr>
      <w:r w:rsidRPr="000600A4">
        <w:rPr>
          <w:rFonts w:eastAsia="MS Mincho"/>
          <w:spacing w:val="0"/>
          <w:w w:val="100"/>
          <w:kern w:val="0"/>
          <w:lang w:eastAsia="ja-JP"/>
        </w:rPr>
        <w:t>30 August – 2 September, New York</w:t>
      </w:r>
    </w:p>
    <w:p w14:paraId="4F78A922" w14:textId="77777777" w:rsidR="000600A4" w:rsidRPr="000600A4" w:rsidRDefault="000600A4" w:rsidP="000600A4">
      <w:pPr>
        <w:tabs>
          <w:tab w:val="left" w:pos="1440"/>
          <w:tab w:val="left" w:pos="1800"/>
        </w:tabs>
        <w:suppressAutoHyphens w:val="0"/>
        <w:spacing w:line="240" w:lineRule="auto"/>
        <w:rPr>
          <w:rFonts w:eastAsia="MS Mincho"/>
          <w:spacing w:val="0"/>
          <w:w w:val="100"/>
          <w:kern w:val="0"/>
          <w:lang w:eastAsia="ja-JP"/>
        </w:rPr>
      </w:pPr>
      <w:r w:rsidRPr="000600A4">
        <w:rPr>
          <w:rFonts w:eastAsia="MS Mincho"/>
          <w:spacing w:val="0"/>
          <w:w w:val="100"/>
          <w:kern w:val="0"/>
          <w:lang w:eastAsia="ja-JP"/>
        </w:rPr>
        <w:t>Item 3 of the provisional agenda</w:t>
      </w:r>
    </w:p>
    <w:p w14:paraId="62FD61D4" w14:textId="77777777" w:rsidR="000600A4" w:rsidRPr="000600A4" w:rsidRDefault="000600A4" w:rsidP="000600A4">
      <w:pPr>
        <w:suppressAutoHyphens w:val="0"/>
        <w:spacing w:line="240" w:lineRule="auto"/>
        <w:rPr>
          <w:rFonts w:eastAsia="MS Mincho"/>
          <w:b/>
          <w:spacing w:val="0"/>
          <w:w w:val="100"/>
          <w:kern w:val="0"/>
          <w:lang w:eastAsia="ja-JP"/>
        </w:rPr>
      </w:pPr>
      <w:r w:rsidRPr="000600A4">
        <w:rPr>
          <w:rFonts w:eastAsia="MS Mincho"/>
          <w:b/>
          <w:spacing w:val="0"/>
          <w:w w:val="100"/>
          <w:kern w:val="0"/>
          <w:lang w:eastAsia="ja-JP"/>
        </w:rPr>
        <w:t>Financial, budgetary and administrative matters</w:t>
      </w:r>
    </w:p>
    <w:p w14:paraId="2D9EF21C" w14:textId="77777777" w:rsidR="000600A4" w:rsidRPr="000600A4" w:rsidRDefault="000600A4" w:rsidP="000600A4">
      <w:pPr>
        <w:suppressAutoHyphens w:val="0"/>
        <w:spacing w:line="240" w:lineRule="auto"/>
        <w:rPr>
          <w:rFonts w:eastAsia="MS Mincho"/>
          <w:b/>
          <w:spacing w:val="0"/>
          <w:w w:val="100"/>
          <w:kern w:val="0"/>
          <w:lang w:eastAsia="ja-JP"/>
        </w:rPr>
      </w:pPr>
    </w:p>
    <w:p w14:paraId="45BAEBD2" w14:textId="77777777" w:rsidR="000600A4" w:rsidRPr="000600A4" w:rsidRDefault="000600A4" w:rsidP="005B7702">
      <w:pPr>
        <w:tabs>
          <w:tab w:val="left" w:pos="1254"/>
        </w:tabs>
        <w:suppressAutoHyphens w:val="0"/>
        <w:spacing w:line="240" w:lineRule="auto"/>
        <w:ind w:right="1200"/>
        <w:jc w:val="both"/>
        <w:rPr>
          <w:rFonts w:eastAsia="MS Mincho"/>
          <w:b/>
          <w:spacing w:val="0"/>
          <w:w w:val="100"/>
          <w:kern w:val="0"/>
          <w:sz w:val="34"/>
          <w:szCs w:val="34"/>
          <w:lang w:eastAsia="ja-JP"/>
        </w:rPr>
      </w:pPr>
      <w:r w:rsidRPr="000600A4">
        <w:rPr>
          <w:rFonts w:eastAsia="MS Mincho"/>
          <w:b/>
          <w:spacing w:val="0"/>
          <w:w w:val="100"/>
          <w:kern w:val="0"/>
          <w:sz w:val="34"/>
          <w:szCs w:val="34"/>
          <w:lang w:eastAsia="ja-JP"/>
        </w:rPr>
        <w:t>UNDP integrated resources plan and integrated budget estimates, 2022-2025</w:t>
      </w:r>
    </w:p>
    <w:p w14:paraId="2EF5B45A" w14:textId="77777777" w:rsidR="000600A4" w:rsidRPr="000600A4" w:rsidRDefault="000600A4" w:rsidP="005B7702">
      <w:pPr>
        <w:tabs>
          <w:tab w:val="left" w:pos="1254"/>
        </w:tabs>
        <w:suppressAutoHyphens w:val="0"/>
        <w:spacing w:line="240" w:lineRule="auto"/>
        <w:ind w:left="90" w:right="1200"/>
        <w:jc w:val="both"/>
        <w:rPr>
          <w:rFonts w:eastAsia="MS Mincho"/>
          <w:spacing w:val="0"/>
          <w:w w:val="100"/>
          <w:kern w:val="0"/>
          <w:lang w:eastAsia="ja-JP"/>
        </w:rPr>
      </w:pPr>
    </w:p>
    <w:p w14:paraId="2314AB1A" w14:textId="77777777" w:rsidR="000600A4" w:rsidRPr="000600A4" w:rsidRDefault="000600A4" w:rsidP="005B7702">
      <w:pPr>
        <w:suppressAutoHyphens w:val="0"/>
        <w:spacing w:after="160" w:line="259" w:lineRule="auto"/>
        <w:ind w:right="1200"/>
        <w:jc w:val="both"/>
        <w:rPr>
          <w:rFonts w:eastAsia="MS Mincho"/>
          <w:b/>
          <w:bCs/>
          <w:spacing w:val="0"/>
          <w:w w:val="100"/>
          <w:kern w:val="0"/>
          <w:sz w:val="28"/>
          <w:szCs w:val="28"/>
          <w:lang w:eastAsia="ja-JP"/>
        </w:rPr>
      </w:pPr>
      <w:r w:rsidRPr="000600A4">
        <w:rPr>
          <w:rFonts w:eastAsia="MS Mincho"/>
          <w:b/>
          <w:bCs/>
          <w:spacing w:val="0"/>
          <w:w w:val="100"/>
          <w:kern w:val="0"/>
          <w:sz w:val="28"/>
          <w:szCs w:val="28"/>
          <w:lang w:eastAsia="ja-JP"/>
        </w:rPr>
        <w:t>Report of the Administrator</w:t>
      </w:r>
    </w:p>
    <w:p w14:paraId="70F74C33" w14:textId="39614B8B" w:rsidR="00ED5645" w:rsidRPr="00744DE7" w:rsidRDefault="00ED5645" w:rsidP="005B7702">
      <w:pPr>
        <w:pStyle w:val="HCh"/>
        <w:tabs>
          <w:tab w:val="clear" w:pos="1267"/>
          <w:tab w:val="clear" w:pos="1742"/>
          <w:tab w:val="clear" w:pos="2218"/>
          <w:tab w:val="left" w:pos="1296"/>
          <w:tab w:val="left" w:pos="8820"/>
        </w:tabs>
        <w:spacing w:line="240" w:lineRule="auto"/>
        <w:ind w:right="1200"/>
        <w:jc w:val="both"/>
        <w:rPr>
          <w:szCs w:val="28"/>
        </w:rPr>
      </w:pPr>
      <w:r w:rsidRPr="00744DE7">
        <w:rPr>
          <w:szCs w:val="28"/>
        </w:rPr>
        <w:t xml:space="preserve">Report of the Advisory Committee on Administrative and Budgetary Questions </w:t>
      </w:r>
    </w:p>
    <w:p w14:paraId="5A3333B1" w14:textId="77777777" w:rsidR="00ED5645" w:rsidRPr="00744DE7" w:rsidRDefault="00ED5645" w:rsidP="005B7702">
      <w:pPr>
        <w:pStyle w:val="SingleTxt"/>
        <w:tabs>
          <w:tab w:val="left" w:pos="8820"/>
        </w:tabs>
        <w:spacing w:after="0" w:line="240" w:lineRule="auto"/>
        <w:ind w:right="1200"/>
        <w:rPr>
          <w:sz w:val="28"/>
          <w:szCs w:val="28"/>
        </w:rPr>
      </w:pPr>
    </w:p>
    <w:p w14:paraId="7952EE2E" w14:textId="77777777" w:rsidR="00ED5645" w:rsidRDefault="00ED5645" w:rsidP="00914946">
      <w:pPr>
        <w:pStyle w:val="SingleTxt"/>
        <w:tabs>
          <w:tab w:val="left" w:pos="8820"/>
        </w:tabs>
        <w:spacing w:after="0" w:line="240" w:lineRule="auto"/>
        <w:ind w:right="1020"/>
        <w:rPr>
          <w:sz w:val="10"/>
        </w:rPr>
      </w:pPr>
    </w:p>
    <w:p w14:paraId="2E44353B" w14:textId="3DD24092" w:rsidR="007724DC" w:rsidRPr="003C21CC" w:rsidRDefault="007724DC" w:rsidP="00D73A5D">
      <w:pPr>
        <w:tabs>
          <w:tab w:val="left" w:pos="1620"/>
          <w:tab w:val="left" w:pos="8820"/>
        </w:tabs>
        <w:suppressAutoHyphens w:val="0"/>
        <w:spacing w:line="240" w:lineRule="auto"/>
        <w:ind w:left="1260" w:right="1200" w:hanging="360"/>
        <w:jc w:val="both"/>
        <w:rPr>
          <w:b/>
          <w:bCs/>
          <w:sz w:val="24"/>
          <w:szCs w:val="24"/>
        </w:rPr>
      </w:pPr>
      <w:r w:rsidRPr="00744DE7">
        <w:rPr>
          <w:b/>
          <w:bCs/>
          <w:sz w:val="28"/>
          <w:szCs w:val="28"/>
        </w:rPr>
        <w:t>I.</w:t>
      </w:r>
      <w:r w:rsidRPr="00744DE7">
        <w:rPr>
          <w:sz w:val="28"/>
          <w:szCs w:val="28"/>
        </w:rPr>
        <w:tab/>
      </w:r>
      <w:r w:rsidRPr="00744DE7">
        <w:rPr>
          <w:b/>
          <w:bCs/>
          <w:sz w:val="28"/>
          <w:szCs w:val="28"/>
        </w:rPr>
        <w:t>Introduction</w:t>
      </w:r>
    </w:p>
    <w:p w14:paraId="23364330" w14:textId="053A57AC" w:rsidR="786D7A7B" w:rsidRPr="008E64F8" w:rsidRDefault="786D7A7B" w:rsidP="008E64F8">
      <w:pPr>
        <w:tabs>
          <w:tab w:val="left" w:pos="1620"/>
          <w:tab w:val="left" w:pos="8820"/>
        </w:tabs>
        <w:spacing w:line="240" w:lineRule="auto"/>
        <w:ind w:left="1260" w:right="1200"/>
        <w:jc w:val="both"/>
        <w:rPr>
          <w:b/>
          <w:bCs/>
        </w:rPr>
      </w:pPr>
    </w:p>
    <w:p w14:paraId="02C75A82" w14:textId="5D47A624" w:rsidR="5EE69862" w:rsidRPr="008E64F8" w:rsidRDefault="5EE69862" w:rsidP="008E64F8">
      <w:pPr>
        <w:tabs>
          <w:tab w:val="left" w:pos="1620"/>
          <w:tab w:val="left" w:pos="8820"/>
        </w:tabs>
        <w:spacing w:line="240" w:lineRule="auto"/>
        <w:ind w:left="1260" w:right="1200"/>
        <w:jc w:val="both"/>
        <w:rPr>
          <w:rFonts w:eastAsia="Times New Roman"/>
          <w:lang w:val="en-US"/>
        </w:rPr>
      </w:pPr>
      <w:r w:rsidRPr="008E64F8">
        <w:rPr>
          <w:lang w:val="en-US"/>
        </w:rPr>
        <w:t>1.</w:t>
      </w:r>
      <w:r w:rsidRPr="008E64F8">
        <w:tab/>
      </w:r>
      <w:r w:rsidR="009942EA" w:rsidRPr="008E64F8">
        <w:rPr>
          <w:lang w:val="en-US"/>
        </w:rPr>
        <w:t xml:space="preserve">The Advisory Committee on Administrative and Budgetary Questions has considered the report on the </w:t>
      </w:r>
      <w:r w:rsidR="008E49E5" w:rsidRPr="008E64F8">
        <w:rPr>
          <w:lang w:val="en-US"/>
        </w:rPr>
        <w:t>i</w:t>
      </w:r>
      <w:r w:rsidR="009942EA" w:rsidRPr="008E64F8">
        <w:rPr>
          <w:lang w:val="en-US"/>
        </w:rPr>
        <w:t xml:space="preserve">ntegrated </w:t>
      </w:r>
      <w:r w:rsidR="008E49E5" w:rsidRPr="008E64F8">
        <w:rPr>
          <w:lang w:val="en-US"/>
        </w:rPr>
        <w:t>r</w:t>
      </w:r>
      <w:r w:rsidR="009942EA" w:rsidRPr="008E64F8">
        <w:rPr>
          <w:lang w:val="en-US"/>
        </w:rPr>
        <w:t xml:space="preserve">esources </w:t>
      </w:r>
      <w:r w:rsidR="008E49E5" w:rsidRPr="008E64F8">
        <w:rPr>
          <w:lang w:val="en-US"/>
        </w:rPr>
        <w:t>plan</w:t>
      </w:r>
      <w:r w:rsidR="009942EA" w:rsidRPr="008E64F8">
        <w:rPr>
          <w:lang w:val="en-US"/>
        </w:rPr>
        <w:t xml:space="preserve"> and </w:t>
      </w:r>
      <w:r w:rsidR="008E49E5" w:rsidRPr="008E64F8">
        <w:rPr>
          <w:lang w:val="en-US"/>
        </w:rPr>
        <w:t>i</w:t>
      </w:r>
      <w:r w:rsidR="009942EA" w:rsidRPr="008E64F8">
        <w:rPr>
          <w:lang w:val="en-US"/>
        </w:rPr>
        <w:t xml:space="preserve">ntegrated </w:t>
      </w:r>
      <w:r w:rsidR="008E49E5" w:rsidRPr="008E64F8">
        <w:rPr>
          <w:lang w:val="en-US"/>
        </w:rPr>
        <w:t>b</w:t>
      </w:r>
      <w:r w:rsidR="009942EA" w:rsidRPr="008E64F8">
        <w:rPr>
          <w:lang w:val="en-US"/>
        </w:rPr>
        <w:t>udget estimates</w:t>
      </w:r>
      <w:r w:rsidR="008E49E5" w:rsidRPr="008E64F8">
        <w:rPr>
          <w:lang w:val="en-US"/>
        </w:rPr>
        <w:t>,</w:t>
      </w:r>
      <w:r w:rsidR="009942EA" w:rsidRPr="008E64F8">
        <w:rPr>
          <w:lang w:val="en-US"/>
        </w:rPr>
        <w:t xml:space="preserve"> 20</w:t>
      </w:r>
      <w:r w:rsidR="2FB6DC7C" w:rsidRPr="008E64F8">
        <w:rPr>
          <w:lang w:val="en-US"/>
        </w:rPr>
        <w:t>22</w:t>
      </w:r>
      <w:r w:rsidR="00B441A1" w:rsidRPr="008E64F8">
        <w:t>–</w:t>
      </w:r>
      <w:r w:rsidR="009942EA" w:rsidRPr="008E64F8">
        <w:rPr>
          <w:lang w:val="en-US"/>
        </w:rPr>
        <w:t>202</w:t>
      </w:r>
      <w:r w:rsidR="02EC655E" w:rsidRPr="008E64F8">
        <w:rPr>
          <w:lang w:val="en-US"/>
        </w:rPr>
        <w:t>5</w:t>
      </w:r>
      <w:r w:rsidR="009942EA" w:rsidRPr="008E64F8">
        <w:rPr>
          <w:lang w:val="en-US"/>
        </w:rPr>
        <w:t xml:space="preserve"> </w:t>
      </w:r>
      <w:r w:rsidR="008E49E5" w:rsidRPr="008E64F8">
        <w:rPr>
          <w:lang w:val="en-US"/>
        </w:rPr>
        <w:t>(</w:t>
      </w:r>
      <w:hyperlink r:id="rId17" w:history="1">
        <w:r w:rsidR="008E49E5" w:rsidRPr="00635535">
          <w:rPr>
            <w:rStyle w:val="Hyperlink"/>
            <w:lang w:val="en-US"/>
          </w:rPr>
          <w:t>DP/20</w:t>
        </w:r>
        <w:r w:rsidR="115E4DF7" w:rsidRPr="00635535">
          <w:rPr>
            <w:rStyle w:val="Hyperlink"/>
            <w:lang w:val="en-US"/>
          </w:rPr>
          <w:t>21/29</w:t>
        </w:r>
      </w:hyperlink>
      <w:r w:rsidR="008E49E5" w:rsidRPr="008E64F8">
        <w:rPr>
          <w:lang w:val="en-US"/>
        </w:rPr>
        <w:t xml:space="preserve">) </w:t>
      </w:r>
      <w:r w:rsidR="009942EA" w:rsidRPr="008E64F8">
        <w:rPr>
          <w:lang w:val="en-US"/>
        </w:rPr>
        <w:t xml:space="preserve">for </w:t>
      </w:r>
      <w:r w:rsidR="271E429D" w:rsidRPr="008E64F8">
        <w:rPr>
          <w:lang w:val="en-US"/>
        </w:rPr>
        <w:t>the United Nations Development Programme</w:t>
      </w:r>
      <w:r w:rsidR="2F2870EB" w:rsidRPr="008E64F8">
        <w:rPr>
          <w:lang w:val="en-US"/>
        </w:rPr>
        <w:t xml:space="preserve"> (UNDP)</w:t>
      </w:r>
      <w:r w:rsidR="009942EA" w:rsidRPr="008E64F8">
        <w:rPr>
          <w:lang w:val="en-US"/>
        </w:rPr>
        <w:t xml:space="preserve">. </w:t>
      </w:r>
      <w:r w:rsidR="0F8D8137" w:rsidRPr="008E64F8">
        <w:rPr>
          <w:rFonts w:eastAsia="Times New Roman"/>
          <w:color w:val="000000" w:themeColor="text1"/>
          <w:lang w:val="en-US"/>
        </w:rPr>
        <w:t xml:space="preserve">During its consideration of the report, the Committee was provided with additional information and clarifications, concluding with written responses dated </w:t>
      </w:r>
      <w:r w:rsidR="23BA9C9D" w:rsidRPr="008E64F8">
        <w:rPr>
          <w:rFonts w:eastAsia="Times New Roman"/>
          <w:color w:val="000000" w:themeColor="text1"/>
          <w:lang w:val="en-US"/>
        </w:rPr>
        <w:t xml:space="preserve">16 </w:t>
      </w:r>
      <w:r w:rsidR="0F8D8137" w:rsidRPr="008E64F8">
        <w:rPr>
          <w:rFonts w:eastAsia="Times New Roman"/>
          <w:color w:val="000000" w:themeColor="text1"/>
          <w:lang w:val="en-US"/>
        </w:rPr>
        <w:t>July 2021.</w:t>
      </w:r>
    </w:p>
    <w:p w14:paraId="35D22495" w14:textId="6FAA4B87" w:rsidR="786D7A7B" w:rsidRPr="005B7702" w:rsidRDefault="786D7A7B" w:rsidP="005B7702">
      <w:pPr>
        <w:tabs>
          <w:tab w:val="left" w:pos="1620"/>
          <w:tab w:val="left" w:pos="8820"/>
        </w:tabs>
        <w:spacing w:line="240" w:lineRule="auto"/>
        <w:ind w:left="1260" w:right="1200"/>
        <w:jc w:val="both"/>
        <w:rPr>
          <w:lang w:val="en-US"/>
        </w:rPr>
      </w:pPr>
    </w:p>
    <w:p w14:paraId="6E0BE4DF" w14:textId="520F68AA" w:rsidR="009942EA" w:rsidRPr="00744DE7" w:rsidRDefault="009942EA" w:rsidP="00D73A5D">
      <w:pPr>
        <w:tabs>
          <w:tab w:val="left" w:pos="1620"/>
        </w:tabs>
        <w:suppressAutoHyphens w:val="0"/>
        <w:spacing w:after="120" w:line="240" w:lineRule="auto"/>
        <w:ind w:left="1260" w:right="1200" w:hanging="450"/>
        <w:jc w:val="both"/>
        <w:rPr>
          <w:b/>
          <w:bCs/>
          <w:sz w:val="28"/>
          <w:szCs w:val="28"/>
          <w:lang w:val="en-US"/>
        </w:rPr>
      </w:pPr>
      <w:r w:rsidRPr="00744DE7">
        <w:rPr>
          <w:b/>
          <w:bCs/>
          <w:sz w:val="28"/>
          <w:szCs w:val="28"/>
          <w:lang w:val="en-US"/>
        </w:rPr>
        <w:t>II.</w:t>
      </w:r>
      <w:r w:rsidR="005851B4">
        <w:rPr>
          <w:sz w:val="28"/>
          <w:szCs w:val="28"/>
        </w:rPr>
        <w:tab/>
      </w:r>
      <w:r w:rsidRPr="00744DE7">
        <w:rPr>
          <w:b/>
          <w:bCs/>
          <w:sz w:val="28"/>
          <w:szCs w:val="28"/>
          <w:lang w:val="en-US"/>
        </w:rPr>
        <w:t xml:space="preserve">Integrated </w:t>
      </w:r>
      <w:r w:rsidR="00880507" w:rsidRPr="00744DE7">
        <w:rPr>
          <w:b/>
          <w:bCs/>
          <w:sz w:val="28"/>
          <w:szCs w:val="28"/>
          <w:lang w:val="en-US"/>
        </w:rPr>
        <w:t>r</w:t>
      </w:r>
      <w:r w:rsidRPr="00744DE7">
        <w:rPr>
          <w:b/>
          <w:bCs/>
          <w:sz w:val="28"/>
          <w:szCs w:val="28"/>
          <w:lang w:val="en-US"/>
        </w:rPr>
        <w:t xml:space="preserve">esources </w:t>
      </w:r>
      <w:r w:rsidR="00880507" w:rsidRPr="00744DE7">
        <w:rPr>
          <w:b/>
          <w:bCs/>
          <w:sz w:val="28"/>
          <w:szCs w:val="28"/>
          <w:lang w:val="en-US"/>
        </w:rPr>
        <w:t>p</w:t>
      </w:r>
      <w:r w:rsidRPr="00744DE7">
        <w:rPr>
          <w:b/>
          <w:bCs/>
          <w:sz w:val="28"/>
          <w:szCs w:val="28"/>
          <w:lang w:val="en-US"/>
        </w:rPr>
        <w:t>lan</w:t>
      </w:r>
    </w:p>
    <w:p w14:paraId="10F4131A" w14:textId="0DEBFC1B" w:rsidR="00AD3388" w:rsidRPr="008E64F8" w:rsidRDefault="2941240C" w:rsidP="008E64F8">
      <w:pPr>
        <w:tabs>
          <w:tab w:val="left" w:pos="1620"/>
          <w:tab w:val="left" w:pos="8820"/>
        </w:tabs>
        <w:spacing w:line="240" w:lineRule="auto"/>
        <w:ind w:left="1260" w:right="1200"/>
        <w:jc w:val="both"/>
        <w:rPr>
          <w:b/>
          <w:bCs/>
          <w:lang w:val="en-US"/>
        </w:rPr>
      </w:pPr>
      <w:r w:rsidRPr="008E64F8">
        <w:rPr>
          <w:b/>
          <w:bCs/>
          <w:lang w:val="en-US"/>
        </w:rPr>
        <w:t>Table 1</w:t>
      </w:r>
    </w:p>
    <w:p w14:paraId="0B6BBC11" w14:textId="47350807" w:rsidR="4C70DF5F" w:rsidRPr="008E64F8" w:rsidRDefault="4C70DF5F" w:rsidP="008E64F8">
      <w:pPr>
        <w:tabs>
          <w:tab w:val="left" w:pos="1620"/>
          <w:tab w:val="left" w:pos="8820"/>
        </w:tabs>
        <w:spacing w:line="240" w:lineRule="auto"/>
        <w:ind w:left="1260" w:right="1200"/>
        <w:jc w:val="both"/>
        <w:rPr>
          <w:b/>
          <w:bCs/>
          <w:lang w:val="en-US"/>
        </w:rPr>
      </w:pPr>
      <w:r w:rsidRPr="008E64F8">
        <w:rPr>
          <w:b/>
          <w:bCs/>
          <w:lang w:val="en-US"/>
        </w:rPr>
        <w:t>Integrated resources plan</w:t>
      </w:r>
    </w:p>
    <w:p w14:paraId="5FD9CB64" w14:textId="6813BDC6" w:rsidR="4C70DF5F" w:rsidRPr="008E64F8" w:rsidRDefault="4C70DF5F" w:rsidP="008E64F8">
      <w:pPr>
        <w:tabs>
          <w:tab w:val="left" w:pos="1620"/>
          <w:tab w:val="left" w:pos="8820"/>
        </w:tabs>
        <w:spacing w:line="240" w:lineRule="auto"/>
        <w:ind w:left="1260" w:right="1200"/>
        <w:jc w:val="both"/>
        <w:rPr>
          <w:i/>
          <w:iCs/>
          <w:lang w:val="en-US"/>
        </w:rPr>
      </w:pPr>
      <w:r w:rsidRPr="008E64F8">
        <w:rPr>
          <w:i/>
          <w:iCs/>
          <w:lang w:val="en-US"/>
        </w:rPr>
        <w:t>(</w:t>
      </w:r>
      <w:r w:rsidR="00635535">
        <w:rPr>
          <w:i/>
          <w:iCs/>
          <w:lang w:val="en-US"/>
        </w:rPr>
        <w:t xml:space="preserve">In </w:t>
      </w:r>
      <w:r w:rsidRPr="008E64F8">
        <w:rPr>
          <w:i/>
          <w:iCs/>
          <w:lang w:val="en-US"/>
        </w:rPr>
        <w:t xml:space="preserve">thousands </w:t>
      </w:r>
      <w:r w:rsidR="00E91278" w:rsidRPr="008E64F8">
        <w:rPr>
          <w:i/>
          <w:iCs/>
          <w:lang w:val="en-US"/>
        </w:rPr>
        <w:t>o</w:t>
      </w:r>
      <w:r w:rsidRPr="008E64F8">
        <w:rPr>
          <w:i/>
          <w:iCs/>
          <w:lang w:val="en-US"/>
        </w:rPr>
        <w:t>f U</w:t>
      </w:r>
      <w:r w:rsidR="00635535">
        <w:rPr>
          <w:i/>
          <w:iCs/>
          <w:lang w:val="en-US"/>
        </w:rPr>
        <w:t xml:space="preserve">nited </w:t>
      </w:r>
      <w:r w:rsidRPr="008E64F8">
        <w:rPr>
          <w:i/>
          <w:iCs/>
          <w:lang w:val="en-US"/>
        </w:rPr>
        <w:t>S</w:t>
      </w:r>
      <w:r w:rsidR="00635535">
        <w:rPr>
          <w:i/>
          <w:iCs/>
          <w:lang w:val="en-US"/>
        </w:rPr>
        <w:t>tates</w:t>
      </w:r>
      <w:r w:rsidRPr="008E64F8">
        <w:rPr>
          <w:i/>
          <w:iCs/>
          <w:lang w:val="en-US"/>
        </w:rPr>
        <w:t xml:space="preserve"> dollars)</w:t>
      </w:r>
    </w:p>
    <w:tbl>
      <w:tblPr>
        <w:tblStyle w:val="TableGrid"/>
        <w:tblW w:w="0" w:type="auto"/>
        <w:tblInd w:w="-810" w:type="dxa"/>
        <w:tblLayout w:type="fixed"/>
        <w:tblLook w:val="06A0" w:firstRow="1" w:lastRow="0" w:firstColumn="1" w:lastColumn="0" w:noHBand="1" w:noVBand="1"/>
      </w:tblPr>
      <w:tblGrid>
        <w:gridCol w:w="1080"/>
        <w:gridCol w:w="1376"/>
        <w:gridCol w:w="1235"/>
        <w:gridCol w:w="1248"/>
        <w:gridCol w:w="1014"/>
        <w:gridCol w:w="1053"/>
        <w:gridCol w:w="1404"/>
        <w:gridCol w:w="1670"/>
      </w:tblGrid>
      <w:tr w:rsidR="1736BDDC" w14:paraId="5907469A" w14:textId="77777777" w:rsidTr="002A2C54">
        <w:trPr>
          <w:trHeight w:val="1371"/>
        </w:trPr>
        <w:tc>
          <w:tcPr>
            <w:tcW w:w="1080" w:type="dxa"/>
            <w:vMerge w:val="restart"/>
            <w:tcBorders>
              <w:top w:val="nil"/>
              <w:left w:val="nil"/>
            </w:tcBorders>
          </w:tcPr>
          <w:p w14:paraId="10D5E147" w14:textId="77777777" w:rsidR="1736BDDC" w:rsidRDefault="1736BDDC" w:rsidP="00914946">
            <w:pPr>
              <w:spacing w:line="240" w:lineRule="auto"/>
              <w:rPr>
                <w:b/>
                <w:bCs/>
                <w:sz w:val="16"/>
                <w:szCs w:val="16"/>
                <w:lang w:val="en-US"/>
              </w:rPr>
            </w:pPr>
          </w:p>
          <w:p w14:paraId="67A32B71" w14:textId="77777777" w:rsidR="00180C48" w:rsidRDefault="00180C48" w:rsidP="00914946">
            <w:pPr>
              <w:spacing w:line="240" w:lineRule="auto"/>
              <w:rPr>
                <w:b/>
                <w:bCs/>
                <w:sz w:val="16"/>
                <w:szCs w:val="16"/>
                <w:lang w:val="en-US"/>
              </w:rPr>
            </w:pPr>
          </w:p>
          <w:p w14:paraId="2AF5ACEE" w14:textId="78301504" w:rsidR="00180C48" w:rsidRPr="00180C48" w:rsidRDefault="00180C48" w:rsidP="00914946">
            <w:pPr>
              <w:spacing w:line="240" w:lineRule="auto"/>
              <w:rPr>
                <w:sz w:val="16"/>
                <w:szCs w:val="16"/>
                <w:lang w:val="en-US"/>
              </w:rPr>
            </w:pPr>
          </w:p>
        </w:tc>
        <w:tc>
          <w:tcPr>
            <w:tcW w:w="1376" w:type="dxa"/>
          </w:tcPr>
          <w:p w14:paraId="33981501" w14:textId="17B2255B" w:rsidR="1736BDDC" w:rsidRDefault="1736BDDC" w:rsidP="00914946">
            <w:pPr>
              <w:spacing w:line="240" w:lineRule="auto"/>
              <w:rPr>
                <w:b/>
                <w:bCs/>
                <w:sz w:val="16"/>
                <w:szCs w:val="16"/>
                <w:lang w:val="en-US"/>
              </w:rPr>
            </w:pPr>
          </w:p>
        </w:tc>
        <w:tc>
          <w:tcPr>
            <w:tcW w:w="1235" w:type="dxa"/>
          </w:tcPr>
          <w:p w14:paraId="67DADF57" w14:textId="78611AFF" w:rsidR="1736BDDC" w:rsidRDefault="1736BDDC" w:rsidP="00914946">
            <w:pPr>
              <w:spacing w:line="240" w:lineRule="auto"/>
              <w:rPr>
                <w:b/>
                <w:bCs/>
                <w:sz w:val="16"/>
                <w:szCs w:val="16"/>
                <w:lang w:val="en-US"/>
              </w:rPr>
            </w:pPr>
          </w:p>
          <w:p w14:paraId="764444AC" w14:textId="3D34DEA7" w:rsidR="1736BDDC" w:rsidRDefault="1736BDDC" w:rsidP="00914946">
            <w:pPr>
              <w:spacing w:line="240" w:lineRule="auto"/>
              <w:rPr>
                <w:b/>
                <w:bCs/>
                <w:sz w:val="16"/>
                <w:szCs w:val="16"/>
                <w:lang w:val="en-US"/>
              </w:rPr>
            </w:pPr>
          </w:p>
          <w:p w14:paraId="0B990895" w14:textId="42BC9824" w:rsidR="1736BDDC" w:rsidRDefault="1736BDDC" w:rsidP="00914946">
            <w:pPr>
              <w:spacing w:line="240" w:lineRule="auto"/>
              <w:rPr>
                <w:b/>
                <w:bCs/>
                <w:sz w:val="16"/>
                <w:szCs w:val="16"/>
                <w:lang w:val="en-US"/>
              </w:rPr>
            </w:pPr>
          </w:p>
          <w:p w14:paraId="6EB11122" w14:textId="7222E10D" w:rsidR="4C70DF5F" w:rsidRDefault="4C70DF5F" w:rsidP="00914946">
            <w:pPr>
              <w:spacing w:line="240" w:lineRule="auto"/>
              <w:rPr>
                <w:b/>
                <w:bCs/>
                <w:sz w:val="16"/>
                <w:szCs w:val="16"/>
                <w:lang w:val="en-US"/>
              </w:rPr>
            </w:pPr>
            <w:r w:rsidRPr="1736BDDC">
              <w:rPr>
                <w:b/>
                <w:bCs/>
                <w:sz w:val="16"/>
                <w:szCs w:val="16"/>
                <w:lang w:val="en-US"/>
              </w:rPr>
              <w:t xml:space="preserve">2018-2021  </w:t>
            </w:r>
          </w:p>
          <w:p w14:paraId="0A15ED31" w14:textId="5D7E39AA" w:rsidR="4C70DF5F" w:rsidRDefault="4C70DF5F" w:rsidP="00914946">
            <w:pPr>
              <w:spacing w:line="240" w:lineRule="auto"/>
              <w:rPr>
                <w:b/>
                <w:bCs/>
                <w:sz w:val="16"/>
                <w:szCs w:val="16"/>
                <w:lang w:val="en-US"/>
              </w:rPr>
            </w:pPr>
            <w:r w:rsidRPr="1736BDDC">
              <w:rPr>
                <w:b/>
                <w:bCs/>
                <w:sz w:val="16"/>
                <w:szCs w:val="16"/>
                <w:lang w:val="en-US"/>
              </w:rPr>
              <w:t>initial estimate</w:t>
            </w:r>
          </w:p>
        </w:tc>
        <w:tc>
          <w:tcPr>
            <w:tcW w:w="1248" w:type="dxa"/>
          </w:tcPr>
          <w:p w14:paraId="3D059EF5" w14:textId="6798BB12" w:rsidR="1736BDDC" w:rsidRDefault="1736BDDC" w:rsidP="00914946">
            <w:pPr>
              <w:spacing w:line="240" w:lineRule="auto"/>
              <w:rPr>
                <w:b/>
                <w:bCs/>
                <w:sz w:val="16"/>
                <w:szCs w:val="16"/>
                <w:lang w:val="en-US"/>
              </w:rPr>
            </w:pPr>
          </w:p>
          <w:p w14:paraId="674B19D9" w14:textId="234958E4" w:rsidR="33D81CF4" w:rsidRDefault="33D81CF4" w:rsidP="00914946">
            <w:pPr>
              <w:spacing w:line="240" w:lineRule="auto"/>
              <w:rPr>
                <w:b/>
                <w:bCs/>
                <w:sz w:val="16"/>
                <w:szCs w:val="16"/>
                <w:lang w:val="en-US"/>
              </w:rPr>
            </w:pPr>
            <w:r w:rsidRPr="1736BDDC">
              <w:rPr>
                <w:b/>
                <w:bCs/>
                <w:sz w:val="16"/>
                <w:szCs w:val="16"/>
                <w:lang w:val="en-US"/>
              </w:rPr>
              <w:t>2018-2021</w:t>
            </w:r>
            <w:r w:rsidR="12BF72E3" w:rsidRPr="1736BDDC">
              <w:rPr>
                <w:b/>
                <w:bCs/>
                <w:sz w:val="16"/>
                <w:szCs w:val="16"/>
                <w:lang w:val="en-US"/>
              </w:rPr>
              <w:t xml:space="preserve"> updated</w:t>
            </w:r>
            <w:r w:rsidRPr="1736BDDC">
              <w:rPr>
                <w:b/>
                <w:bCs/>
                <w:sz w:val="16"/>
                <w:szCs w:val="16"/>
                <w:lang w:val="en-US"/>
              </w:rPr>
              <w:t xml:space="preserve"> estimates as at </w:t>
            </w:r>
            <w:r w:rsidR="0052412E">
              <w:rPr>
                <w:b/>
                <w:bCs/>
                <w:sz w:val="16"/>
                <w:szCs w:val="16"/>
                <w:lang w:val="en-US"/>
              </w:rPr>
              <w:t>30 June</w:t>
            </w:r>
            <w:r w:rsidRPr="1736BDDC">
              <w:rPr>
                <w:b/>
                <w:bCs/>
                <w:sz w:val="16"/>
                <w:szCs w:val="16"/>
                <w:lang w:val="en-US"/>
              </w:rPr>
              <w:t xml:space="preserve"> 2021  </w:t>
            </w:r>
          </w:p>
        </w:tc>
        <w:tc>
          <w:tcPr>
            <w:tcW w:w="1014" w:type="dxa"/>
          </w:tcPr>
          <w:p w14:paraId="655331D3" w14:textId="28A0B754" w:rsidR="1736BDDC" w:rsidRDefault="1736BDDC" w:rsidP="00914946">
            <w:pPr>
              <w:spacing w:line="240" w:lineRule="auto"/>
              <w:rPr>
                <w:b/>
                <w:bCs/>
                <w:sz w:val="16"/>
                <w:szCs w:val="16"/>
                <w:lang w:val="en-US"/>
              </w:rPr>
            </w:pPr>
          </w:p>
          <w:p w14:paraId="1E1C503A" w14:textId="5698B6BE" w:rsidR="1736BDDC" w:rsidRDefault="1736BDDC" w:rsidP="00914946">
            <w:pPr>
              <w:spacing w:line="240" w:lineRule="auto"/>
              <w:rPr>
                <w:b/>
                <w:bCs/>
                <w:sz w:val="16"/>
                <w:szCs w:val="16"/>
                <w:lang w:val="en-US"/>
              </w:rPr>
            </w:pPr>
          </w:p>
          <w:p w14:paraId="7305AD2B" w14:textId="0026E1AB" w:rsidR="1736BDDC" w:rsidRDefault="1736BDDC" w:rsidP="00914946">
            <w:pPr>
              <w:spacing w:line="240" w:lineRule="auto"/>
              <w:rPr>
                <w:b/>
                <w:bCs/>
                <w:sz w:val="16"/>
                <w:szCs w:val="16"/>
                <w:lang w:val="en-US"/>
              </w:rPr>
            </w:pPr>
          </w:p>
          <w:p w14:paraId="6E1A86A8" w14:textId="2D28CA8B" w:rsidR="1736BDDC" w:rsidRDefault="1736BDDC" w:rsidP="00914946">
            <w:pPr>
              <w:spacing w:line="240" w:lineRule="auto"/>
              <w:rPr>
                <w:b/>
                <w:bCs/>
                <w:sz w:val="16"/>
                <w:szCs w:val="16"/>
                <w:lang w:val="en-US"/>
              </w:rPr>
            </w:pPr>
          </w:p>
          <w:p w14:paraId="2C788BF7" w14:textId="6049AE97" w:rsidR="1736BDDC" w:rsidRDefault="1736BDDC" w:rsidP="00914946">
            <w:pPr>
              <w:spacing w:line="240" w:lineRule="auto"/>
              <w:rPr>
                <w:b/>
                <w:bCs/>
                <w:sz w:val="16"/>
                <w:szCs w:val="16"/>
                <w:lang w:val="en-US"/>
              </w:rPr>
            </w:pPr>
          </w:p>
          <w:p w14:paraId="7A74B976" w14:textId="0F1C0CBE" w:rsidR="5DB8B3A4" w:rsidRDefault="5DB8B3A4" w:rsidP="00914946">
            <w:pPr>
              <w:spacing w:line="240" w:lineRule="auto"/>
              <w:rPr>
                <w:b/>
                <w:bCs/>
                <w:sz w:val="16"/>
                <w:szCs w:val="16"/>
                <w:lang w:val="en-US"/>
              </w:rPr>
            </w:pPr>
            <w:r w:rsidRPr="1736BDDC">
              <w:rPr>
                <w:b/>
                <w:bCs/>
                <w:sz w:val="16"/>
                <w:szCs w:val="16"/>
                <w:lang w:val="en-US"/>
              </w:rPr>
              <w:t>Variance</w:t>
            </w:r>
          </w:p>
        </w:tc>
        <w:tc>
          <w:tcPr>
            <w:tcW w:w="1053" w:type="dxa"/>
          </w:tcPr>
          <w:p w14:paraId="27F59409" w14:textId="5671DD37" w:rsidR="1736BDDC" w:rsidRDefault="1736BDDC" w:rsidP="00914946">
            <w:pPr>
              <w:spacing w:line="240" w:lineRule="auto"/>
              <w:rPr>
                <w:b/>
                <w:bCs/>
                <w:sz w:val="16"/>
                <w:szCs w:val="16"/>
                <w:lang w:val="en-US"/>
              </w:rPr>
            </w:pPr>
          </w:p>
          <w:p w14:paraId="5A7EF3D7" w14:textId="3E97B96B" w:rsidR="1736BDDC" w:rsidRDefault="1736BDDC" w:rsidP="00914946">
            <w:pPr>
              <w:spacing w:line="240" w:lineRule="auto"/>
              <w:rPr>
                <w:b/>
                <w:bCs/>
                <w:sz w:val="16"/>
                <w:szCs w:val="16"/>
                <w:lang w:val="en-US"/>
              </w:rPr>
            </w:pPr>
          </w:p>
          <w:p w14:paraId="3EAA4F5B" w14:textId="77777777" w:rsidR="002A2C54" w:rsidRDefault="002A2C54" w:rsidP="00914946">
            <w:pPr>
              <w:spacing w:line="240" w:lineRule="auto"/>
              <w:rPr>
                <w:b/>
                <w:bCs/>
                <w:sz w:val="16"/>
                <w:szCs w:val="16"/>
                <w:lang w:val="en-US"/>
              </w:rPr>
            </w:pPr>
          </w:p>
          <w:p w14:paraId="42BA424E" w14:textId="77777777" w:rsidR="002A2C54" w:rsidRDefault="002A2C54" w:rsidP="00914946">
            <w:pPr>
              <w:spacing w:line="240" w:lineRule="auto"/>
              <w:rPr>
                <w:b/>
                <w:bCs/>
                <w:sz w:val="16"/>
                <w:szCs w:val="16"/>
                <w:lang w:val="en-US"/>
              </w:rPr>
            </w:pPr>
          </w:p>
          <w:p w14:paraId="7D838DC3" w14:textId="26B32C61" w:rsidR="13FC06A1" w:rsidRDefault="002A2C54" w:rsidP="00914946">
            <w:pPr>
              <w:spacing w:line="240" w:lineRule="auto"/>
              <w:rPr>
                <w:b/>
                <w:bCs/>
                <w:sz w:val="16"/>
                <w:szCs w:val="16"/>
                <w:lang w:val="en-US"/>
              </w:rPr>
            </w:pPr>
            <w:r>
              <w:rPr>
                <w:b/>
                <w:bCs/>
                <w:sz w:val="16"/>
                <w:szCs w:val="16"/>
                <w:lang w:val="en-US"/>
              </w:rPr>
              <w:t>2</w:t>
            </w:r>
            <w:r w:rsidR="13FC06A1" w:rsidRPr="1736BDDC">
              <w:rPr>
                <w:b/>
                <w:bCs/>
                <w:sz w:val="16"/>
                <w:szCs w:val="16"/>
                <w:lang w:val="en-US"/>
              </w:rPr>
              <w:t>022</w:t>
            </w:r>
            <w:r w:rsidR="42222D89" w:rsidRPr="1736BDDC">
              <w:rPr>
                <w:b/>
                <w:bCs/>
                <w:sz w:val="16"/>
                <w:szCs w:val="16"/>
                <w:lang w:val="en-US"/>
              </w:rPr>
              <w:t>-</w:t>
            </w:r>
            <w:r w:rsidR="13FC06A1" w:rsidRPr="1736BDDC">
              <w:rPr>
                <w:b/>
                <w:bCs/>
                <w:sz w:val="16"/>
                <w:szCs w:val="16"/>
                <w:lang w:val="en-US"/>
              </w:rPr>
              <w:t xml:space="preserve">2025 </w:t>
            </w:r>
          </w:p>
          <w:p w14:paraId="6AA3A2EF" w14:textId="262771AE" w:rsidR="13FC06A1" w:rsidRDefault="13FC06A1" w:rsidP="00914946">
            <w:pPr>
              <w:spacing w:line="240" w:lineRule="auto"/>
              <w:rPr>
                <w:b/>
                <w:bCs/>
                <w:sz w:val="16"/>
                <w:szCs w:val="16"/>
                <w:lang w:val="en-US"/>
              </w:rPr>
            </w:pPr>
            <w:r w:rsidRPr="1736BDDC">
              <w:rPr>
                <w:b/>
                <w:bCs/>
                <w:sz w:val="16"/>
                <w:szCs w:val="16"/>
                <w:lang w:val="en-US"/>
              </w:rPr>
              <w:t xml:space="preserve">estimates  </w:t>
            </w:r>
          </w:p>
        </w:tc>
        <w:tc>
          <w:tcPr>
            <w:tcW w:w="1404" w:type="dxa"/>
          </w:tcPr>
          <w:p w14:paraId="3E6D8E58" w14:textId="22F4D24D" w:rsidR="13FC06A1" w:rsidRDefault="002A2C54" w:rsidP="00914946">
            <w:pPr>
              <w:spacing w:line="240" w:lineRule="auto"/>
              <w:rPr>
                <w:b/>
                <w:bCs/>
                <w:sz w:val="16"/>
                <w:szCs w:val="16"/>
                <w:lang w:val="en-US"/>
              </w:rPr>
            </w:pPr>
            <w:r>
              <w:rPr>
                <w:b/>
                <w:bCs/>
                <w:sz w:val="16"/>
                <w:szCs w:val="16"/>
                <w:lang w:val="en-US"/>
              </w:rPr>
              <w:t>V</w:t>
            </w:r>
            <w:r w:rsidR="13FC06A1" w:rsidRPr="1736BDDC">
              <w:rPr>
                <w:b/>
                <w:bCs/>
                <w:sz w:val="16"/>
                <w:szCs w:val="16"/>
                <w:lang w:val="en-US"/>
              </w:rPr>
              <w:t xml:space="preserve">ariance </w:t>
            </w:r>
          </w:p>
          <w:p w14:paraId="2E60837E" w14:textId="20931A0A" w:rsidR="13FC06A1" w:rsidRDefault="13FC06A1" w:rsidP="00914946">
            <w:pPr>
              <w:spacing w:line="240" w:lineRule="auto"/>
              <w:rPr>
                <w:b/>
                <w:bCs/>
                <w:sz w:val="16"/>
                <w:szCs w:val="16"/>
                <w:lang w:val="en-US"/>
              </w:rPr>
            </w:pPr>
            <w:r w:rsidRPr="1736BDDC">
              <w:rPr>
                <w:b/>
                <w:bCs/>
                <w:sz w:val="16"/>
                <w:szCs w:val="16"/>
                <w:lang w:val="en-US"/>
              </w:rPr>
              <w:t>2022-2025</w:t>
            </w:r>
            <w:r w:rsidR="3C635EB1" w:rsidRPr="1736BDDC">
              <w:rPr>
                <w:b/>
                <w:bCs/>
                <w:sz w:val="16"/>
                <w:szCs w:val="16"/>
                <w:lang w:val="en-US"/>
              </w:rPr>
              <w:t xml:space="preserve"> estimates</w:t>
            </w:r>
            <w:r w:rsidRPr="1736BDDC">
              <w:rPr>
                <w:b/>
                <w:bCs/>
                <w:sz w:val="16"/>
                <w:szCs w:val="16"/>
                <w:lang w:val="en-US"/>
              </w:rPr>
              <w:t xml:space="preserve"> compared </w:t>
            </w:r>
            <w:r w:rsidR="06D6B1B6" w:rsidRPr="1736BDDC">
              <w:rPr>
                <w:b/>
                <w:bCs/>
                <w:sz w:val="16"/>
                <w:szCs w:val="16"/>
                <w:lang w:val="en-US"/>
              </w:rPr>
              <w:t>with</w:t>
            </w:r>
            <w:r w:rsidRPr="1736BDDC">
              <w:rPr>
                <w:b/>
                <w:bCs/>
                <w:sz w:val="16"/>
                <w:szCs w:val="16"/>
                <w:lang w:val="en-US"/>
              </w:rPr>
              <w:t xml:space="preserve"> 2018-2021 initial estimates</w:t>
            </w:r>
          </w:p>
        </w:tc>
        <w:tc>
          <w:tcPr>
            <w:tcW w:w="1670" w:type="dxa"/>
          </w:tcPr>
          <w:p w14:paraId="12265341" w14:textId="29AE305B" w:rsidR="7FA89FA3" w:rsidRDefault="7FA89FA3" w:rsidP="00914946">
            <w:pPr>
              <w:spacing w:line="240" w:lineRule="auto"/>
              <w:rPr>
                <w:b/>
                <w:bCs/>
                <w:sz w:val="16"/>
                <w:szCs w:val="16"/>
                <w:lang w:val="en-US"/>
              </w:rPr>
            </w:pPr>
            <w:r w:rsidRPr="1736BDDC">
              <w:rPr>
                <w:b/>
                <w:bCs/>
                <w:sz w:val="16"/>
                <w:szCs w:val="16"/>
                <w:lang w:val="en-US"/>
              </w:rPr>
              <w:t xml:space="preserve">Variance </w:t>
            </w:r>
            <w:r w:rsidR="0C97CDDD" w:rsidRPr="1736BDDC">
              <w:rPr>
                <w:b/>
                <w:bCs/>
                <w:sz w:val="16"/>
                <w:szCs w:val="16"/>
                <w:lang w:val="en-US"/>
              </w:rPr>
              <w:t xml:space="preserve"> </w:t>
            </w:r>
          </w:p>
          <w:p w14:paraId="1AEB188E" w14:textId="02F2E194" w:rsidR="7FA89FA3" w:rsidRDefault="7FA89FA3" w:rsidP="00914946">
            <w:pPr>
              <w:spacing w:line="240" w:lineRule="auto"/>
              <w:rPr>
                <w:b/>
                <w:bCs/>
                <w:sz w:val="16"/>
                <w:szCs w:val="16"/>
                <w:lang w:val="en-US"/>
              </w:rPr>
            </w:pPr>
            <w:r w:rsidRPr="1736BDDC">
              <w:rPr>
                <w:b/>
                <w:bCs/>
                <w:sz w:val="16"/>
                <w:szCs w:val="16"/>
                <w:lang w:val="en-US"/>
              </w:rPr>
              <w:t>2022-2025</w:t>
            </w:r>
            <w:r w:rsidR="108045BB" w:rsidRPr="1736BDDC">
              <w:rPr>
                <w:b/>
                <w:bCs/>
                <w:sz w:val="16"/>
                <w:szCs w:val="16"/>
                <w:lang w:val="en-US"/>
              </w:rPr>
              <w:t xml:space="preserve"> estimates</w:t>
            </w:r>
            <w:r w:rsidRPr="1736BDDC">
              <w:rPr>
                <w:b/>
                <w:bCs/>
                <w:sz w:val="16"/>
                <w:szCs w:val="16"/>
                <w:lang w:val="en-US"/>
              </w:rPr>
              <w:t xml:space="preserve"> compared </w:t>
            </w:r>
            <w:r w:rsidR="4BAB7BB8" w:rsidRPr="1736BDDC">
              <w:rPr>
                <w:b/>
                <w:bCs/>
                <w:sz w:val="16"/>
                <w:szCs w:val="16"/>
                <w:lang w:val="en-US"/>
              </w:rPr>
              <w:t>with</w:t>
            </w:r>
            <w:r w:rsidRPr="1736BDDC">
              <w:rPr>
                <w:b/>
                <w:bCs/>
                <w:sz w:val="16"/>
                <w:szCs w:val="16"/>
                <w:lang w:val="en-US"/>
              </w:rPr>
              <w:t xml:space="preserve"> 2018-2021 updated estimates  </w:t>
            </w:r>
          </w:p>
        </w:tc>
      </w:tr>
      <w:tr w:rsidR="1736BDDC" w14:paraId="60F29A9C" w14:textId="77777777" w:rsidTr="002A2C54">
        <w:trPr>
          <w:trHeight w:val="318"/>
        </w:trPr>
        <w:tc>
          <w:tcPr>
            <w:tcW w:w="1080" w:type="dxa"/>
            <w:vMerge/>
            <w:tcBorders>
              <w:left w:val="nil"/>
            </w:tcBorders>
          </w:tcPr>
          <w:p w14:paraId="1FE510A5" w14:textId="77777777" w:rsidR="000D7BC3" w:rsidRDefault="000D7BC3" w:rsidP="00914946">
            <w:pPr>
              <w:spacing w:line="240" w:lineRule="auto"/>
            </w:pPr>
          </w:p>
        </w:tc>
        <w:tc>
          <w:tcPr>
            <w:tcW w:w="1376" w:type="dxa"/>
          </w:tcPr>
          <w:tbl>
            <w:tblPr>
              <w:tblW w:w="0" w:type="auto"/>
              <w:tblLayout w:type="fixed"/>
              <w:tblLook w:val="04A0" w:firstRow="1" w:lastRow="0" w:firstColumn="1" w:lastColumn="0" w:noHBand="0" w:noVBand="1"/>
            </w:tblPr>
            <w:tblGrid>
              <w:gridCol w:w="1335"/>
            </w:tblGrid>
            <w:tr w:rsidR="1736BDDC" w14:paraId="71BEB70C" w14:textId="77777777" w:rsidTr="1736BDDC">
              <w:trPr>
                <w:trHeight w:val="300"/>
              </w:trPr>
              <w:tc>
                <w:tcPr>
                  <w:tcW w:w="1335" w:type="dxa"/>
                  <w:tcBorders>
                    <w:top w:val="nil"/>
                    <w:left w:val="nil"/>
                    <w:bottom w:val="nil"/>
                    <w:right w:val="nil"/>
                  </w:tcBorders>
                  <w:vAlign w:val="center"/>
                </w:tcPr>
                <w:p w14:paraId="098F68A5" w14:textId="1FEFD822" w:rsidR="1736BDDC" w:rsidRPr="00622A64" w:rsidRDefault="1736BDDC" w:rsidP="00914946">
                  <w:pPr>
                    <w:spacing w:line="240" w:lineRule="auto"/>
                    <w:ind w:left="-130" w:right="-100"/>
                    <w:rPr>
                      <w:rFonts w:eastAsia="Times New Roman"/>
                      <w:b/>
                      <w:bCs/>
                      <w:color w:val="000000" w:themeColor="text1"/>
                      <w:sz w:val="16"/>
                      <w:szCs w:val="16"/>
                    </w:rPr>
                  </w:pPr>
                  <w:r w:rsidRPr="00622A64">
                    <w:rPr>
                      <w:rFonts w:eastAsia="Times New Roman"/>
                      <w:b/>
                      <w:bCs/>
                      <w:color w:val="000000" w:themeColor="text1"/>
                      <w:sz w:val="16"/>
                      <w:szCs w:val="16"/>
                      <w:lang w:val="en-US"/>
                    </w:rPr>
                    <w:t>Opening</w:t>
                  </w:r>
                  <w:r w:rsidR="009F2FF8">
                    <w:rPr>
                      <w:rFonts w:eastAsia="Times New Roman"/>
                      <w:b/>
                      <w:bCs/>
                      <w:color w:val="000000" w:themeColor="text1"/>
                      <w:sz w:val="16"/>
                      <w:szCs w:val="16"/>
                      <w:lang w:val="en-US"/>
                    </w:rPr>
                    <w:t xml:space="preserve"> </w:t>
                  </w:r>
                  <w:r w:rsidRPr="00622A64">
                    <w:rPr>
                      <w:rFonts w:eastAsia="Times New Roman"/>
                      <w:b/>
                      <w:bCs/>
                      <w:color w:val="000000" w:themeColor="text1"/>
                      <w:sz w:val="16"/>
                      <w:szCs w:val="16"/>
                      <w:lang w:val="en-US"/>
                    </w:rPr>
                    <w:t>balance</w:t>
                  </w:r>
                </w:p>
              </w:tc>
            </w:tr>
            <w:tr w:rsidR="1736BDDC" w14:paraId="73B4F418" w14:textId="77777777" w:rsidTr="1736BDDC">
              <w:trPr>
                <w:trHeight w:val="300"/>
              </w:trPr>
              <w:tc>
                <w:tcPr>
                  <w:tcW w:w="1335" w:type="dxa"/>
                  <w:tcBorders>
                    <w:top w:val="nil"/>
                    <w:left w:val="nil"/>
                    <w:bottom w:val="nil"/>
                    <w:right w:val="nil"/>
                  </w:tcBorders>
                  <w:vAlign w:val="center"/>
                </w:tcPr>
                <w:p w14:paraId="590658D1" w14:textId="34A3AE9C" w:rsidR="1736BDDC" w:rsidRDefault="1736BDDC" w:rsidP="00914946">
                  <w:pPr>
                    <w:spacing w:line="240" w:lineRule="auto"/>
                    <w:rPr>
                      <w:rFonts w:eastAsia="Times New Roman"/>
                      <w:color w:val="000000" w:themeColor="text1"/>
                      <w:sz w:val="16"/>
                      <w:szCs w:val="16"/>
                    </w:rPr>
                  </w:pPr>
                </w:p>
              </w:tc>
            </w:tr>
          </w:tbl>
          <w:p w14:paraId="2CC8D1D0" w14:textId="46E51D2C" w:rsidR="1736BDDC" w:rsidRDefault="1736BDDC" w:rsidP="00914946">
            <w:pPr>
              <w:spacing w:line="240" w:lineRule="auto"/>
              <w:rPr>
                <w:b/>
                <w:bCs/>
                <w:sz w:val="16"/>
                <w:szCs w:val="16"/>
                <w:lang w:val="en-US"/>
              </w:rPr>
            </w:pPr>
          </w:p>
        </w:tc>
        <w:tc>
          <w:tcPr>
            <w:tcW w:w="1235" w:type="dxa"/>
          </w:tcPr>
          <w:p w14:paraId="740A17ED" w14:textId="1EA47504" w:rsidR="3859CD2D" w:rsidRDefault="3859CD2D" w:rsidP="00635535">
            <w:pPr>
              <w:spacing w:line="240" w:lineRule="auto"/>
              <w:jc w:val="right"/>
              <w:rPr>
                <w:sz w:val="16"/>
                <w:szCs w:val="16"/>
                <w:lang w:val="en-US"/>
              </w:rPr>
            </w:pPr>
            <w:r w:rsidRPr="1736BDDC">
              <w:rPr>
                <w:sz w:val="16"/>
                <w:szCs w:val="16"/>
                <w:lang w:val="en-US"/>
              </w:rPr>
              <w:t>4</w:t>
            </w:r>
            <w:r w:rsidR="00635535">
              <w:rPr>
                <w:sz w:val="16"/>
                <w:szCs w:val="16"/>
                <w:lang w:val="en-US"/>
              </w:rPr>
              <w:t xml:space="preserve"> </w:t>
            </w:r>
            <w:r w:rsidRPr="1736BDDC">
              <w:rPr>
                <w:sz w:val="16"/>
                <w:szCs w:val="16"/>
                <w:lang w:val="en-US"/>
              </w:rPr>
              <w:t>285.1</w:t>
            </w:r>
          </w:p>
        </w:tc>
        <w:tc>
          <w:tcPr>
            <w:tcW w:w="1248" w:type="dxa"/>
          </w:tcPr>
          <w:p w14:paraId="39AA8EC3" w14:textId="2629DE44" w:rsidR="579707ED" w:rsidRDefault="579707ED" w:rsidP="00635535">
            <w:pPr>
              <w:spacing w:line="240" w:lineRule="auto"/>
              <w:jc w:val="right"/>
              <w:rPr>
                <w:sz w:val="16"/>
                <w:szCs w:val="16"/>
                <w:lang w:val="en-US"/>
              </w:rPr>
            </w:pPr>
            <w:r w:rsidRPr="1736BDDC">
              <w:rPr>
                <w:sz w:val="16"/>
                <w:szCs w:val="16"/>
                <w:lang w:val="en-US"/>
              </w:rPr>
              <w:t>4</w:t>
            </w:r>
            <w:r w:rsidR="00635535">
              <w:rPr>
                <w:sz w:val="16"/>
                <w:szCs w:val="16"/>
                <w:lang w:val="en-US"/>
              </w:rPr>
              <w:t xml:space="preserve"> </w:t>
            </w:r>
            <w:r w:rsidRPr="1736BDDC">
              <w:rPr>
                <w:sz w:val="16"/>
                <w:szCs w:val="16"/>
                <w:lang w:val="en-US"/>
              </w:rPr>
              <w:t xml:space="preserve">285.1  </w:t>
            </w:r>
          </w:p>
        </w:tc>
        <w:tc>
          <w:tcPr>
            <w:tcW w:w="1014" w:type="dxa"/>
          </w:tcPr>
          <w:p w14:paraId="2317B2DE" w14:textId="65D8AFE5" w:rsidR="1F3844D5" w:rsidRDefault="1F3844D5" w:rsidP="00635535">
            <w:pPr>
              <w:spacing w:line="240" w:lineRule="auto"/>
              <w:jc w:val="right"/>
              <w:rPr>
                <w:sz w:val="16"/>
                <w:szCs w:val="16"/>
                <w:lang w:val="en-US"/>
              </w:rPr>
            </w:pPr>
            <w:r w:rsidRPr="1736BDDC">
              <w:rPr>
                <w:sz w:val="16"/>
                <w:szCs w:val="16"/>
                <w:lang w:val="en-US"/>
              </w:rPr>
              <w:t>0</w:t>
            </w:r>
          </w:p>
        </w:tc>
        <w:tc>
          <w:tcPr>
            <w:tcW w:w="1053" w:type="dxa"/>
          </w:tcPr>
          <w:p w14:paraId="7874DCC5" w14:textId="2F4098F1" w:rsidR="0DCDEA93" w:rsidRDefault="0DCDEA93" w:rsidP="00635535">
            <w:pPr>
              <w:spacing w:line="240" w:lineRule="auto"/>
              <w:jc w:val="right"/>
              <w:rPr>
                <w:sz w:val="16"/>
                <w:szCs w:val="16"/>
                <w:lang w:val="en-US"/>
              </w:rPr>
            </w:pPr>
            <w:r w:rsidRPr="1736BDDC">
              <w:rPr>
                <w:sz w:val="16"/>
                <w:szCs w:val="16"/>
                <w:lang w:val="en-US"/>
              </w:rPr>
              <w:t>4</w:t>
            </w:r>
            <w:r w:rsidR="00635535">
              <w:rPr>
                <w:sz w:val="16"/>
                <w:szCs w:val="16"/>
                <w:lang w:val="en-US"/>
              </w:rPr>
              <w:t xml:space="preserve"> </w:t>
            </w:r>
            <w:r w:rsidRPr="1736BDDC">
              <w:rPr>
                <w:sz w:val="16"/>
                <w:szCs w:val="16"/>
                <w:lang w:val="en-US"/>
              </w:rPr>
              <w:t>796.7</w:t>
            </w:r>
          </w:p>
        </w:tc>
        <w:tc>
          <w:tcPr>
            <w:tcW w:w="1404" w:type="dxa"/>
          </w:tcPr>
          <w:p w14:paraId="74E0F55F" w14:textId="4FE3D9FA" w:rsidR="121C9539" w:rsidRDefault="00980C1A" w:rsidP="00635535">
            <w:pPr>
              <w:spacing w:line="240" w:lineRule="auto"/>
              <w:jc w:val="right"/>
              <w:rPr>
                <w:sz w:val="16"/>
                <w:szCs w:val="16"/>
                <w:lang w:val="en-US"/>
              </w:rPr>
            </w:pPr>
            <w:r>
              <w:rPr>
                <w:sz w:val="16"/>
                <w:szCs w:val="16"/>
                <w:lang w:val="en-US"/>
              </w:rPr>
              <w:t>511.6</w:t>
            </w:r>
          </w:p>
        </w:tc>
        <w:tc>
          <w:tcPr>
            <w:tcW w:w="1670" w:type="dxa"/>
          </w:tcPr>
          <w:p w14:paraId="65DDCD67" w14:textId="732E19AB" w:rsidR="121C9539" w:rsidRDefault="00536EBE" w:rsidP="00635535">
            <w:pPr>
              <w:spacing w:line="240" w:lineRule="auto"/>
              <w:jc w:val="right"/>
              <w:rPr>
                <w:sz w:val="16"/>
                <w:szCs w:val="16"/>
                <w:lang w:val="en-US"/>
              </w:rPr>
            </w:pPr>
            <w:r>
              <w:rPr>
                <w:sz w:val="16"/>
                <w:szCs w:val="16"/>
                <w:lang w:val="en-US"/>
              </w:rPr>
              <w:t>511.6</w:t>
            </w:r>
          </w:p>
        </w:tc>
      </w:tr>
      <w:tr w:rsidR="1736BDDC" w14:paraId="62D1E669" w14:textId="77777777" w:rsidTr="002A2C54">
        <w:tc>
          <w:tcPr>
            <w:tcW w:w="1080" w:type="dxa"/>
            <w:vMerge w:val="restart"/>
          </w:tcPr>
          <w:p w14:paraId="72C0D060" w14:textId="1C51C418" w:rsidR="1736BDDC" w:rsidRDefault="1736BDDC" w:rsidP="00914946">
            <w:pPr>
              <w:spacing w:line="240" w:lineRule="auto"/>
              <w:rPr>
                <w:color w:val="000000" w:themeColor="text1"/>
                <w:sz w:val="16"/>
                <w:szCs w:val="16"/>
                <w:lang w:val="en-US"/>
              </w:rPr>
            </w:pPr>
          </w:p>
          <w:p w14:paraId="7BB68B53" w14:textId="77777777" w:rsidR="00042159" w:rsidRPr="00042159" w:rsidRDefault="00042159" w:rsidP="00914946">
            <w:pPr>
              <w:spacing w:line="240" w:lineRule="auto"/>
              <w:jc w:val="center"/>
              <w:rPr>
                <w:i/>
                <w:iCs/>
                <w:color w:val="000000" w:themeColor="text1"/>
                <w:sz w:val="16"/>
                <w:szCs w:val="16"/>
                <w:lang w:val="en-US"/>
              </w:rPr>
            </w:pPr>
          </w:p>
          <w:p w14:paraId="526B354B" w14:textId="79983912" w:rsidR="1BAAEE19" w:rsidRPr="00042159" w:rsidRDefault="1BAAEE19" w:rsidP="00914946">
            <w:pPr>
              <w:spacing w:line="240" w:lineRule="auto"/>
              <w:jc w:val="center"/>
              <w:rPr>
                <w:i/>
                <w:iCs/>
                <w:color w:val="000000" w:themeColor="text1"/>
                <w:sz w:val="16"/>
                <w:szCs w:val="16"/>
                <w:lang w:val="en-US"/>
              </w:rPr>
            </w:pPr>
            <w:r w:rsidRPr="00042159">
              <w:rPr>
                <w:i/>
                <w:iCs/>
                <w:color w:val="000000" w:themeColor="text1"/>
                <w:sz w:val="16"/>
                <w:szCs w:val="16"/>
                <w:lang w:val="en-US"/>
              </w:rPr>
              <w:t>Income and</w:t>
            </w:r>
            <w:r w:rsidR="005356AA" w:rsidRPr="00042159">
              <w:rPr>
                <w:i/>
                <w:iCs/>
                <w:color w:val="000000" w:themeColor="text1"/>
                <w:sz w:val="16"/>
                <w:szCs w:val="16"/>
                <w:lang w:val="en-US"/>
              </w:rPr>
              <w:t xml:space="preserve"> </w:t>
            </w:r>
            <w:r w:rsidRPr="00042159">
              <w:rPr>
                <w:i/>
                <w:iCs/>
                <w:color w:val="000000" w:themeColor="text1"/>
                <w:sz w:val="16"/>
                <w:szCs w:val="16"/>
                <w:lang w:val="en-US"/>
              </w:rPr>
              <w:t>adjustments</w:t>
            </w:r>
          </w:p>
          <w:p w14:paraId="2CBFFD21" w14:textId="5C76C4A4" w:rsidR="1736BDDC" w:rsidRDefault="1736BDDC" w:rsidP="00914946">
            <w:pPr>
              <w:spacing w:line="240" w:lineRule="auto"/>
              <w:rPr>
                <w:color w:val="000000" w:themeColor="text1"/>
                <w:sz w:val="16"/>
                <w:szCs w:val="16"/>
                <w:lang w:val="en-US"/>
              </w:rPr>
            </w:pPr>
          </w:p>
        </w:tc>
        <w:tc>
          <w:tcPr>
            <w:tcW w:w="1376" w:type="dxa"/>
          </w:tcPr>
          <w:p w14:paraId="0A02B932" w14:textId="4BE3562F" w:rsidR="1736BDDC" w:rsidRPr="00946DB6" w:rsidRDefault="6366852D" w:rsidP="00914946">
            <w:pPr>
              <w:spacing w:line="240" w:lineRule="auto"/>
              <w:rPr>
                <w:color w:val="000000" w:themeColor="text1"/>
                <w:sz w:val="16"/>
                <w:szCs w:val="16"/>
              </w:rPr>
            </w:pPr>
            <w:r w:rsidRPr="1736BDDC">
              <w:rPr>
                <w:color w:val="000000" w:themeColor="text1"/>
                <w:sz w:val="16"/>
                <w:szCs w:val="16"/>
                <w:lang w:val="en-US"/>
              </w:rPr>
              <w:t xml:space="preserve"> </w:t>
            </w:r>
            <w:r w:rsidR="5ABF8A92" w:rsidRPr="1736BDDC">
              <w:rPr>
                <w:color w:val="000000" w:themeColor="text1"/>
                <w:sz w:val="16"/>
                <w:szCs w:val="16"/>
                <w:lang w:val="en-US"/>
              </w:rPr>
              <w:t>Contributions</w:t>
            </w:r>
          </w:p>
        </w:tc>
        <w:tc>
          <w:tcPr>
            <w:tcW w:w="1235" w:type="dxa"/>
          </w:tcPr>
          <w:p w14:paraId="43E485ED" w14:textId="5C381EE7" w:rsidR="6B1135C4" w:rsidRDefault="6B1135C4" w:rsidP="00635535">
            <w:pPr>
              <w:spacing w:line="240" w:lineRule="auto"/>
              <w:jc w:val="right"/>
              <w:rPr>
                <w:sz w:val="16"/>
                <w:szCs w:val="16"/>
                <w:lang w:val="en-US"/>
              </w:rPr>
            </w:pPr>
            <w:r w:rsidRPr="1736BDDC">
              <w:rPr>
                <w:sz w:val="16"/>
                <w:szCs w:val="16"/>
                <w:lang w:val="en-US"/>
              </w:rPr>
              <w:t>20</w:t>
            </w:r>
            <w:r w:rsidR="00635535">
              <w:rPr>
                <w:sz w:val="16"/>
                <w:szCs w:val="16"/>
                <w:lang w:val="en-US"/>
              </w:rPr>
              <w:t xml:space="preserve"> </w:t>
            </w:r>
            <w:r w:rsidRPr="1736BDDC">
              <w:rPr>
                <w:sz w:val="16"/>
                <w:szCs w:val="16"/>
                <w:lang w:val="en-US"/>
              </w:rPr>
              <w:t>909.0</w:t>
            </w:r>
          </w:p>
        </w:tc>
        <w:tc>
          <w:tcPr>
            <w:tcW w:w="1248" w:type="dxa"/>
          </w:tcPr>
          <w:p w14:paraId="190183A2" w14:textId="70067D73" w:rsidR="285EB625" w:rsidRDefault="285EB625" w:rsidP="00635535">
            <w:pPr>
              <w:spacing w:line="240" w:lineRule="auto"/>
              <w:jc w:val="right"/>
              <w:rPr>
                <w:sz w:val="16"/>
                <w:szCs w:val="16"/>
                <w:lang w:val="en-US"/>
              </w:rPr>
            </w:pPr>
            <w:r w:rsidRPr="1736BDDC">
              <w:rPr>
                <w:sz w:val="16"/>
                <w:szCs w:val="16"/>
                <w:lang w:val="en-US"/>
              </w:rPr>
              <w:t>19</w:t>
            </w:r>
            <w:r w:rsidR="00635535">
              <w:rPr>
                <w:sz w:val="16"/>
                <w:szCs w:val="16"/>
                <w:lang w:val="en-US"/>
              </w:rPr>
              <w:t xml:space="preserve"> </w:t>
            </w:r>
            <w:r w:rsidRPr="1736BDDC">
              <w:rPr>
                <w:sz w:val="16"/>
                <w:szCs w:val="16"/>
                <w:lang w:val="en-US"/>
              </w:rPr>
              <w:t>703</w:t>
            </w:r>
            <w:r w:rsidR="00980C1A">
              <w:rPr>
                <w:sz w:val="16"/>
                <w:szCs w:val="16"/>
                <w:lang w:val="en-US"/>
              </w:rPr>
              <w:t>.1</w:t>
            </w:r>
          </w:p>
        </w:tc>
        <w:tc>
          <w:tcPr>
            <w:tcW w:w="1014" w:type="dxa"/>
          </w:tcPr>
          <w:p w14:paraId="731C1154" w14:textId="44079672" w:rsidR="7C48EDB2" w:rsidRDefault="7C48EDB2" w:rsidP="00635535">
            <w:pPr>
              <w:spacing w:line="240" w:lineRule="auto"/>
              <w:jc w:val="right"/>
              <w:rPr>
                <w:sz w:val="16"/>
                <w:szCs w:val="16"/>
                <w:lang w:val="en-US"/>
              </w:rPr>
            </w:pPr>
            <w:r w:rsidRPr="1736BDDC">
              <w:rPr>
                <w:sz w:val="16"/>
                <w:szCs w:val="16"/>
                <w:lang w:val="en-US"/>
              </w:rPr>
              <w:t>(1</w:t>
            </w:r>
            <w:r w:rsidR="00635535">
              <w:rPr>
                <w:sz w:val="16"/>
                <w:szCs w:val="16"/>
                <w:lang w:val="en-US"/>
              </w:rPr>
              <w:t xml:space="preserve"> </w:t>
            </w:r>
            <w:r w:rsidRPr="1736BDDC">
              <w:rPr>
                <w:sz w:val="16"/>
                <w:szCs w:val="16"/>
                <w:lang w:val="en-US"/>
              </w:rPr>
              <w:t xml:space="preserve">205.9)  </w:t>
            </w:r>
          </w:p>
        </w:tc>
        <w:tc>
          <w:tcPr>
            <w:tcW w:w="1053" w:type="dxa"/>
          </w:tcPr>
          <w:p w14:paraId="70B87C35" w14:textId="72235C04" w:rsidR="0E341D5B" w:rsidRDefault="0E341D5B" w:rsidP="00635535">
            <w:pPr>
              <w:spacing w:line="240" w:lineRule="auto"/>
              <w:jc w:val="right"/>
              <w:rPr>
                <w:sz w:val="16"/>
                <w:szCs w:val="16"/>
                <w:lang w:val="en-US"/>
              </w:rPr>
            </w:pPr>
            <w:r w:rsidRPr="1736BDDC">
              <w:rPr>
                <w:sz w:val="16"/>
                <w:szCs w:val="16"/>
                <w:lang w:val="en-US"/>
              </w:rPr>
              <w:t>21</w:t>
            </w:r>
            <w:r w:rsidR="00635535">
              <w:rPr>
                <w:sz w:val="16"/>
                <w:szCs w:val="16"/>
                <w:lang w:val="en-US"/>
              </w:rPr>
              <w:t xml:space="preserve"> </w:t>
            </w:r>
            <w:r w:rsidRPr="1736BDDC">
              <w:rPr>
                <w:sz w:val="16"/>
                <w:szCs w:val="16"/>
                <w:lang w:val="en-US"/>
              </w:rPr>
              <w:t>632.0</w:t>
            </w:r>
          </w:p>
        </w:tc>
        <w:tc>
          <w:tcPr>
            <w:tcW w:w="1404" w:type="dxa"/>
          </w:tcPr>
          <w:p w14:paraId="5FDB48B9" w14:textId="518E0608" w:rsidR="68FC49D8" w:rsidRDefault="00536EBE" w:rsidP="00635535">
            <w:pPr>
              <w:spacing w:line="240" w:lineRule="auto"/>
              <w:jc w:val="right"/>
              <w:rPr>
                <w:sz w:val="16"/>
                <w:szCs w:val="16"/>
                <w:lang w:val="en-US"/>
              </w:rPr>
            </w:pPr>
            <w:r>
              <w:rPr>
                <w:sz w:val="16"/>
                <w:szCs w:val="16"/>
                <w:lang w:val="en-US"/>
              </w:rPr>
              <w:t>1</w:t>
            </w:r>
            <w:r w:rsidR="00635535">
              <w:rPr>
                <w:sz w:val="16"/>
                <w:szCs w:val="16"/>
                <w:lang w:val="en-US"/>
              </w:rPr>
              <w:t xml:space="preserve"> </w:t>
            </w:r>
            <w:r>
              <w:rPr>
                <w:sz w:val="16"/>
                <w:szCs w:val="16"/>
                <w:lang w:val="en-US"/>
              </w:rPr>
              <w:t>928.9</w:t>
            </w:r>
          </w:p>
        </w:tc>
        <w:tc>
          <w:tcPr>
            <w:tcW w:w="1670" w:type="dxa"/>
          </w:tcPr>
          <w:p w14:paraId="424B2892" w14:textId="508A2F0E" w:rsidR="68FC49D8" w:rsidRDefault="68FC49D8" w:rsidP="00635535">
            <w:pPr>
              <w:spacing w:line="240" w:lineRule="auto"/>
              <w:jc w:val="right"/>
              <w:rPr>
                <w:sz w:val="16"/>
                <w:szCs w:val="16"/>
                <w:lang w:val="en-US"/>
              </w:rPr>
            </w:pPr>
            <w:r w:rsidRPr="1736BDDC">
              <w:rPr>
                <w:sz w:val="16"/>
                <w:szCs w:val="16"/>
                <w:lang w:val="en-US"/>
              </w:rPr>
              <w:t>1</w:t>
            </w:r>
            <w:r w:rsidR="00635535">
              <w:rPr>
                <w:sz w:val="16"/>
                <w:szCs w:val="16"/>
                <w:lang w:val="en-US"/>
              </w:rPr>
              <w:t xml:space="preserve"> </w:t>
            </w:r>
            <w:r w:rsidRPr="1736BDDC">
              <w:rPr>
                <w:sz w:val="16"/>
                <w:szCs w:val="16"/>
                <w:lang w:val="en-US"/>
              </w:rPr>
              <w:t>929.0</w:t>
            </w:r>
          </w:p>
        </w:tc>
      </w:tr>
      <w:tr w:rsidR="1736BDDC" w14:paraId="43FCC030" w14:textId="77777777" w:rsidTr="002A2C54">
        <w:trPr>
          <w:trHeight w:val="678"/>
        </w:trPr>
        <w:tc>
          <w:tcPr>
            <w:tcW w:w="1080" w:type="dxa"/>
            <w:vMerge/>
            <w:tcBorders>
              <w:bottom w:val="single" w:sz="4" w:space="0" w:color="auto"/>
            </w:tcBorders>
          </w:tcPr>
          <w:p w14:paraId="21805D8C" w14:textId="77777777" w:rsidR="000D7BC3" w:rsidRDefault="000D7BC3" w:rsidP="00914946">
            <w:pPr>
              <w:spacing w:line="240" w:lineRule="auto"/>
            </w:pPr>
          </w:p>
        </w:tc>
        <w:tc>
          <w:tcPr>
            <w:tcW w:w="1376" w:type="dxa"/>
          </w:tcPr>
          <w:p w14:paraId="29CC7F0E" w14:textId="24ED03C3" w:rsidR="1736BDDC" w:rsidRPr="00946DB6" w:rsidRDefault="5ABF8A92" w:rsidP="00914946">
            <w:pPr>
              <w:spacing w:line="240" w:lineRule="auto"/>
              <w:rPr>
                <w:color w:val="000000" w:themeColor="text1"/>
                <w:sz w:val="16"/>
                <w:szCs w:val="16"/>
                <w:lang w:val="en-US"/>
              </w:rPr>
            </w:pPr>
            <w:r w:rsidRPr="1736BDDC">
              <w:rPr>
                <w:color w:val="000000" w:themeColor="text1"/>
                <w:sz w:val="16"/>
                <w:szCs w:val="16"/>
                <w:lang w:val="en-US"/>
              </w:rPr>
              <w:t>Other, incl</w:t>
            </w:r>
            <w:r w:rsidR="00622A64">
              <w:rPr>
                <w:color w:val="000000" w:themeColor="text1"/>
                <w:sz w:val="16"/>
                <w:szCs w:val="16"/>
                <w:lang w:val="en-US"/>
              </w:rPr>
              <w:t xml:space="preserve">. </w:t>
            </w:r>
            <w:r w:rsidRPr="1736BDDC">
              <w:rPr>
                <w:color w:val="000000" w:themeColor="text1"/>
                <w:sz w:val="16"/>
                <w:szCs w:val="16"/>
                <w:lang w:val="en-US"/>
              </w:rPr>
              <w:t>reimbursements and cost recovery</w:t>
            </w:r>
          </w:p>
        </w:tc>
        <w:tc>
          <w:tcPr>
            <w:tcW w:w="1235" w:type="dxa"/>
          </w:tcPr>
          <w:p w14:paraId="4D377676" w14:textId="603C173B" w:rsidR="6E105825" w:rsidRDefault="6E105825" w:rsidP="00635535">
            <w:pPr>
              <w:spacing w:line="240" w:lineRule="auto"/>
              <w:jc w:val="right"/>
              <w:rPr>
                <w:sz w:val="16"/>
                <w:szCs w:val="16"/>
                <w:lang w:val="en-US"/>
              </w:rPr>
            </w:pPr>
            <w:r w:rsidRPr="1736BDDC">
              <w:rPr>
                <w:sz w:val="16"/>
                <w:szCs w:val="16"/>
                <w:lang w:val="en-US"/>
              </w:rPr>
              <w:t>1</w:t>
            </w:r>
            <w:r w:rsidR="00635535">
              <w:rPr>
                <w:sz w:val="16"/>
                <w:szCs w:val="16"/>
                <w:lang w:val="en-US"/>
              </w:rPr>
              <w:t xml:space="preserve"> </w:t>
            </w:r>
            <w:r w:rsidRPr="1736BDDC">
              <w:rPr>
                <w:sz w:val="16"/>
                <w:szCs w:val="16"/>
                <w:lang w:val="en-US"/>
              </w:rPr>
              <w:t>841.2</w:t>
            </w:r>
          </w:p>
        </w:tc>
        <w:tc>
          <w:tcPr>
            <w:tcW w:w="1248" w:type="dxa"/>
          </w:tcPr>
          <w:p w14:paraId="42F7D64C" w14:textId="7C5428E4" w:rsidR="48C8684C" w:rsidRDefault="48C8684C" w:rsidP="00635535">
            <w:pPr>
              <w:spacing w:line="240" w:lineRule="auto"/>
              <w:jc w:val="right"/>
              <w:rPr>
                <w:sz w:val="16"/>
                <w:szCs w:val="16"/>
                <w:lang w:val="en-US"/>
              </w:rPr>
            </w:pPr>
            <w:r w:rsidRPr="1736BDDC">
              <w:rPr>
                <w:sz w:val="16"/>
                <w:szCs w:val="16"/>
                <w:lang w:val="en-US"/>
              </w:rPr>
              <w:t>1</w:t>
            </w:r>
            <w:r w:rsidR="00635535">
              <w:rPr>
                <w:sz w:val="16"/>
                <w:szCs w:val="16"/>
                <w:lang w:val="en-US"/>
              </w:rPr>
              <w:t xml:space="preserve"> </w:t>
            </w:r>
            <w:r w:rsidRPr="1736BDDC">
              <w:rPr>
                <w:sz w:val="16"/>
                <w:szCs w:val="16"/>
                <w:lang w:val="en-US"/>
              </w:rPr>
              <w:t>704.2</w:t>
            </w:r>
          </w:p>
        </w:tc>
        <w:tc>
          <w:tcPr>
            <w:tcW w:w="1014" w:type="dxa"/>
          </w:tcPr>
          <w:p w14:paraId="155C1836" w14:textId="00D109D7" w:rsidR="46662A46" w:rsidRDefault="46662A46" w:rsidP="00635535">
            <w:pPr>
              <w:spacing w:line="240" w:lineRule="auto"/>
              <w:jc w:val="right"/>
              <w:rPr>
                <w:sz w:val="16"/>
                <w:szCs w:val="16"/>
                <w:lang w:val="en-US"/>
              </w:rPr>
            </w:pPr>
            <w:r w:rsidRPr="1736BDDC">
              <w:rPr>
                <w:sz w:val="16"/>
                <w:szCs w:val="16"/>
                <w:lang w:val="en-US"/>
              </w:rPr>
              <w:t xml:space="preserve">(137.0)  </w:t>
            </w:r>
          </w:p>
        </w:tc>
        <w:tc>
          <w:tcPr>
            <w:tcW w:w="1053" w:type="dxa"/>
          </w:tcPr>
          <w:p w14:paraId="63B8FE68" w14:textId="43B1B9B3" w:rsidR="7EF5A5A2" w:rsidRDefault="7EF5A5A2" w:rsidP="00635535">
            <w:pPr>
              <w:spacing w:line="240" w:lineRule="auto"/>
              <w:jc w:val="right"/>
              <w:rPr>
                <w:sz w:val="16"/>
                <w:szCs w:val="16"/>
                <w:lang w:val="en-US"/>
              </w:rPr>
            </w:pPr>
            <w:r w:rsidRPr="1736BDDC">
              <w:rPr>
                <w:sz w:val="16"/>
                <w:szCs w:val="16"/>
                <w:lang w:val="en-US"/>
              </w:rPr>
              <w:t>1</w:t>
            </w:r>
            <w:r w:rsidR="00635535">
              <w:rPr>
                <w:sz w:val="16"/>
                <w:szCs w:val="16"/>
                <w:lang w:val="en-US"/>
              </w:rPr>
              <w:t xml:space="preserve"> </w:t>
            </w:r>
            <w:r w:rsidRPr="1736BDDC">
              <w:rPr>
                <w:sz w:val="16"/>
                <w:szCs w:val="16"/>
                <w:lang w:val="en-US"/>
              </w:rPr>
              <w:t>836.3</w:t>
            </w:r>
          </w:p>
        </w:tc>
        <w:tc>
          <w:tcPr>
            <w:tcW w:w="1404" w:type="dxa"/>
          </w:tcPr>
          <w:p w14:paraId="67424B23" w14:textId="4A9F44EC" w:rsidR="2135AEC4" w:rsidRDefault="2135AEC4" w:rsidP="00635535">
            <w:pPr>
              <w:spacing w:line="240" w:lineRule="auto"/>
              <w:jc w:val="right"/>
              <w:rPr>
                <w:sz w:val="16"/>
                <w:szCs w:val="16"/>
                <w:lang w:val="en-US"/>
              </w:rPr>
            </w:pPr>
            <w:r w:rsidRPr="1736BDDC">
              <w:rPr>
                <w:sz w:val="16"/>
                <w:szCs w:val="16"/>
                <w:lang w:val="en-US"/>
              </w:rPr>
              <w:t>(4.9)</w:t>
            </w:r>
          </w:p>
        </w:tc>
        <w:tc>
          <w:tcPr>
            <w:tcW w:w="1670" w:type="dxa"/>
          </w:tcPr>
          <w:p w14:paraId="7BC302CF" w14:textId="29DB9A1E" w:rsidR="2135AEC4" w:rsidRDefault="2135AEC4" w:rsidP="00635535">
            <w:pPr>
              <w:spacing w:line="240" w:lineRule="auto"/>
              <w:jc w:val="right"/>
              <w:rPr>
                <w:sz w:val="16"/>
                <w:szCs w:val="16"/>
                <w:lang w:val="en-US"/>
              </w:rPr>
            </w:pPr>
            <w:r w:rsidRPr="1736BDDC">
              <w:rPr>
                <w:sz w:val="16"/>
                <w:szCs w:val="16"/>
                <w:lang w:val="en-US"/>
              </w:rPr>
              <w:t>132.1</w:t>
            </w:r>
          </w:p>
        </w:tc>
      </w:tr>
      <w:tr w:rsidR="1736BDDC" w14:paraId="1745256D" w14:textId="77777777" w:rsidTr="002A2C54">
        <w:tc>
          <w:tcPr>
            <w:tcW w:w="1080" w:type="dxa"/>
            <w:vMerge w:val="restart"/>
            <w:tcBorders>
              <w:left w:val="nil"/>
              <w:bottom w:val="nil"/>
            </w:tcBorders>
          </w:tcPr>
          <w:p w14:paraId="3A54A1BF" w14:textId="49A8E7F6" w:rsidR="1736BDDC" w:rsidRDefault="1736BDDC" w:rsidP="00914946">
            <w:pPr>
              <w:spacing w:line="240" w:lineRule="auto"/>
              <w:rPr>
                <w:b/>
                <w:bCs/>
                <w:sz w:val="16"/>
                <w:szCs w:val="16"/>
                <w:lang w:val="en-US"/>
              </w:rPr>
            </w:pPr>
          </w:p>
        </w:tc>
        <w:tc>
          <w:tcPr>
            <w:tcW w:w="1376" w:type="dxa"/>
          </w:tcPr>
          <w:p w14:paraId="37857867" w14:textId="6D2FB441" w:rsidR="5ABF8A92" w:rsidRDefault="5ABF8A92" w:rsidP="00914946">
            <w:pPr>
              <w:spacing w:line="240" w:lineRule="auto"/>
              <w:jc w:val="right"/>
              <w:rPr>
                <w:b/>
                <w:bCs/>
                <w:sz w:val="16"/>
                <w:szCs w:val="16"/>
                <w:lang w:val="en-US"/>
              </w:rPr>
            </w:pPr>
            <w:r w:rsidRPr="1736BDDC">
              <w:rPr>
                <w:b/>
                <w:bCs/>
                <w:sz w:val="16"/>
                <w:szCs w:val="16"/>
                <w:lang w:val="en-US"/>
              </w:rPr>
              <w:t>Total</w:t>
            </w:r>
            <w:r w:rsidR="74704239" w:rsidRPr="1736BDDC">
              <w:rPr>
                <w:b/>
                <w:bCs/>
                <w:sz w:val="16"/>
                <w:szCs w:val="16"/>
                <w:lang w:val="en-US"/>
              </w:rPr>
              <w:t xml:space="preserve"> estimates</w:t>
            </w:r>
          </w:p>
        </w:tc>
        <w:tc>
          <w:tcPr>
            <w:tcW w:w="1235" w:type="dxa"/>
          </w:tcPr>
          <w:p w14:paraId="166E478E" w14:textId="142DE012" w:rsidR="246C98F8" w:rsidRDefault="246C98F8" w:rsidP="00635535">
            <w:pPr>
              <w:spacing w:line="240" w:lineRule="auto"/>
              <w:jc w:val="right"/>
              <w:rPr>
                <w:sz w:val="16"/>
                <w:szCs w:val="16"/>
                <w:lang w:val="en-US"/>
              </w:rPr>
            </w:pPr>
            <w:r w:rsidRPr="1736BDDC">
              <w:rPr>
                <w:sz w:val="16"/>
                <w:szCs w:val="16"/>
                <w:lang w:val="en-US"/>
              </w:rPr>
              <w:t>27</w:t>
            </w:r>
            <w:r w:rsidR="00635535">
              <w:rPr>
                <w:sz w:val="16"/>
                <w:szCs w:val="16"/>
                <w:lang w:val="en-US"/>
              </w:rPr>
              <w:t xml:space="preserve"> </w:t>
            </w:r>
            <w:r w:rsidRPr="1736BDDC">
              <w:rPr>
                <w:sz w:val="16"/>
                <w:szCs w:val="16"/>
                <w:lang w:val="en-US"/>
              </w:rPr>
              <w:t>025.4</w:t>
            </w:r>
          </w:p>
        </w:tc>
        <w:tc>
          <w:tcPr>
            <w:tcW w:w="1248" w:type="dxa"/>
          </w:tcPr>
          <w:p w14:paraId="570052EE" w14:textId="3EF9D66D" w:rsidR="4BC78AAD" w:rsidRDefault="4BC78AAD" w:rsidP="00635535">
            <w:pPr>
              <w:spacing w:line="240" w:lineRule="auto"/>
              <w:jc w:val="right"/>
              <w:rPr>
                <w:sz w:val="16"/>
                <w:szCs w:val="16"/>
                <w:lang w:val="en-US"/>
              </w:rPr>
            </w:pPr>
            <w:r w:rsidRPr="1736BDDC">
              <w:rPr>
                <w:sz w:val="16"/>
                <w:szCs w:val="16"/>
                <w:lang w:val="en-US"/>
              </w:rPr>
              <w:t>25</w:t>
            </w:r>
            <w:r w:rsidR="00635535">
              <w:rPr>
                <w:sz w:val="16"/>
                <w:szCs w:val="16"/>
                <w:lang w:val="en-US"/>
              </w:rPr>
              <w:t xml:space="preserve"> </w:t>
            </w:r>
            <w:r w:rsidRPr="1736BDDC">
              <w:rPr>
                <w:sz w:val="16"/>
                <w:szCs w:val="16"/>
                <w:lang w:val="en-US"/>
              </w:rPr>
              <w:t xml:space="preserve">692.4  </w:t>
            </w:r>
          </w:p>
        </w:tc>
        <w:tc>
          <w:tcPr>
            <w:tcW w:w="1014" w:type="dxa"/>
          </w:tcPr>
          <w:p w14:paraId="4542C770" w14:textId="0A1E9F34" w:rsidR="00980C1A" w:rsidRDefault="00980C1A" w:rsidP="00635535">
            <w:pPr>
              <w:spacing w:line="240" w:lineRule="auto"/>
              <w:jc w:val="right"/>
              <w:rPr>
                <w:sz w:val="16"/>
                <w:szCs w:val="16"/>
                <w:lang w:val="en-US"/>
              </w:rPr>
            </w:pPr>
          </w:p>
          <w:p w14:paraId="6D376E58" w14:textId="11A3DCCE" w:rsidR="49654CA7" w:rsidRDefault="00980C1A" w:rsidP="00635535">
            <w:pPr>
              <w:spacing w:line="240" w:lineRule="auto"/>
              <w:jc w:val="right"/>
              <w:rPr>
                <w:sz w:val="16"/>
                <w:szCs w:val="16"/>
                <w:lang w:val="en-US"/>
              </w:rPr>
            </w:pPr>
            <w:r>
              <w:rPr>
                <w:sz w:val="16"/>
                <w:szCs w:val="16"/>
                <w:lang w:val="en-US"/>
              </w:rPr>
              <w:lastRenderedPageBreak/>
              <w:t>(1</w:t>
            </w:r>
            <w:r w:rsidR="00635535">
              <w:rPr>
                <w:sz w:val="16"/>
                <w:szCs w:val="16"/>
                <w:lang w:val="en-US"/>
              </w:rPr>
              <w:t xml:space="preserve"> </w:t>
            </w:r>
            <w:r>
              <w:rPr>
                <w:sz w:val="16"/>
                <w:szCs w:val="16"/>
                <w:lang w:val="en-US"/>
              </w:rPr>
              <w:t>333.0)</w:t>
            </w:r>
            <w:r w:rsidR="49654CA7" w:rsidRPr="1736BDDC">
              <w:rPr>
                <w:sz w:val="16"/>
                <w:szCs w:val="16"/>
                <w:lang w:val="en-US"/>
              </w:rPr>
              <w:t xml:space="preserve">  </w:t>
            </w:r>
          </w:p>
        </w:tc>
        <w:tc>
          <w:tcPr>
            <w:tcW w:w="1053" w:type="dxa"/>
          </w:tcPr>
          <w:p w14:paraId="0404E77D" w14:textId="565A9012" w:rsidR="4669D646" w:rsidRDefault="4669D646" w:rsidP="00635535">
            <w:pPr>
              <w:spacing w:line="240" w:lineRule="auto"/>
              <w:jc w:val="right"/>
              <w:rPr>
                <w:sz w:val="16"/>
                <w:szCs w:val="16"/>
                <w:lang w:val="en-US"/>
              </w:rPr>
            </w:pPr>
            <w:r w:rsidRPr="1736BDDC">
              <w:rPr>
                <w:sz w:val="16"/>
                <w:szCs w:val="16"/>
                <w:lang w:val="en-US"/>
              </w:rPr>
              <w:lastRenderedPageBreak/>
              <w:t>28</w:t>
            </w:r>
            <w:r w:rsidR="00635535">
              <w:rPr>
                <w:sz w:val="16"/>
                <w:szCs w:val="16"/>
                <w:lang w:val="en-US"/>
              </w:rPr>
              <w:t xml:space="preserve"> </w:t>
            </w:r>
            <w:r w:rsidRPr="1736BDDC">
              <w:rPr>
                <w:sz w:val="16"/>
                <w:szCs w:val="16"/>
                <w:lang w:val="en-US"/>
              </w:rPr>
              <w:t>265.0</w:t>
            </w:r>
          </w:p>
        </w:tc>
        <w:tc>
          <w:tcPr>
            <w:tcW w:w="1404" w:type="dxa"/>
          </w:tcPr>
          <w:p w14:paraId="68327302" w14:textId="6B55D615" w:rsidR="2D986B10" w:rsidRDefault="00536EBE" w:rsidP="00635535">
            <w:pPr>
              <w:spacing w:line="240" w:lineRule="auto"/>
              <w:jc w:val="right"/>
              <w:rPr>
                <w:sz w:val="16"/>
                <w:szCs w:val="16"/>
                <w:lang w:val="en-US"/>
              </w:rPr>
            </w:pPr>
            <w:r>
              <w:rPr>
                <w:sz w:val="16"/>
                <w:szCs w:val="16"/>
                <w:lang w:val="en-US"/>
              </w:rPr>
              <w:t>1</w:t>
            </w:r>
            <w:r w:rsidR="00635535">
              <w:rPr>
                <w:sz w:val="16"/>
                <w:szCs w:val="16"/>
                <w:lang w:val="en-US"/>
              </w:rPr>
              <w:t xml:space="preserve"> </w:t>
            </w:r>
            <w:r>
              <w:rPr>
                <w:sz w:val="16"/>
                <w:szCs w:val="16"/>
                <w:lang w:val="en-US"/>
              </w:rPr>
              <w:t>239,.6</w:t>
            </w:r>
          </w:p>
        </w:tc>
        <w:tc>
          <w:tcPr>
            <w:tcW w:w="1670" w:type="dxa"/>
          </w:tcPr>
          <w:p w14:paraId="5A7C0607" w14:textId="5702D1C6" w:rsidR="2D986B10" w:rsidRDefault="00536EBE" w:rsidP="00635535">
            <w:pPr>
              <w:spacing w:line="240" w:lineRule="auto"/>
              <w:jc w:val="right"/>
              <w:rPr>
                <w:sz w:val="16"/>
                <w:szCs w:val="16"/>
                <w:lang w:val="en-US"/>
              </w:rPr>
            </w:pPr>
            <w:r>
              <w:rPr>
                <w:sz w:val="16"/>
                <w:szCs w:val="16"/>
                <w:lang w:val="en-US"/>
              </w:rPr>
              <w:t>3</w:t>
            </w:r>
            <w:r w:rsidR="00635535">
              <w:rPr>
                <w:sz w:val="16"/>
                <w:szCs w:val="16"/>
                <w:lang w:val="en-US"/>
              </w:rPr>
              <w:t xml:space="preserve"> </w:t>
            </w:r>
            <w:r>
              <w:rPr>
                <w:sz w:val="16"/>
                <w:szCs w:val="16"/>
                <w:lang w:val="en-US"/>
              </w:rPr>
              <w:t>253.2</w:t>
            </w:r>
          </w:p>
        </w:tc>
      </w:tr>
      <w:tr w:rsidR="1736BDDC" w14:paraId="3AB309DC" w14:textId="77777777" w:rsidTr="002A2C54">
        <w:tc>
          <w:tcPr>
            <w:tcW w:w="1080" w:type="dxa"/>
            <w:vMerge/>
            <w:tcBorders>
              <w:top w:val="nil"/>
              <w:left w:val="nil"/>
              <w:bottom w:val="nil"/>
            </w:tcBorders>
          </w:tcPr>
          <w:p w14:paraId="0F83DC4A" w14:textId="77777777" w:rsidR="000D7BC3" w:rsidRDefault="000D7BC3" w:rsidP="00914946">
            <w:pPr>
              <w:spacing w:line="240" w:lineRule="auto"/>
            </w:pPr>
          </w:p>
        </w:tc>
        <w:tc>
          <w:tcPr>
            <w:tcW w:w="1376" w:type="dxa"/>
          </w:tcPr>
          <w:p w14:paraId="3F57FBA7" w14:textId="7DBFD7A0" w:rsidR="5ABF8A92" w:rsidRDefault="00820E54" w:rsidP="00914946">
            <w:pPr>
              <w:spacing w:line="240" w:lineRule="auto"/>
              <w:rPr>
                <w:i/>
                <w:iCs/>
                <w:sz w:val="16"/>
                <w:szCs w:val="16"/>
                <w:lang w:val="en-US"/>
              </w:rPr>
            </w:pPr>
            <w:r>
              <w:rPr>
                <w:i/>
                <w:iCs/>
                <w:sz w:val="16"/>
                <w:szCs w:val="16"/>
                <w:lang w:val="en-US"/>
              </w:rPr>
              <w:t xml:space="preserve">Less </w:t>
            </w:r>
            <w:r w:rsidR="008D2932">
              <w:rPr>
                <w:i/>
                <w:iCs/>
                <w:sz w:val="16"/>
                <w:szCs w:val="16"/>
                <w:lang w:val="en-US"/>
              </w:rPr>
              <w:t xml:space="preserve">actual or </w:t>
            </w:r>
            <w:r>
              <w:rPr>
                <w:i/>
                <w:iCs/>
                <w:sz w:val="16"/>
                <w:szCs w:val="16"/>
                <w:lang w:val="en-US"/>
              </w:rPr>
              <w:t>e</w:t>
            </w:r>
            <w:r w:rsidR="5ABF8A92" w:rsidRPr="1736BDDC">
              <w:rPr>
                <w:i/>
                <w:iCs/>
                <w:sz w:val="16"/>
                <w:szCs w:val="16"/>
                <w:lang w:val="en-US"/>
              </w:rPr>
              <w:t>stimated expenditures</w:t>
            </w:r>
          </w:p>
        </w:tc>
        <w:tc>
          <w:tcPr>
            <w:tcW w:w="1235" w:type="dxa"/>
          </w:tcPr>
          <w:p w14:paraId="6AB98D7B" w14:textId="2236735F" w:rsidR="06ABF2C1" w:rsidRDefault="06ABF2C1" w:rsidP="00635535">
            <w:pPr>
              <w:spacing w:line="240" w:lineRule="auto"/>
              <w:jc w:val="right"/>
              <w:rPr>
                <w:sz w:val="16"/>
                <w:szCs w:val="16"/>
                <w:lang w:val="en-US"/>
              </w:rPr>
            </w:pPr>
            <w:r w:rsidRPr="1736BDDC">
              <w:rPr>
                <w:sz w:val="16"/>
                <w:szCs w:val="16"/>
                <w:lang w:val="en-US"/>
              </w:rPr>
              <w:t>24</w:t>
            </w:r>
            <w:r w:rsidR="00635535">
              <w:rPr>
                <w:sz w:val="16"/>
                <w:szCs w:val="16"/>
                <w:lang w:val="en-US"/>
              </w:rPr>
              <w:t xml:space="preserve"> </w:t>
            </w:r>
            <w:r w:rsidRPr="1736BDDC">
              <w:rPr>
                <w:sz w:val="16"/>
                <w:szCs w:val="16"/>
                <w:lang w:val="en-US"/>
              </w:rPr>
              <w:t>027.6</w:t>
            </w:r>
          </w:p>
        </w:tc>
        <w:tc>
          <w:tcPr>
            <w:tcW w:w="1248" w:type="dxa"/>
          </w:tcPr>
          <w:p w14:paraId="58B9161A" w14:textId="1DF4C035" w:rsidR="39F9C8AB" w:rsidRDefault="39F9C8AB" w:rsidP="00635535">
            <w:pPr>
              <w:spacing w:line="240" w:lineRule="auto"/>
              <w:jc w:val="right"/>
              <w:rPr>
                <w:sz w:val="16"/>
                <w:szCs w:val="16"/>
                <w:lang w:val="en-US"/>
              </w:rPr>
            </w:pPr>
            <w:r w:rsidRPr="1736BDDC">
              <w:rPr>
                <w:sz w:val="16"/>
                <w:szCs w:val="16"/>
                <w:lang w:val="en-US"/>
              </w:rPr>
              <w:t>20</w:t>
            </w:r>
            <w:r w:rsidR="00635535">
              <w:rPr>
                <w:sz w:val="16"/>
                <w:szCs w:val="16"/>
                <w:lang w:val="en-US"/>
              </w:rPr>
              <w:t xml:space="preserve"> </w:t>
            </w:r>
            <w:r w:rsidRPr="1736BDDC">
              <w:rPr>
                <w:sz w:val="16"/>
                <w:szCs w:val="16"/>
                <w:lang w:val="en-US"/>
              </w:rPr>
              <w:t xml:space="preserve">895.8  </w:t>
            </w:r>
          </w:p>
        </w:tc>
        <w:tc>
          <w:tcPr>
            <w:tcW w:w="1014" w:type="dxa"/>
          </w:tcPr>
          <w:p w14:paraId="0EF33B78" w14:textId="47049BC6" w:rsidR="00980C1A" w:rsidRDefault="00980C1A" w:rsidP="00635535">
            <w:pPr>
              <w:spacing w:line="240" w:lineRule="auto"/>
              <w:jc w:val="right"/>
              <w:rPr>
                <w:sz w:val="16"/>
                <w:szCs w:val="16"/>
                <w:lang w:val="en-US"/>
              </w:rPr>
            </w:pPr>
          </w:p>
          <w:p w14:paraId="2334F923" w14:textId="517E69AD" w:rsidR="40EB0839" w:rsidRDefault="00980C1A" w:rsidP="00635535">
            <w:pPr>
              <w:spacing w:line="240" w:lineRule="auto"/>
              <w:jc w:val="right"/>
              <w:rPr>
                <w:sz w:val="16"/>
                <w:szCs w:val="16"/>
                <w:lang w:val="en-US"/>
              </w:rPr>
            </w:pPr>
            <w:r>
              <w:rPr>
                <w:sz w:val="16"/>
                <w:szCs w:val="16"/>
                <w:lang w:val="en-US"/>
              </w:rPr>
              <w:t>(3</w:t>
            </w:r>
            <w:r w:rsidR="00635535">
              <w:rPr>
                <w:sz w:val="16"/>
                <w:szCs w:val="16"/>
                <w:lang w:val="en-US"/>
              </w:rPr>
              <w:t xml:space="preserve"> </w:t>
            </w:r>
            <w:r>
              <w:rPr>
                <w:sz w:val="16"/>
                <w:szCs w:val="16"/>
                <w:lang w:val="en-US"/>
              </w:rPr>
              <w:t>131.8)</w:t>
            </w:r>
            <w:r w:rsidR="40EB0839" w:rsidRPr="1736BDDC">
              <w:rPr>
                <w:sz w:val="16"/>
                <w:szCs w:val="16"/>
                <w:lang w:val="en-US"/>
              </w:rPr>
              <w:t xml:space="preserve"> </w:t>
            </w:r>
          </w:p>
        </w:tc>
        <w:tc>
          <w:tcPr>
            <w:tcW w:w="1053" w:type="dxa"/>
          </w:tcPr>
          <w:p w14:paraId="2A96AD1B" w14:textId="79A8E311" w:rsidR="3AF06F77" w:rsidRDefault="3AF06F77" w:rsidP="00635535">
            <w:pPr>
              <w:spacing w:line="240" w:lineRule="auto"/>
              <w:jc w:val="right"/>
              <w:rPr>
                <w:sz w:val="16"/>
                <w:szCs w:val="16"/>
                <w:lang w:val="en-US"/>
              </w:rPr>
            </w:pPr>
            <w:r w:rsidRPr="1736BDDC">
              <w:rPr>
                <w:sz w:val="16"/>
                <w:szCs w:val="16"/>
                <w:lang w:val="en-US"/>
              </w:rPr>
              <w:t>24</w:t>
            </w:r>
            <w:r w:rsidR="00635535">
              <w:rPr>
                <w:sz w:val="16"/>
                <w:szCs w:val="16"/>
                <w:lang w:val="en-US"/>
              </w:rPr>
              <w:t xml:space="preserve"> </w:t>
            </w:r>
            <w:r w:rsidRPr="1736BDDC">
              <w:rPr>
                <w:sz w:val="16"/>
                <w:szCs w:val="16"/>
                <w:lang w:val="en-US"/>
              </w:rPr>
              <w:t>149.0</w:t>
            </w:r>
          </w:p>
        </w:tc>
        <w:tc>
          <w:tcPr>
            <w:tcW w:w="1404" w:type="dxa"/>
          </w:tcPr>
          <w:p w14:paraId="69A51373" w14:textId="5F1BFF7B" w:rsidR="199B1A84" w:rsidRDefault="199B1A84" w:rsidP="00635535">
            <w:pPr>
              <w:spacing w:line="240" w:lineRule="auto"/>
              <w:jc w:val="right"/>
              <w:rPr>
                <w:sz w:val="16"/>
                <w:szCs w:val="16"/>
                <w:lang w:val="en-US"/>
              </w:rPr>
            </w:pPr>
            <w:r w:rsidRPr="1736BDDC">
              <w:rPr>
                <w:sz w:val="16"/>
                <w:szCs w:val="16"/>
                <w:lang w:val="en-US"/>
              </w:rPr>
              <w:t>1</w:t>
            </w:r>
            <w:r w:rsidR="00635535">
              <w:rPr>
                <w:sz w:val="16"/>
                <w:szCs w:val="16"/>
                <w:lang w:val="en-US"/>
              </w:rPr>
              <w:t xml:space="preserve"> </w:t>
            </w:r>
            <w:r w:rsidRPr="1736BDDC">
              <w:rPr>
                <w:sz w:val="16"/>
                <w:szCs w:val="16"/>
                <w:lang w:val="en-US"/>
              </w:rPr>
              <w:t>214.0</w:t>
            </w:r>
          </w:p>
        </w:tc>
        <w:tc>
          <w:tcPr>
            <w:tcW w:w="1670" w:type="dxa"/>
          </w:tcPr>
          <w:p w14:paraId="7601708A" w14:textId="5024F8B6" w:rsidR="199B1A84" w:rsidRDefault="199B1A84" w:rsidP="00635535">
            <w:pPr>
              <w:spacing w:line="240" w:lineRule="auto"/>
              <w:jc w:val="right"/>
              <w:rPr>
                <w:sz w:val="16"/>
                <w:szCs w:val="16"/>
                <w:lang w:val="en-US"/>
              </w:rPr>
            </w:pPr>
            <w:r w:rsidRPr="1736BDDC">
              <w:rPr>
                <w:sz w:val="16"/>
                <w:szCs w:val="16"/>
                <w:lang w:val="en-US"/>
              </w:rPr>
              <w:t>3</w:t>
            </w:r>
            <w:r w:rsidR="00635535">
              <w:rPr>
                <w:sz w:val="16"/>
                <w:szCs w:val="16"/>
                <w:lang w:val="en-US"/>
              </w:rPr>
              <w:t xml:space="preserve"> </w:t>
            </w:r>
            <w:r w:rsidRPr="1736BDDC">
              <w:rPr>
                <w:sz w:val="16"/>
                <w:szCs w:val="16"/>
                <w:lang w:val="en-US"/>
              </w:rPr>
              <w:t>353.2</w:t>
            </w:r>
          </w:p>
        </w:tc>
      </w:tr>
      <w:tr w:rsidR="1736BDDC" w14:paraId="096F3F4A" w14:textId="77777777" w:rsidTr="002A2C54">
        <w:trPr>
          <w:trHeight w:val="525"/>
        </w:trPr>
        <w:tc>
          <w:tcPr>
            <w:tcW w:w="1080" w:type="dxa"/>
            <w:vMerge/>
            <w:tcBorders>
              <w:top w:val="nil"/>
              <w:left w:val="nil"/>
              <w:bottom w:val="nil"/>
            </w:tcBorders>
          </w:tcPr>
          <w:p w14:paraId="55E9671A" w14:textId="77777777" w:rsidR="000D7BC3" w:rsidRDefault="000D7BC3" w:rsidP="00914946">
            <w:pPr>
              <w:spacing w:line="240" w:lineRule="auto"/>
            </w:pPr>
          </w:p>
        </w:tc>
        <w:tc>
          <w:tcPr>
            <w:tcW w:w="1376" w:type="dxa"/>
          </w:tcPr>
          <w:p w14:paraId="3AAA60F3" w14:textId="1D24E3B8" w:rsidR="5ABF8A92" w:rsidRDefault="5ABF8A92" w:rsidP="00914946">
            <w:pPr>
              <w:spacing w:line="240" w:lineRule="auto"/>
              <w:jc w:val="right"/>
              <w:rPr>
                <w:b/>
                <w:bCs/>
                <w:sz w:val="16"/>
                <w:szCs w:val="16"/>
                <w:lang w:val="en-US"/>
              </w:rPr>
            </w:pPr>
            <w:r w:rsidRPr="1736BDDC">
              <w:rPr>
                <w:b/>
                <w:bCs/>
                <w:sz w:val="16"/>
                <w:szCs w:val="16"/>
                <w:lang w:val="en-US"/>
              </w:rPr>
              <w:t>Balance of resources</w:t>
            </w:r>
          </w:p>
        </w:tc>
        <w:tc>
          <w:tcPr>
            <w:tcW w:w="1235" w:type="dxa"/>
          </w:tcPr>
          <w:p w14:paraId="5F8AC319" w14:textId="35662E97" w:rsidR="68EB4C89" w:rsidRDefault="68EB4C89" w:rsidP="00635535">
            <w:pPr>
              <w:spacing w:line="240" w:lineRule="auto"/>
              <w:jc w:val="right"/>
              <w:rPr>
                <w:sz w:val="16"/>
                <w:szCs w:val="16"/>
                <w:lang w:val="en-US"/>
              </w:rPr>
            </w:pPr>
            <w:r w:rsidRPr="1736BDDC">
              <w:rPr>
                <w:sz w:val="16"/>
                <w:szCs w:val="16"/>
                <w:lang w:val="en-US"/>
              </w:rPr>
              <w:t>3</w:t>
            </w:r>
            <w:r w:rsidR="00635535">
              <w:rPr>
                <w:sz w:val="16"/>
                <w:szCs w:val="16"/>
                <w:lang w:val="en-US"/>
              </w:rPr>
              <w:t xml:space="preserve"> </w:t>
            </w:r>
            <w:r w:rsidRPr="1736BDDC">
              <w:rPr>
                <w:sz w:val="16"/>
                <w:szCs w:val="16"/>
                <w:lang w:val="en-US"/>
              </w:rPr>
              <w:t>007.8</w:t>
            </w:r>
          </w:p>
        </w:tc>
        <w:tc>
          <w:tcPr>
            <w:tcW w:w="1248" w:type="dxa"/>
          </w:tcPr>
          <w:p w14:paraId="5498B463" w14:textId="2C1633D8" w:rsidR="1C392274" w:rsidRDefault="1C392274" w:rsidP="00635535">
            <w:pPr>
              <w:spacing w:line="240" w:lineRule="auto"/>
              <w:jc w:val="right"/>
              <w:rPr>
                <w:sz w:val="16"/>
                <w:szCs w:val="16"/>
                <w:lang w:val="en-US"/>
              </w:rPr>
            </w:pPr>
            <w:r w:rsidRPr="1736BDDC">
              <w:rPr>
                <w:sz w:val="16"/>
                <w:szCs w:val="16"/>
                <w:lang w:val="en-US"/>
              </w:rPr>
              <w:t>4</w:t>
            </w:r>
            <w:r w:rsidR="00635535">
              <w:rPr>
                <w:sz w:val="16"/>
                <w:szCs w:val="16"/>
                <w:lang w:val="en-US"/>
              </w:rPr>
              <w:t xml:space="preserve"> </w:t>
            </w:r>
            <w:r w:rsidRPr="1736BDDC">
              <w:rPr>
                <w:sz w:val="16"/>
                <w:szCs w:val="16"/>
                <w:lang w:val="en-US"/>
              </w:rPr>
              <w:t xml:space="preserve">796.7  </w:t>
            </w:r>
          </w:p>
        </w:tc>
        <w:tc>
          <w:tcPr>
            <w:tcW w:w="1014" w:type="dxa"/>
          </w:tcPr>
          <w:p w14:paraId="7D0C81EC" w14:textId="6ACFA8E7" w:rsidR="4689913B" w:rsidRDefault="4689913B" w:rsidP="00635535">
            <w:pPr>
              <w:spacing w:line="240" w:lineRule="auto"/>
              <w:jc w:val="right"/>
              <w:rPr>
                <w:sz w:val="16"/>
                <w:szCs w:val="16"/>
                <w:lang w:val="en-US"/>
              </w:rPr>
            </w:pPr>
            <w:r w:rsidRPr="1736BDDC">
              <w:rPr>
                <w:sz w:val="16"/>
                <w:szCs w:val="16"/>
                <w:lang w:val="en-US"/>
              </w:rPr>
              <w:t>1</w:t>
            </w:r>
            <w:r w:rsidR="00635535">
              <w:rPr>
                <w:sz w:val="16"/>
                <w:szCs w:val="16"/>
                <w:lang w:val="en-US"/>
              </w:rPr>
              <w:t xml:space="preserve"> </w:t>
            </w:r>
            <w:r w:rsidRPr="1736BDDC">
              <w:rPr>
                <w:sz w:val="16"/>
                <w:szCs w:val="16"/>
                <w:lang w:val="en-US"/>
              </w:rPr>
              <w:t xml:space="preserve">788.9 </w:t>
            </w:r>
          </w:p>
        </w:tc>
        <w:tc>
          <w:tcPr>
            <w:tcW w:w="1053" w:type="dxa"/>
          </w:tcPr>
          <w:p w14:paraId="5BC171E4" w14:textId="3B8F920A" w:rsidR="679976F5" w:rsidRDefault="679976F5" w:rsidP="00635535">
            <w:pPr>
              <w:spacing w:line="240" w:lineRule="auto"/>
              <w:jc w:val="right"/>
              <w:rPr>
                <w:sz w:val="16"/>
                <w:szCs w:val="16"/>
                <w:lang w:val="en-US"/>
              </w:rPr>
            </w:pPr>
            <w:r w:rsidRPr="1736BDDC">
              <w:rPr>
                <w:sz w:val="16"/>
                <w:szCs w:val="16"/>
                <w:lang w:val="en-US"/>
              </w:rPr>
              <w:t>4</w:t>
            </w:r>
            <w:r w:rsidR="00635535">
              <w:rPr>
                <w:sz w:val="16"/>
                <w:szCs w:val="16"/>
                <w:lang w:val="en-US"/>
              </w:rPr>
              <w:t xml:space="preserve"> </w:t>
            </w:r>
            <w:r w:rsidRPr="1736BDDC">
              <w:rPr>
                <w:sz w:val="16"/>
                <w:szCs w:val="16"/>
                <w:lang w:val="en-US"/>
              </w:rPr>
              <w:t>116.0</w:t>
            </w:r>
          </w:p>
        </w:tc>
        <w:tc>
          <w:tcPr>
            <w:tcW w:w="1404" w:type="dxa"/>
          </w:tcPr>
          <w:p w14:paraId="4C6E50D5" w14:textId="0DE267AC" w:rsidR="79C4A768" w:rsidRDefault="79C4A768" w:rsidP="00635535">
            <w:pPr>
              <w:spacing w:line="240" w:lineRule="auto"/>
              <w:jc w:val="right"/>
              <w:rPr>
                <w:sz w:val="16"/>
                <w:szCs w:val="16"/>
                <w:lang w:val="en-US"/>
              </w:rPr>
            </w:pPr>
            <w:r w:rsidRPr="1736BDDC">
              <w:rPr>
                <w:sz w:val="16"/>
                <w:szCs w:val="16"/>
                <w:lang w:val="en-US"/>
              </w:rPr>
              <w:t>1</w:t>
            </w:r>
            <w:r w:rsidR="00635535">
              <w:rPr>
                <w:sz w:val="16"/>
                <w:szCs w:val="16"/>
                <w:lang w:val="en-US"/>
              </w:rPr>
              <w:t xml:space="preserve"> </w:t>
            </w:r>
            <w:r w:rsidRPr="1736BDDC">
              <w:rPr>
                <w:sz w:val="16"/>
                <w:szCs w:val="16"/>
                <w:lang w:val="en-US"/>
              </w:rPr>
              <w:t>108.2</w:t>
            </w:r>
          </w:p>
        </w:tc>
        <w:tc>
          <w:tcPr>
            <w:tcW w:w="1670" w:type="dxa"/>
          </w:tcPr>
          <w:p w14:paraId="4FC3564C" w14:textId="5661FDFE" w:rsidR="79C4A768" w:rsidRDefault="79C4A768" w:rsidP="00635535">
            <w:pPr>
              <w:spacing w:line="240" w:lineRule="auto"/>
              <w:jc w:val="right"/>
              <w:rPr>
                <w:sz w:val="16"/>
                <w:szCs w:val="16"/>
                <w:lang w:val="en-US"/>
              </w:rPr>
            </w:pPr>
            <w:r w:rsidRPr="1736BDDC">
              <w:rPr>
                <w:sz w:val="16"/>
                <w:szCs w:val="16"/>
                <w:lang w:val="en-US"/>
              </w:rPr>
              <w:t>(680.7)</w:t>
            </w:r>
          </w:p>
        </w:tc>
      </w:tr>
    </w:tbl>
    <w:p w14:paraId="0F176B67" w14:textId="5DD07B8E" w:rsidR="1736BDDC" w:rsidRPr="003C21CC" w:rsidRDefault="1736BDDC" w:rsidP="003C21CC">
      <w:pPr>
        <w:tabs>
          <w:tab w:val="left" w:pos="1620"/>
          <w:tab w:val="left" w:pos="8820"/>
        </w:tabs>
        <w:spacing w:line="240" w:lineRule="auto"/>
        <w:ind w:left="1260" w:right="1200"/>
        <w:jc w:val="both"/>
      </w:pPr>
    </w:p>
    <w:p w14:paraId="0F1B0EA3" w14:textId="77C802F2" w:rsidR="00672F8E" w:rsidRPr="003C21CC" w:rsidRDefault="066DB1AC" w:rsidP="005B7702">
      <w:pPr>
        <w:tabs>
          <w:tab w:val="left" w:pos="1620"/>
          <w:tab w:val="left" w:pos="8820"/>
        </w:tabs>
        <w:suppressAutoHyphens w:val="0"/>
        <w:spacing w:after="120" w:line="240" w:lineRule="auto"/>
        <w:ind w:left="1260" w:right="1200"/>
        <w:jc w:val="both"/>
        <w:rPr>
          <w:b/>
          <w:bCs/>
        </w:rPr>
      </w:pPr>
      <w:r w:rsidRPr="003C21CC">
        <w:t>2</w:t>
      </w:r>
      <w:r w:rsidR="65C327CE" w:rsidRPr="003C21CC">
        <w:t>.</w:t>
      </w:r>
      <w:r w:rsidRPr="003C21CC">
        <w:tab/>
      </w:r>
      <w:r w:rsidR="0906CB21" w:rsidRPr="003C21CC">
        <w:t xml:space="preserve">As summarized in table 1 above, </w:t>
      </w:r>
      <w:r w:rsidR="2C2C7DBF" w:rsidRPr="003C21CC">
        <w:t xml:space="preserve">the integrated resources plan for the period 2022-2025, </w:t>
      </w:r>
      <w:r w:rsidR="7FB6F98C" w:rsidRPr="003C21CC">
        <w:t xml:space="preserve">which </w:t>
      </w:r>
      <w:r w:rsidR="2C2C7DBF" w:rsidRPr="003C21CC">
        <w:t>represent</w:t>
      </w:r>
      <w:r w:rsidR="53D3E096" w:rsidRPr="003C21CC">
        <w:t>s</w:t>
      </w:r>
      <w:r w:rsidR="2C2C7DBF" w:rsidRPr="003C21CC">
        <w:t xml:space="preserve"> </w:t>
      </w:r>
      <w:r w:rsidR="6860C42E" w:rsidRPr="003C21CC">
        <w:t>the</w:t>
      </w:r>
      <w:r w:rsidR="2235A4C8" w:rsidRPr="003C21CC">
        <w:t xml:space="preserve"> totality of </w:t>
      </w:r>
      <w:r w:rsidR="6F0EE1D2" w:rsidRPr="003C21CC">
        <w:t>the</w:t>
      </w:r>
      <w:r w:rsidR="2235A4C8" w:rsidRPr="003C21CC">
        <w:t xml:space="preserve"> resources for </w:t>
      </w:r>
      <w:r w:rsidR="29C3F053" w:rsidRPr="003C21CC">
        <w:t>all UNDP activities</w:t>
      </w:r>
      <w:r w:rsidR="7C947036" w:rsidRPr="003C21CC">
        <w:t xml:space="preserve">, </w:t>
      </w:r>
      <w:r w:rsidR="2D83F136" w:rsidRPr="003C21CC">
        <w:t>amount</w:t>
      </w:r>
      <w:r w:rsidR="00635535">
        <w:t>s</w:t>
      </w:r>
      <w:r w:rsidR="2D83F136" w:rsidRPr="003C21CC">
        <w:t xml:space="preserve"> </w:t>
      </w:r>
      <w:r w:rsidR="6F55050C" w:rsidRPr="003C21CC">
        <w:t xml:space="preserve">to </w:t>
      </w:r>
      <w:r w:rsidR="3D07539B" w:rsidRPr="003C21CC">
        <w:t>$</w:t>
      </w:r>
      <w:r w:rsidR="08A411EB" w:rsidRPr="003C21CC">
        <w:t>28</w:t>
      </w:r>
      <w:r w:rsidR="72C0FE34" w:rsidRPr="003C21CC">
        <w:t>,265,000,000</w:t>
      </w:r>
      <w:r w:rsidR="5AF0724B" w:rsidRPr="003C21CC">
        <w:t xml:space="preserve">, </w:t>
      </w:r>
      <w:r w:rsidR="036248D0" w:rsidRPr="003C21CC">
        <w:t xml:space="preserve">and </w:t>
      </w:r>
      <w:r w:rsidR="4754D461" w:rsidRPr="003C21CC">
        <w:t>reflect</w:t>
      </w:r>
      <w:r w:rsidR="00635535">
        <w:t>s</w:t>
      </w:r>
      <w:r w:rsidR="731AC0A5" w:rsidRPr="003C21CC">
        <w:t xml:space="preserve"> an increase of</w:t>
      </w:r>
      <w:r w:rsidR="41B00823" w:rsidRPr="003C21CC">
        <w:t xml:space="preserve"> </w:t>
      </w:r>
      <w:r w:rsidR="2A0741B2" w:rsidRPr="003C21CC">
        <w:t>$</w:t>
      </w:r>
      <w:r w:rsidR="12A46C88" w:rsidRPr="003C21CC">
        <w:t>2,572,600,000</w:t>
      </w:r>
      <w:r w:rsidR="29EC05D1" w:rsidRPr="003C21CC">
        <w:t xml:space="preserve"> (</w:t>
      </w:r>
      <w:r w:rsidR="237D3561" w:rsidRPr="003C21CC">
        <w:t>1</w:t>
      </w:r>
      <w:r w:rsidR="18F52EAF" w:rsidRPr="003C21CC">
        <w:t>0.0</w:t>
      </w:r>
      <w:r w:rsidR="2A0741B2" w:rsidRPr="003C21CC">
        <w:t xml:space="preserve"> per </w:t>
      </w:r>
      <w:r w:rsidR="7E7F998D" w:rsidRPr="003C21CC">
        <w:t>cent) as</w:t>
      </w:r>
      <w:r w:rsidR="00014D82" w:rsidRPr="003C21CC">
        <w:t xml:space="preserve"> </w:t>
      </w:r>
      <w:r w:rsidR="2A0741B2" w:rsidRPr="003C21CC">
        <w:t xml:space="preserve">compared </w:t>
      </w:r>
      <w:r w:rsidR="3F99BA47" w:rsidRPr="003C21CC">
        <w:t>with</w:t>
      </w:r>
      <w:r w:rsidR="3B188B06" w:rsidRPr="003C21CC">
        <w:t xml:space="preserve"> the u</w:t>
      </w:r>
      <w:r w:rsidR="4CD630B1" w:rsidRPr="003C21CC">
        <w:t xml:space="preserve">pdated estimate </w:t>
      </w:r>
      <w:r w:rsidR="00014D82" w:rsidRPr="003C21CC">
        <w:t>of $25,692,400,000</w:t>
      </w:r>
      <w:r w:rsidR="004D3B2E" w:rsidRPr="003C21CC">
        <w:t xml:space="preserve"> </w:t>
      </w:r>
      <w:r w:rsidR="4CD630B1" w:rsidRPr="003C21CC">
        <w:t>for 2018-2021</w:t>
      </w:r>
      <w:r w:rsidR="00E00850" w:rsidRPr="003C21CC">
        <w:t xml:space="preserve"> (see also</w:t>
      </w:r>
      <w:r w:rsidR="00550C1C" w:rsidRPr="003C21CC">
        <w:t xml:space="preserve"> </w:t>
      </w:r>
      <w:r w:rsidR="5B2013D1" w:rsidRPr="003C21CC">
        <w:t>DP/2021/29,</w:t>
      </w:r>
      <w:r w:rsidR="3A72866A" w:rsidRPr="003C21CC">
        <w:t xml:space="preserve"> section</w:t>
      </w:r>
      <w:r w:rsidR="28BD482C" w:rsidRPr="003C21CC">
        <w:t>s</w:t>
      </w:r>
      <w:r w:rsidR="3A72866A" w:rsidRPr="003C21CC">
        <w:t xml:space="preserve"> A and B, </w:t>
      </w:r>
      <w:r w:rsidR="5B2013D1" w:rsidRPr="003C21CC">
        <w:t>and annex I, figure</w:t>
      </w:r>
      <w:r w:rsidR="00D2540F">
        <w:t>s</w:t>
      </w:r>
      <w:r w:rsidR="5B2013D1" w:rsidRPr="003C21CC">
        <w:t xml:space="preserve"> 1a</w:t>
      </w:r>
      <w:r w:rsidR="4D11B8AD" w:rsidRPr="003C21CC">
        <w:t xml:space="preserve"> and 1b</w:t>
      </w:r>
      <w:r w:rsidR="5B2013D1" w:rsidRPr="003C21CC">
        <w:t>)</w:t>
      </w:r>
      <w:r w:rsidR="00550C1C" w:rsidRPr="003C21CC">
        <w:t>.</w:t>
      </w:r>
      <w:r w:rsidR="00121712" w:rsidRPr="003C21CC">
        <w:t xml:space="preserve"> </w:t>
      </w:r>
      <w:r w:rsidR="00121712" w:rsidRPr="003C21CC">
        <w:rPr>
          <w:b/>
          <w:bCs/>
        </w:rPr>
        <w:t xml:space="preserve">The Advisory Committee </w:t>
      </w:r>
      <w:r w:rsidR="006659BB" w:rsidRPr="003C21CC">
        <w:rPr>
          <w:b/>
          <w:bCs/>
        </w:rPr>
        <w:t>considers that</w:t>
      </w:r>
      <w:r w:rsidR="004739F9" w:rsidRPr="003C21CC">
        <w:rPr>
          <w:b/>
          <w:bCs/>
        </w:rPr>
        <w:t xml:space="preserve"> the presentation of the integrated </w:t>
      </w:r>
      <w:r w:rsidR="0091026A" w:rsidRPr="003C21CC">
        <w:rPr>
          <w:b/>
          <w:bCs/>
        </w:rPr>
        <w:t xml:space="preserve">resources plan </w:t>
      </w:r>
      <w:r w:rsidR="004739F9" w:rsidRPr="003C21CC">
        <w:rPr>
          <w:b/>
          <w:bCs/>
        </w:rPr>
        <w:t>should include the evolution of expenditures</w:t>
      </w:r>
      <w:r w:rsidR="00AF4FEA" w:rsidRPr="003C21CC">
        <w:rPr>
          <w:b/>
          <w:bCs/>
        </w:rPr>
        <w:t xml:space="preserve"> (actual and projected) by object or categories o</w:t>
      </w:r>
      <w:r w:rsidR="0091026A" w:rsidRPr="003C21CC">
        <w:rPr>
          <w:b/>
          <w:bCs/>
        </w:rPr>
        <w:t xml:space="preserve">f </w:t>
      </w:r>
      <w:r w:rsidR="00AF4FEA" w:rsidRPr="003C21CC">
        <w:rPr>
          <w:b/>
          <w:bCs/>
        </w:rPr>
        <w:t>expenditures against planning estimates and justification for projected resource requirements</w:t>
      </w:r>
      <w:r w:rsidR="0091026A" w:rsidRPr="003C21CC">
        <w:rPr>
          <w:b/>
          <w:bCs/>
        </w:rPr>
        <w:t xml:space="preserve">, and </w:t>
      </w:r>
      <w:r w:rsidR="00CB6FD7" w:rsidRPr="003C21CC">
        <w:rPr>
          <w:rFonts w:asciiTheme="majorBidi" w:eastAsia="Times New Roman" w:hAnsiTheme="majorBidi" w:cstheme="majorBidi"/>
          <w:b/>
          <w:bCs/>
          <w:spacing w:val="0"/>
          <w:lang w:val="en-US"/>
        </w:rPr>
        <w:t>trusts that</w:t>
      </w:r>
      <w:r w:rsidR="0091026A" w:rsidRPr="003C21CC">
        <w:rPr>
          <w:rFonts w:asciiTheme="majorBidi" w:eastAsia="Times New Roman" w:hAnsiTheme="majorBidi" w:cstheme="majorBidi"/>
          <w:b/>
          <w:bCs/>
          <w:spacing w:val="0"/>
          <w:lang w:val="en-US"/>
        </w:rPr>
        <w:t xml:space="preserve"> </w:t>
      </w:r>
      <w:r w:rsidR="002B1022" w:rsidRPr="003C21CC">
        <w:rPr>
          <w:rFonts w:asciiTheme="majorBidi" w:eastAsia="Times New Roman" w:hAnsiTheme="majorBidi" w:cstheme="majorBidi"/>
          <w:b/>
          <w:bCs/>
          <w:spacing w:val="0"/>
          <w:lang w:val="en-US"/>
        </w:rPr>
        <w:t xml:space="preserve">the UNDP Administrator will present </w:t>
      </w:r>
      <w:r w:rsidR="0091026A" w:rsidRPr="003C21CC">
        <w:rPr>
          <w:rFonts w:asciiTheme="majorBidi" w:eastAsia="Times New Roman" w:hAnsiTheme="majorBidi" w:cstheme="majorBidi"/>
          <w:b/>
          <w:bCs/>
          <w:spacing w:val="0"/>
          <w:lang w:val="en-US"/>
        </w:rPr>
        <w:t xml:space="preserve">this information </w:t>
      </w:r>
      <w:r w:rsidR="00CB6FD7" w:rsidRPr="003C21CC">
        <w:rPr>
          <w:rFonts w:asciiTheme="majorBidi" w:eastAsia="Times New Roman" w:hAnsiTheme="majorBidi" w:cstheme="majorBidi"/>
          <w:b/>
          <w:spacing w:val="0"/>
          <w:lang w:val="en-US"/>
        </w:rPr>
        <w:t xml:space="preserve">in future budget </w:t>
      </w:r>
      <w:r w:rsidR="0091026A" w:rsidRPr="003C21CC">
        <w:rPr>
          <w:rFonts w:asciiTheme="majorBidi" w:eastAsia="Times New Roman" w:hAnsiTheme="majorBidi" w:cstheme="majorBidi"/>
          <w:b/>
          <w:spacing w:val="0"/>
          <w:lang w:val="en-US"/>
        </w:rPr>
        <w:t xml:space="preserve">submissions </w:t>
      </w:r>
      <w:r w:rsidR="00CB6FD7" w:rsidRPr="003C21CC">
        <w:rPr>
          <w:rFonts w:asciiTheme="majorBidi" w:eastAsia="Times New Roman" w:hAnsiTheme="majorBidi" w:cstheme="majorBidi"/>
          <w:b/>
          <w:bCs/>
          <w:spacing w:val="0"/>
          <w:lang w:val="en-US"/>
        </w:rPr>
        <w:t xml:space="preserve">to enable </w:t>
      </w:r>
      <w:r w:rsidR="00CB6FD7" w:rsidRPr="003C21CC">
        <w:rPr>
          <w:rFonts w:asciiTheme="majorBidi" w:eastAsia="Times New Roman" w:hAnsiTheme="majorBidi" w:cstheme="majorBidi"/>
          <w:b/>
          <w:spacing w:val="0"/>
          <w:lang w:val="en-US"/>
        </w:rPr>
        <w:t xml:space="preserve">a </w:t>
      </w:r>
      <w:r w:rsidR="00EC7C58" w:rsidRPr="003C21CC">
        <w:rPr>
          <w:rFonts w:asciiTheme="majorBidi" w:eastAsia="Times New Roman" w:hAnsiTheme="majorBidi" w:cstheme="majorBidi"/>
          <w:b/>
          <w:spacing w:val="0"/>
          <w:lang w:val="en-US"/>
        </w:rPr>
        <w:t xml:space="preserve">more efficient and transparent </w:t>
      </w:r>
      <w:r w:rsidR="00CB6FD7" w:rsidRPr="003C21CC">
        <w:rPr>
          <w:rFonts w:asciiTheme="majorBidi" w:eastAsia="Times New Roman" w:hAnsiTheme="majorBidi" w:cstheme="majorBidi"/>
          <w:b/>
          <w:spacing w:val="0"/>
          <w:lang w:val="en-US"/>
        </w:rPr>
        <w:t>consideration of the budget</w:t>
      </w:r>
      <w:r w:rsidR="002B1022" w:rsidRPr="003C21CC">
        <w:rPr>
          <w:b/>
          <w:bCs/>
        </w:rPr>
        <w:t xml:space="preserve">. The Committee </w:t>
      </w:r>
      <w:r w:rsidR="00510916" w:rsidRPr="003C21CC">
        <w:rPr>
          <w:b/>
          <w:bCs/>
        </w:rPr>
        <w:t>re</w:t>
      </w:r>
      <w:r w:rsidR="00247A6B" w:rsidRPr="003C21CC">
        <w:rPr>
          <w:b/>
          <w:bCs/>
        </w:rPr>
        <w:t>quest</w:t>
      </w:r>
      <w:r w:rsidR="00510916" w:rsidRPr="003C21CC">
        <w:rPr>
          <w:b/>
          <w:bCs/>
        </w:rPr>
        <w:t xml:space="preserve">s the Administrator </w:t>
      </w:r>
      <w:r w:rsidR="00D2540F">
        <w:rPr>
          <w:b/>
          <w:bCs/>
        </w:rPr>
        <w:t xml:space="preserve">to </w:t>
      </w:r>
      <w:r w:rsidR="00247A6B" w:rsidRPr="003C21CC">
        <w:rPr>
          <w:b/>
          <w:bCs/>
        </w:rPr>
        <w:t>ensure that updated versions</w:t>
      </w:r>
      <w:r w:rsidR="00F77FF8" w:rsidRPr="003C21CC">
        <w:rPr>
          <w:b/>
          <w:bCs/>
        </w:rPr>
        <w:t xml:space="preserve"> of</w:t>
      </w:r>
      <w:r w:rsidR="00247A6B" w:rsidRPr="003C21CC">
        <w:rPr>
          <w:b/>
          <w:bCs/>
        </w:rPr>
        <w:t xml:space="preserve"> table 1 above</w:t>
      </w:r>
      <w:r w:rsidR="00F77FF8" w:rsidRPr="003C21CC">
        <w:rPr>
          <w:b/>
          <w:bCs/>
        </w:rPr>
        <w:t>,</w:t>
      </w:r>
      <w:r w:rsidR="00247A6B" w:rsidRPr="003C21CC">
        <w:rPr>
          <w:b/>
          <w:bCs/>
        </w:rPr>
        <w:t xml:space="preserve"> </w:t>
      </w:r>
      <w:r w:rsidR="00F77FF8" w:rsidRPr="003C21CC">
        <w:rPr>
          <w:b/>
          <w:bCs/>
        </w:rPr>
        <w:t xml:space="preserve">in the same format, </w:t>
      </w:r>
      <w:r w:rsidR="00247A6B" w:rsidRPr="003C21CC">
        <w:rPr>
          <w:b/>
          <w:bCs/>
        </w:rPr>
        <w:t xml:space="preserve">will be </w:t>
      </w:r>
      <w:r w:rsidR="00510916" w:rsidRPr="003C21CC">
        <w:rPr>
          <w:b/>
          <w:bCs/>
        </w:rPr>
        <w:t>include</w:t>
      </w:r>
      <w:r w:rsidR="00247A6B" w:rsidRPr="003C21CC">
        <w:rPr>
          <w:b/>
          <w:bCs/>
        </w:rPr>
        <w:t>d</w:t>
      </w:r>
      <w:r w:rsidR="00510916" w:rsidRPr="003C21CC">
        <w:rPr>
          <w:b/>
          <w:bCs/>
        </w:rPr>
        <w:t xml:space="preserve"> as a matter of routine </w:t>
      </w:r>
      <w:r w:rsidR="00121712" w:rsidRPr="003C21CC">
        <w:rPr>
          <w:b/>
          <w:bCs/>
        </w:rPr>
        <w:t>in</w:t>
      </w:r>
      <w:r w:rsidR="00510916" w:rsidRPr="003C21CC">
        <w:rPr>
          <w:b/>
          <w:bCs/>
        </w:rPr>
        <w:t xml:space="preserve"> </w:t>
      </w:r>
      <w:r w:rsidR="00121712" w:rsidRPr="003C21CC">
        <w:rPr>
          <w:b/>
          <w:bCs/>
        </w:rPr>
        <w:t>all future</w:t>
      </w:r>
      <w:r w:rsidR="00A901B3" w:rsidRPr="003C21CC">
        <w:rPr>
          <w:b/>
          <w:bCs/>
        </w:rPr>
        <w:t xml:space="preserve"> reports on the</w:t>
      </w:r>
      <w:r w:rsidR="00121712" w:rsidRPr="003C21CC">
        <w:rPr>
          <w:b/>
          <w:bCs/>
        </w:rPr>
        <w:t xml:space="preserve"> </w:t>
      </w:r>
      <w:r w:rsidR="00B054BA" w:rsidRPr="003C21CC">
        <w:rPr>
          <w:b/>
          <w:bCs/>
        </w:rPr>
        <w:t xml:space="preserve">integrated resources plan and integrated budget estimates, as well as in </w:t>
      </w:r>
      <w:r w:rsidR="00510916" w:rsidRPr="003C21CC">
        <w:rPr>
          <w:b/>
          <w:bCs/>
        </w:rPr>
        <w:t>all future</w:t>
      </w:r>
      <w:r w:rsidR="00B054BA" w:rsidRPr="003C21CC">
        <w:rPr>
          <w:b/>
          <w:bCs/>
        </w:rPr>
        <w:t xml:space="preserve"> </w:t>
      </w:r>
      <w:r w:rsidR="00121712" w:rsidRPr="003C21CC">
        <w:rPr>
          <w:b/>
          <w:bCs/>
        </w:rPr>
        <w:t>midterm reports</w:t>
      </w:r>
      <w:r w:rsidR="00510916" w:rsidRPr="003C21CC">
        <w:rPr>
          <w:b/>
          <w:bCs/>
        </w:rPr>
        <w:t>.</w:t>
      </w:r>
      <w:r w:rsidR="00620BBE" w:rsidRPr="003C21CC">
        <w:rPr>
          <w:b/>
          <w:bCs/>
        </w:rPr>
        <w:t xml:space="preserve"> The Committee requests, furthermore, that </w:t>
      </w:r>
      <w:r w:rsidR="00104A84" w:rsidRPr="003C21CC">
        <w:rPr>
          <w:b/>
          <w:bCs/>
        </w:rPr>
        <w:t>similar tables, showing the resources in a synthesized and</w:t>
      </w:r>
      <w:r w:rsidR="0078179E" w:rsidRPr="003C21CC">
        <w:rPr>
          <w:b/>
          <w:bCs/>
        </w:rPr>
        <w:t xml:space="preserve"> </w:t>
      </w:r>
      <w:r w:rsidR="00104A84" w:rsidRPr="003C21CC">
        <w:rPr>
          <w:b/>
          <w:bCs/>
        </w:rPr>
        <w:t>“at-a-glance” manner, be included as a matter of routine</w:t>
      </w:r>
      <w:r w:rsidR="653DFB84" w:rsidRPr="003C21CC">
        <w:rPr>
          <w:b/>
          <w:bCs/>
        </w:rPr>
        <w:t xml:space="preserve"> in all future reports (i.e</w:t>
      </w:r>
      <w:r w:rsidR="00D2540F">
        <w:rPr>
          <w:b/>
          <w:bCs/>
        </w:rPr>
        <w:t>.,</w:t>
      </w:r>
      <w:r w:rsidR="653DFB84" w:rsidRPr="003C21CC">
        <w:rPr>
          <w:b/>
          <w:bCs/>
        </w:rPr>
        <w:t xml:space="preserve"> not in the form of annexes)</w:t>
      </w:r>
      <w:r w:rsidR="00104A84" w:rsidRPr="003C21CC">
        <w:rPr>
          <w:b/>
          <w:bCs/>
        </w:rPr>
        <w:t xml:space="preserve"> </w:t>
      </w:r>
      <w:r w:rsidR="00247D20" w:rsidRPr="003C21CC">
        <w:rPr>
          <w:b/>
          <w:bCs/>
        </w:rPr>
        <w:t>with respect to</w:t>
      </w:r>
      <w:r w:rsidR="4AAEE3DC" w:rsidRPr="003C21CC">
        <w:rPr>
          <w:b/>
          <w:bCs/>
        </w:rPr>
        <w:t>: (a)</w:t>
      </w:r>
      <w:r w:rsidR="00247D20" w:rsidRPr="003C21CC">
        <w:rPr>
          <w:b/>
          <w:bCs/>
        </w:rPr>
        <w:t xml:space="preserve"> the </w:t>
      </w:r>
      <w:r w:rsidR="00672F8E" w:rsidRPr="003C21CC">
        <w:rPr>
          <w:b/>
          <w:bCs/>
        </w:rPr>
        <w:t>i</w:t>
      </w:r>
      <w:r w:rsidR="00247D20" w:rsidRPr="003C21CC">
        <w:rPr>
          <w:b/>
          <w:bCs/>
        </w:rPr>
        <w:t>ntegrated budget (regular resources)</w:t>
      </w:r>
      <w:r w:rsidR="0AE6FE06" w:rsidRPr="003C21CC">
        <w:rPr>
          <w:b/>
          <w:bCs/>
        </w:rPr>
        <w:t xml:space="preserve">; </w:t>
      </w:r>
      <w:r w:rsidR="00672F8E" w:rsidRPr="003C21CC">
        <w:rPr>
          <w:b/>
          <w:bCs/>
        </w:rPr>
        <w:t xml:space="preserve">and </w:t>
      </w:r>
      <w:r w:rsidR="533DD08C" w:rsidRPr="003C21CC">
        <w:rPr>
          <w:b/>
          <w:bCs/>
        </w:rPr>
        <w:t xml:space="preserve">(b) </w:t>
      </w:r>
      <w:r w:rsidR="0078179E" w:rsidRPr="003C21CC">
        <w:rPr>
          <w:b/>
          <w:bCs/>
        </w:rPr>
        <w:t>the i</w:t>
      </w:r>
      <w:r w:rsidR="00672F8E" w:rsidRPr="003C21CC">
        <w:rPr>
          <w:b/>
          <w:bCs/>
        </w:rPr>
        <w:t>nstitutional component of the integrated budget</w:t>
      </w:r>
      <w:r w:rsidR="0078179E" w:rsidRPr="003C21CC">
        <w:rPr>
          <w:b/>
          <w:bCs/>
        </w:rPr>
        <w:t xml:space="preserve"> (see </w:t>
      </w:r>
      <w:r w:rsidR="3FFC70EB" w:rsidRPr="003C21CC">
        <w:rPr>
          <w:b/>
          <w:bCs/>
        </w:rPr>
        <w:t xml:space="preserve">also </w:t>
      </w:r>
      <w:r w:rsidR="001213DD" w:rsidRPr="003C21CC">
        <w:rPr>
          <w:b/>
          <w:bCs/>
        </w:rPr>
        <w:t xml:space="preserve">para. 9 </w:t>
      </w:r>
      <w:r w:rsidR="0078179E" w:rsidRPr="003C21CC">
        <w:rPr>
          <w:b/>
          <w:bCs/>
        </w:rPr>
        <w:t>below).</w:t>
      </w:r>
    </w:p>
    <w:p w14:paraId="2A5F235E" w14:textId="0A6EC5D5" w:rsidR="00611DC1" w:rsidRPr="003C21CC" w:rsidRDefault="3C9AB86B" w:rsidP="005B7702">
      <w:pPr>
        <w:tabs>
          <w:tab w:val="left" w:pos="1620"/>
          <w:tab w:val="left" w:pos="8820"/>
        </w:tabs>
        <w:spacing w:after="120" w:line="240" w:lineRule="auto"/>
        <w:ind w:left="1260" w:right="1200"/>
        <w:jc w:val="both"/>
      </w:pPr>
      <w:r w:rsidRPr="003C21CC">
        <w:t>3.</w:t>
      </w:r>
      <w:r w:rsidRPr="003C21CC">
        <w:tab/>
      </w:r>
      <w:r w:rsidR="5C823A03" w:rsidRPr="003C21CC">
        <w:t>As also indicated in t</w:t>
      </w:r>
      <w:r w:rsidR="5C3E56D5" w:rsidRPr="003C21CC">
        <w:t>h</w:t>
      </w:r>
      <w:r w:rsidR="5C823A03" w:rsidRPr="003C21CC">
        <w:t>e budget doc</w:t>
      </w:r>
      <w:r w:rsidR="3A94AEFE" w:rsidRPr="003C21CC">
        <w:t xml:space="preserve">ument, as well as in table 1 above, </w:t>
      </w:r>
      <w:r w:rsidR="714D6BAC" w:rsidRPr="003C21CC">
        <w:t xml:space="preserve"> for 2022-2025, an amount of</w:t>
      </w:r>
      <w:r w:rsidR="644EC1B7" w:rsidRPr="003C21CC">
        <w:t xml:space="preserve"> $21,632,000,000 </w:t>
      </w:r>
      <w:r w:rsidR="13711F20" w:rsidRPr="003C21CC">
        <w:t xml:space="preserve">of </w:t>
      </w:r>
      <w:r w:rsidR="5C823A03" w:rsidRPr="003C21CC">
        <w:t xml:space="preserve">donor contributions </w:t>
      </w:r>
      <w:r w:rsidR="761B7C4F" w:rsidRPr="003C21CC">
        <w:t xml:space="preserve">is </w:t>
      </w:r>
      <w:r w:rsidR="51A0BE7C" w:rsidRPr="003C21CC">
        <w:t>projected</w:t>
      </w:r>
      <w:r w:rsidR="4C817D9A" w:rsidRPr="003C21CC">
        <w:t xml:space="preserve">, comprising </w:t>
      </w:r>
      <w:r w:rsidR="5C823A03" w:rsidRPr="003C21CC">
        <w:t>$3</w:t>
      </w:r>
      <w:r w:rsidR="04EF19D5" w:rsidRPr="003C21CC">
        <w:t>,</w:t>
      </w:r>
      <w:r w:rsidR="003E4B24" w:rsidRPr="003C21CC">
        <w:t>060,000,000</w:t>
      </w:r>
      <w:r w:rsidR="0AEBBFB8" w:rsidRPr="003C21CC">
        <w:t xml:space="preserve"> </w:t>
      </w:r>
      <w:r w:rsidR="5C823A03" w:rsidRPr="003C21CC">
        <w:t>regular and $18</w:t>
      </w:r>
      <w:r w:rsidR="00CD2D6A" w:rsidRPr="003C21CC">
        <w:t>,572</w:t>
      </w:r>
      <w:r w:rsidR="264F5CB9" w:rsidRPr="003C21CC">
        <w:t>,</w:t>
      </w:r>
      <w:r w:rsidR="00CD2D6A" w:rsidRPr="003C21CC">
        <w:t>0</w:t>
      </w:r>
      <w:r w:rsidR="264F5CB9" w:rsidRPr="003C21CC">
        <w:t>00,000 of</w:t>
      </w:r>
      <w:r w:rsidR="5C823A03" w:rsidRPr="003C21CC">
        <w:t xml:space="preserve"> other resources</w:t>
      </w:r>
      <w:r w:rsidR="100EA324" w:rsidRPr="003C21CC">
        <w:t>,</w:t>
      </w:r>
      <w:r w:rsidR="5C823A03" w:rsidRPr="003C21CC">
        <w:t xml:space="preserve"> representing an increase of $1</w:t>
      </w:r>
      <w:r w:rsidR="00D24253" w:rsidRPr="003C21CC">
        <w:t>,928,900,000</w:t>
      </w:r>
      <w:r w:rsidR="5C823A03" w:rsidRPr="003C21CC">
        <w:t xml:space="preserve"> or 2.7 per</w:t>
      </w:r>
      <w:r w:rsidR="005B7702">
        <w:t xml:space="preserve"> </w:t>
      </w:r>
      <w:r w:rsidR="5C823A03" w:rsidRPr="003C21CC">
        <w:t>cent annualized increase from the latest projected contributions for 2021</w:t>
      </w:r>
      <w:r w:rsidR="31BFFB0B" w:rsidRPr="003C21CC">
        <w:t>, while t</w:t>
      </w:r>
      <w:r w:rsidR="5C823A03" w:rsidRPr="003C21CC">
        <w:t xml:space="preserve">otal expenditure is estimated </w:t>
      </w:r>
      <w:r w:rsidR="32F30233" w:rsidRPr="003C21CC">
        <w:t xml:space="preserve">at </w:t>
      </w:r>
      <w:r w:rsidR="5C823A03" w:rsidRPr="003C21CC">
        <w:t>$24</w:t>
      </w:r>
      <w:r w:rsidR="008D70C2" w:rsidRPr="003C21CC">
        <w:t>,149,000,000</w:t>
      </w:r>
      <w:r w:rsidR="5C823A03" w:rsidRPr="003C21CC">
        <w:t>, an increase of $3</w:t>
      </w:r>
      <w:r w:rsidR="00A11D9E" w:rsidRPr="003C21CC">
        <w:t>,253,200,000</w:t>
      </w:r>
      <w:r w:rsidR="45E0BECB" w:rsidRPr="003C21CC">
        <w:t>,</w:t>
      </w:r>
      <w:r w:rsidR="5C823A03" w:rsidRPr="003C21CC">
        <w:t xml:space="preserve"> or 3.9 per</w:t>
      </w:r>
      <w:r w:rsidR="005B7702">
        <w:t xml:space="preserve"> </w:t>
      </w:r>
      <w:r w:rsidR="5C823A03" w:rsidRPr="003C21CC">
        <w:t>cent annualized increase from the latest projected expenditures for 2021.</w:t>
      </w:r>
    </w:p>
    <w:p w14:paraId="695AC888" w14:textId="1A506FDF" w:rsidR="00611DC1" w:rsidRPr="003C21CC" w:rsidRDefault="00611DC1" w:rsidP="005B7702">
      <w:pPr>
        <w:tabs>
          <w:tab w:val="left" w:pos="1620"/>
          <w:tab w:val="left" w:pos="8820"/>
        </w:tabs>
        <w:spacing w:after="120" w:line="240" w:lineRule="auto"/>
        <w:ind w:left="1260" w:right="1200"/>
        <w:jc w:val="both"/>
        <w:rPr>
          <w:rFonts w:asciiTheme="majorBidi" w:hAnsiTheme="majorBidi" w:cstheme="majorBidi"/>
        </w:rPr>
      </w:pPr>
      <w:r w:rsidRPr="003C21CC">
        <w:t>4.</w:t>
      </w:r>
      <w:r w:rsidRPr="003C21CC">
        <w:tab/>
        <w:t xml:space="preserve">Upon enquiry, the Advisory Committee was provided </w:t>
      </w:r>
      <w:r w:rsidR="0037144B" w:rsidRPr="003C21CC">
        <w:t xml:space="preserve">with a </w:t>
      </w:r>
      <w:r w:rsidR="0037144B" w:rsidRPr="003C21CC">
        <w:rPr>
          <w:rFonts w:asciiTheme="majorBidi" w:hAnsiTheme="majorBidi" w:cstheme="majorBidi"/>
        </w:rPr>
        <w:t xml:space="preserve">table </w:t>
      </w:r>
      <w:r w:rsidR="00801B57" w:rsidRPr="003C21CC">
        <w:rPr>
          <w:rFonts w:asciiTheme="majorBidi" w:hAnsiTheme="majorBidi" w:cstheme="majorBidi"/>
        </w:rPr>
        <w:t>showing</w:t>
      </w:r>
      <w:r w:rsidR="008E3D53" w:rsidRPr="003C21CC">
        <w:rPr>
          <w:rFonts w:asciiTheme="majorBidi" w:hAnsiTheme="majorBidi" w:cstheme="majorBidi"/>
        </w:rPr>
        <w:t xml:space="preserve"> information on </w:t>
      </w:r>
      <w:r w:rsidR="007A2EE5" w:rsidRPr="003C21CC">
        <w:rPr>
          <w:rFonts w:asciiTheme="majorBidi" w:hAnsiTheme="majorBidi" w:cstheme="majorBidi"/>
        </w:rPr>
        <w:t xml:space="preserve">the </w:t>
      </w:r>
      <w:r w:rsidR="0037144B" w:rsidRPr="003C21CC">
        <w:rPr>
          <w:rFonts w:asciiTheme="majorBidi" w:hAnsiTheme="majorBidi" w:cstheme="majorBidi"/>
        </w:rPr>
        <w:t>four</w:t>
      </w:r>
      <w:r w:rsidR="007A2EE5" w:rsidRPr="003C21CC">
        <w:rPr>
          <w:rFonts w:asciiTheme="majorBidi" w:hAnsiTheme="majorBidi" w:cstheme="majorBidi"/>
        </w:rPr>
        <w:t>-</w:t>
      </w:r>
      <w:r w:rsidR="0037144B" w:rsidRPr="003C21CC">
        <w:rPr>
          <w:rFonts w:asciiTheme="majorBidi" w:hAnsiTheme="majorBidi" w:cstheme="majorBidi"/>
        </w:rPr>
        <w:t xml:space="preserve">year strategic plans </w:t>
      </w:r>
      <w:r w:rsidR="005D6486" w:rsidRPr="003C21CC">
        <w:rPr>
          <w:rFonts w:asciiTheme="majorBidi" w:hAnsiTheme="majorBidi" w:cstheme="majorBidi"/>
        </w:rPr>
        <w:t>2014-2017</w:t>
      </w:r>
      <w:r w:rsidR="0059310F" w:rsidRPr="003C21CC">
        <w:rPr>
          <w:rFonts w:asciiTheme="majorBidi" w:hAnsiTheme="majorBidi" w:cstheme="majorBidi"/>
        </w:rPr>
        <w:t xml:space="preserve"> and 2018-2021</w:t>
      </w:r>
      <w:r w:rsidR="00622608" w:rsidRPr="003C21CC">
        <w:rPr>
          <w:rFonts w:asciiTheme="majorBidi" w:hAnsiTheme="majorBidi" w:cstheme="majorBidi"/>
        </w:rPr>
        <w:t>, as follows:</w:t>
      </w:r>
    </w:p>
    <w:p w14:paraId="492B552F" w14:textId="196CF4E5" w:rsidR="007A2EE5" w:rsidRPr="003C21CC" w:rsidRDefault="007A2EE5" w:rsidP="003C21CC">
      <w:pPr>
        <w:tabs>
          <w:tab w:val="left" w:pos="1620"/>
          <w:tab w:val="left" w:pos="8820"/>
        </w:tabs>
        <w:spacing w:line="240" w:lineRule="auto"/>
        <w:ind w:left="1260" w:right="1200"/>
        <w:jc w:val="both"/>
        <w:rPr>
          <w:rFonts w:asciiTheme="majorBidi" w:hAnsiTheme="majorBidi" w:cstheme="majorBidi"/>
          <w:b/>
          <w:bCs/>
        </w:rPr>
      </w:pPr>
      <w:r w:rsidRPr="003C21CC">
        <w:rPr>
          <w:rFonts w:asciiTheme="majorBidi" w:hAnsiTheme="majorBidi" w:cstheme="majorBidi"/>
          <w:b/>
          <w:bCs/>
        </w:rPr>
        <w:t>Table 2</w:t>
      </w:r>
    </w:p>
    <w:p w14:paraId="03FBBA34" w14:textId="4F7F72FB" w:rsidR="00622608" w:rsidRPr="003C21CC" w:rsidRDefault="00622608" w:rsidP="003C21CC">
      <w:pPr>
        <w:tabs>
          <w:tab w:val="left" w:pos="1620"/>
          <w:tab w:val="left" w:pos="8820"/>
        </w:tabs>
        <w:spacing w:line="240" w:lineRule="auto"/>
        <w:ind w:left="1260" w:right="1200"/>
        <w:jc w:val="both"/>
        <w:rPr>
          <w:b/>
          <w:bCs/>
        </w:rPr>
      </w:pPr>
      <w:r w:rsidRPr="003C21CC">
        <w:rPr>
          <w:rFonts w:asciiTheme="majorBidi" w:hAnsiTheme="majorBidi" w:cstheme="majorBidi"/>
          <w:b/>
          <w:bCs/>
        </w:rPr>
        <w:t>Four-year strategic plans 2014-2017 to 2018-2021</w:t>
      </w:r>
    </w:p>
    <w:p w14:paraId="2AEF59A6" w14:textId="7FB7F4E3" w:rsidR="007E6CDB" w:rsidRPr="003C21CC" w:rsidRDefault="00D2540F" w:rsidP="003C21CC">
      <w:pPr>
        <w:suppressAutoHyphens w:val="0"/>
        <w:spacing w:line="240" w:lineRule="auto"/>
        <w:ind w:left="1260" w:right="1200"/>
        <w:jc w:val="both"/>
        <w:rPr>
          <w:rFonts w:asciiTheme="majorBidi" w:eastAsia="Times New Roman" w:hAnsiTheme="majorBidi" w:cstheme="majorBidi"/>
          <w:i/>
          <w:iCs/>
          <w:spacing w:val="0"/>
          <w:w w:val="100"/>
          <w:kern w:val="0"/>
          <w:lang w:val="en-US"/>
        </w:rPr>
      </w:pPr>
      <w:r>
        <w:rPr>
          <w:rFonts w:asciiTheme="majorBidi" w:eastAsia="Times New Roman" w:hAnsiTheme="majorBidi" w:cstheme="majorBidi"/>
          <w:i/>
          <w:iCs/>
          <w:spacing w:val="0"/>
          <w:w w:val="100"/>
          <w:kern w:val="0"/>
          <w:lang w:val="en-US"/>
        </w:rPr>
        <w:t>I</w:t>
      </w:r>
      <w:r w:rsidR="007E6CDB" w:rsidRPr="003C21CC">
        <w:rPr>
          <w:rFonts w:asciiTheme="majorBidi" w:eastAsia="Times New Roman" w:hAnsiTheme="majorBidi" w:cstheme="majorBidi"/>
          <w:i/>
          <w:iCs/>
          <w:spacing w:val="0"/>
          <w:w w:val="100"/>
          <w:kern w:val="0"/>
          <w:lang w:val="en-US"/>
        </w:rPr>
        <w:t xml:space="preserve">n millions of </w:t>
      </w:r>
      <w:r>
        <w:rPr>
          <w:rFonts w:asciiTheme="majorBidi" w:eastAsia="Times New Roman" w:hAnsiTheme="majorBidi" w:cstheme="majorBidi"/>
          <w:i/>
          <w:iCs/>
          <w:spacing w:val="0"/>
          <w:w w:val="100"/>
          <w:kern w:val="0"/>
          <w:lang w:val="en-US"/>
        </w:rPr>
        <w:t>United States dollars</w:t>
      </w:r>
      <w:r w:rsidR="007E6CDB" w:rsidRPr="003C21CC">
        <w:rPr>
          <w:rFonts w:asciiTheme="majorBidi" w:eastAsia="Times New Roman" w:hAnsiTheme="majorBidi" w:cstheme="majorBidi"/>
          <w:i/>
          <w:iCs/>
          <w:spacing w:val="0"/>
          <w:w w:val="100"/>
          <w:kern w:val="0"/>
          <w:lang w:val="en-US"/>
        </w:rPr>
        <w:t>)</w:t>
      </w:r>
    </w:p>
    <w:p w14:paraId="0FCCCF3F" w14:textId="77777777" w:rsidR="00622608" w:rsidRPr="007E6CDB" w:rsidRDefault="00622608" w:rsidP="00914946">
      <w:pPr>
        <w:suppressAutoHyphens w:val="0"/>
        <w:spacing w:line="240" w:lineRule="auto"/>
        <w:rPr>
          <w:rFonts w:asciiTheme="majorBidi" w:eastAsia="Times New Roman" w:hAnsiTheme="majorBidi" w:cstheme="majorBidi"/>
          <w:i/>
          <w:iCs/>
          <w:spacing w:val="0"/>
          <w:w w:val="100"/>
          <w:kern w:val="0"/>
          <w:sz w:val="18"/>
          <w:szCs w:val="18"/>
          <w:lang w:val="en-US"/>
        </w:rPr>
      </w:pPr>
    </w:p>
    <w:tbl>
      <w:tblPr>
        <w:tblW w:w="9511" w:type="dxa"/>
        <w:tblLayout w:type="fixed"/>
        <w:tblCellMar>
          <w:left w:w="0" w:type="dxa"/>
          <w:right w:w="0" w:type="dxa"/>
        </w:tblCellMar>
        <w:tblLook w:val="04A0" w:firstRow="1" w:lastRow="0" w:firstColumn="1" w:lastColumn="0" w:noHBand="0" w:noVBand="1"/>
      </w:tblPr>
      <w:tblGrid>
        <w:gridCol w:w="1364"/>
        <w:gridCol w:w="1234"/>
        <w:gridCol w:w="916"/>
        <w:gridCol w:w="1016"/>
        <w:gridCol w:w="873"/>
        <w:gridCol w:w="1092"/>
        <w:gridCol w:w="875"/>
        <w:gridCol w:w="961"/>
        <w:gridCol w:w="1180"/>
      </w:tblGrid>
      <w:tr w:rsidR="007E6CDB" w:rsidRPr="007E6CDB" w14:paraId="3D999485" w14:textId="77777777" w:rsidTr="00A47C1E">
        <w:trPr>
          <w:trHeight w:val="230"/>
        </w:trPr>
        <w:tc>
          <w:tcPr>
            <w:tcW w:w="1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4EF96A"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p>
        </w:tc>
        <w:tc>
          <w:tcPr>
            <w:tcW w:w="403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C3359E" w14:textId="77777777" w:rsidR="007E6CDB" w:rsidRPr="007E6CDB" w:rsidRDefault="007E6CDB" w:rsidP="00914946">
            <w:pPr>
              <w:suppressAutoHyphens w:val="0"/>
              <w:spacing w:line="240" w:lineRule="auto"/>
              <w:jc w:val="center"/>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 xml:space="preserve">2014-2017 </w:t>
            </w:r>
            <w:r w:rsidRPr="007E6CDB">
              <w:rPr>
                <w:rFonts w:eastAsia="Times New Roman"/>
                <w:spacing w:val="0"/>
                <w:w w:val="100"/>
                <w:kern w:val="0"/>
                <w:sz w:val="16"/>
                <w:szCs w:val="16"/>
                <w:lang w:eastAsia="en-GB"/>
              </w:rPr>
              <w:t>(planned DP/2013/41)</w:t>
            </w:r>
          </w:p>
        </w:tc>
        <w:tc>
          <w:tcPr>
            <w:tcW w:w="410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ECCDA1" w14:textId="77777777" w:rsidR="007E6CDB" w:rsidRPr="007E6CDB" w:rsidRDefault="007E6CDB" w:rsidP="00914946">
            <w:pPr>
              <w:suppressAutoHyphens w:val="0"/>
              <w:spacing w:line="240" w:lineRule="auto"/>
              <w:jc w:val="center"/>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 xml:space="preserve">2014-2017 </w:t>
            </w:r>
            <w:r w:rsidRPr="007E6CDB">
              <w:rPr>
                <w:rFonts w:eastAsia="Times New Roman"/>
                <w:spacing w:val="0"/>
                <w:w w:val="100"/>
                <w:kern w:val="0"/>
                <w:sz w:val="16"/>
                <w:szCs w:val="16"/>
                <w:lang w:eastAsia="en-GB"/>
              </w:rPr>
              <w:t>(estimates DP/2017/39)</w:t>
            </w:r>
          </w:p>
        </w:tc>
      </w:tr>
      <w:tr w:rsidR="007E6CDB" w:rsidRPr="007E6CDB" w14:paraId="453BAD18" w14:textId="77777777" w:rsidTr="00A47C1E">
        <w:trPr>
          <w:trHeight w:val="230"/>
        </w:trPr>
        <w:tc>
          <w:tcPr>
            <w:tcW w:w="1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E395E5"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14:paraId="00FA5B65"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 xml:space="preserve">Regular </w:t>
            </w:r>
            <w:r w:rsidRPr="007E6CDB">
              <w:rPr>
                <w:rFonts w:eastAsia="Times New Roman"/>
                <w:spacing w:val="0"/>
                <w:w w:val="100"/>
                <w:kern w:val="0"/>
                <w:sz w:val="18"/>
                <w:szCs w:val="18"/>
                <w:lang w:eastAsia="en-GB"/>
              </w:rPr>
              <w:t>(non-earmarked)</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1F90E612"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Other</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14D6F2BF" w14:textId="4F3A9902"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 xml:space="preserve">Cost </w:t>
            </w:r>
            <w:r w:rsidR="00D2540F">
              <w:rPr>
                <w:rFonts w:eastAsia="Times New Roman"/>
                <w:b/>
                <w:bCs/>
                <w:spacing w:val="0"/>
                <w:w w:val="100"/>
                <w:kern w:val="0"/>
                <w:sz w:val="18"/>
                <w:szCs w:val="18"/>
                <w:lang w:eastAsia="en-GB"/>
              </w:rPr>
              <w:t>r</w:t>
            </w:r>
            <w:r w:rsidRPr="007E6CDB">
              <w:rPr>
                <w:rFonts w:eastAsia="Times New Roman"/>
                <w:b/>
                <w:bCs/>
                <w:spacing w:val="0"/>
                <w:w w:val="100"/>
                <w:kern w:val="0"/>
                <w:sz w:val="18"/>
                <w:szCs w:val="18"/>
                <w:lang w:eastAsia="en-GB"/>
              </w:rPr>
              <w:t>ecovery</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14:paraId="152B3CD4"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Total</w:t>
            </w:r>
          </w:p>
        </w:tc>
        <w:tc>
          <w:tcPr>
            <w:tcW w:w="1092" w:type="dxa"/>
            <w:tcBorders>
              <w:top w:val="nil"/>
              <w:left w:val="nil"/>
              <w:bottom w:val="single" w:sz="8" w:space="0" w:color="auto"/>
              <w:right w:val="single" w:sz="8" w:space="0" w:color="auto"/>
            </w:tcBorders>
            <w:tcMar>
              <w:top w:w="0" w:type="dxa"/>
              <w:left w:w="108" w:type="dxa"/>
              <w:bottom w:w="0" w:type="dxa"/>
              <w:right w:w="108" w:type="dxa"/>
            </w:tcMar>
          </w:tcPr>
          <w:p w14:paraId="36C94C06"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 xml:space="preserve">Regular </w:t>
            </w:r>
            <w:r w:rsidRPr="007E6CDB">
              <w:rPr>
                <w:rFonts w:eastAsia="Times New Roman"/>
                <w:spacing w:val="0"/>
                <w:w w:val="100"/>
                <w:kern w:val="0"/>
                <w:sz w:val="18"/>
                <w:szCs w:val="18"/>
                <w:lang w:eastAsia="en-GB"/>
              </w:rPr>
              <w:t>(non-earmarked)</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63764A72"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Other</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4C12EBDA" w14:textId="160CB4FA"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 xml:space="preserve">Cost </w:t>
            </w:r>
            <w:r w:rsidR="00D2540F">
              <w:rPr>
                <w:rFonts w:eastAsia="Times New Roman"/>
                <w:b/>
                <w:bCs/>
                <w:spacing w:val="0"/>
                <w:w w:val="100"/>
                <w:kern w:val="0"/>
                <w:sz w:val="18"/>
                <w:szCs w:val="18"/>
                <w:lang w:eastAsia="en-GB"/>
              </w:rPr>
              <w:t>r</w:t>
            </w:r>
            <w:r w:rsidRPr="007E6CDB">
              <w:rPr>
                <w:rFonts w:eastAsia="Times New Roman"/>
                <w:b/>
                <w:bCs/>
                <w:spacing w:val="0"/>
                <w:w w:val="100"/>
                <w:kern w:val="0"/>
                <w:sz w:val="18"/>
                <w:szCs w:val="18"/>
                <w:lang w:eastAsia="en-GB"/>
              </w:rPr>
              <w:t>ecovery</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0CEEEE61"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Total</w:t>
            </w:r>
          </w:p>
        </w:tc>
      </w:tr>
      <w:tr w:rsidR="007E6CDB" w:rsidRPr="007E6CDB" w14:paraId="5E603982" w14:textId="77777777" w:rsidTr="00A47C1E">
        <w:trPr>
          <w:trHeight w:val="230"/>
        </w:trPr>
        <w:tc>
          <w:tcPr>
            <w:tcW w:w="13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C51DB"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Contribution</w:t>
            </w:r>
          </w:p>
        </w:tc>
        <w:tc>
          <w:tcPr>
            <w:tcW w:w="1234" w:type="dxa"/>
            <w:tcBorders>
              <w:top w:val="nil"/>
              <w:left w:val="nil"/>
              <w:bottom w:val="single" w:sz="8" w:space="0" w:color="auto"/>
              <w:right w:val="single" w:sz="8" w:space="0" w:color="auto"/>
            </w:tcBorders>
            <w:tcMar>
              <w:top w:w="0" w:type="dxa"/>
              <w:left w:w="108" w:type="dxa"/>
              <w:bottom w:w="0" w:type="dxa"/>
              <w:right w:w="108" w:type="dxa"/>
            </w:tcMar>
          </w:tcPr>
          <w:p w14:paraId="5F8CF3C2" w14:textId="008786BC"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3</w:t>
            </w:r>
            <w:r w:rsidR="00D2540F">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600.0</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3D7031F8" w14:textId="6A48785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15</w:t>
            </w:r>
            <w:r w:rsidR="00D2540F">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759.0</w:t>
            </w:r>
          </w:p>
        </w:tc>
        <w:tc>
          <w:tcPr>
            <w:tcW w:w="1016" w:type="dxa"/>
            <w:tcBorders>
              <w:top w:val="nil"/>
              <w:left w:val="nil"/>
              <w:bottom w:val="single" w:sz="8" w:space="0" w:color="auto"/>
              <w:right w:val="single" w:sz="8" w:space="0" w:color="auto"/>
            </w:tcBorders>
            <w:tcMar>
              <w:top w:w="0" w:type="dxa"/>
              <w:left w:w="108" w:type="dxa"/>
              <w:bottom w:w="0" w:type="dxa"/>
              <w:right w:w="108" w:type="dxa"/>
            </w:tcMar>
          </w:tcPr>
          <w:p w14:paraId="1439BE6E" w14:textId="7777777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w:t>
            </w:r>
          </w:p>
        </w:tc>
        <w:tc>
          <w:tcPr>
            <w:tcW w:w="873" w:type="dxa"/>
            <w:tcBorders>
              <w:top w:val="nil"/>
              <w:left w:val="nil"/>
              <w:bottom w:val="single" w:sz="8" w:space="0" w:color="auto"/>
              <w:right w:val="single" w:sz="8" w:space="0" w:color="auto"/>
            </w:tcBorders>
            <w:tcMar>
              <w:top w:w="0" w:type="dxa"/>
              <w:left w:w="108" w:type="dxa"/>
              <w:bottom w:w="0" w:type="dxa"/>
              <w:right w:w="108" w:type="dxa"/>
            </w:tcMar>
          </w:tcPr>
          <w:p w14:paraId="064B3272" w14:textId="793D9B96" w:rsidR="007E6CDB" w:rsidRPr="007E6CDB" w:rsidRDefault="007E6CDB" w:rsidP="00914946">
            <w:pPr>
              <w:suppressAutoHyphens w:val="0"/>
              <w:spacing w:line="240" w:lineRule="auto"/>
              <w:jc w:val="right"/>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19</w:t>
            </w:r>
            <w:r w:rsidR="00D2540F">
              <w:rPr>
                <w:rFonts w:eastAsia="Times New Roman"/>
                <w:b/>
                <w:bCs/>
                <w:spacing w:val="0"/>
                <w:w w:val="100"/>
                <w:kern w:val="0"/>
                <w:sz w:val="18"/>
                <w:szCs w:val="18"/>
                <w:lang w:eastAsia="en-GB"/>
              </w:rPr>
              <w:t xml:space="preserve"> </w:t>
            </w:r>
            <w:r w:rsidRPr="007E6CDB">
              <w:rPr>
                <w:rFonts w:eastAsia="Times New Roman"/>
                <w:b/>
                <w:bCs/>
                <w:spacing w:val="0"/>
                <w:w w:val="100"/>
                <w:kern w:val="0"/>
                <w:sz w:val="18"/>
                <w:szCs w:val="18"/>
                <w:lang w:eastAsia="en-GB"/>
              </w:rPr>
              <w:t>359.0</w:t>
            </w:r>
          </w:p>
        </w:tc>
        <w:tc>
          <w:tcPr>
            <w:tcW w:w="1092" w:type="dxa"/>
            <w:tcBorders>
              <w:top w:val="nil"/>
              <w:left w:val="nil"/>
              <w:bottom w:val="single" w:sz="8" w:space="0" w:color="auto"/>
              <w:right w:val="single" w:sz="8" w:space="0" w:color="auto"/>
            </w:tcBorders>
            <w:tcMar>
              <w:top w:w="0" w:type="dxa"/>
              <w:left w:w="108" w:type="dxa"/>
              <w:bottom w:w="0" w:type="dxa"/>
              <w:right w:w="108" w:type="dxa"/>
            </w:tcMar>
          </w:tcPr>
          <w:p w14:paraId="0DDAE089" w14:textId="4B86CA12"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2</w:t>
            </w:r>
            <w:r w:rsidR="00D2540F">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715.2</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20E4A630" w14:textId="0D02E2B1"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15</w:t>
            </w:r>
            <w:r w:rsidR="00D2540F">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562.3</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7EC83EAC" w14:textId="7777777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63195860" w14:textId="42BF6516" w:rsidR="007E6CDB" w:rsidRPr="007E6CDB" w:rsidRDefault="007E6CDB" w:rsidP="00914946">
            <w:pPr>
              <w:suppressAutoHyphens w:val="0"/>
              <w:spacing w:line="240" w:lineRule="auto"/>
              <w:jc w:val="right"/>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18</w:t>
            </w:r>
            <w:r w:rsidR="00D2540F">
              <w:rPr>
                <w:rFonts w:eastAsia="Times New Roman"/>
                <w:b/>
                <w:bCs/>
                <w:spacing w:val="0"/>
                <w:w w:val="100"/>
                <w:kern w:val="0"/>
                <w:sz w:val="18"/>
                <w:szCs w:val="18"/>
                <w:lang w:eastAsia="en-GB"/>
              </w:rPr>
              <w:t xml:space="preserve"> </w:t>
            </w:r>
            <w:r w:rsidRPr="007E6CDB">
              <w:rPr>
                <w:rFonts w:eastAsia="Times New Roman"/>
                <w:b/>
                <w:bCs/>
                <w:spacing w:val="0"/>
                <w:w w:val="100"/>
                <w:kern w:val="0"/>
                <w:sz w:val="18"/>
                <w:szCs w:val="18"/>
                <w:lang w:eastAsia="en-GB"/>
              </w:rPr>
              <w:t>277.5</w:t>
            </w:r>
          </w:p>
        </w:tc>
      </w:tr>
      <w:tr w:rsidR="007E6CDB" w:rsidRPr="007E6CDB" w14:paraId="4EA0DF4A" w14:textId="77777777" w:rsidTr="00A47C1E">
        <w:trPr>
          <w:trHeight w:val="450"/>
        </w:trPr>
        <w:tc>
          <w:tcPr>
            <w:tcW w:w="13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B19E1"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Institutional Expenditure</w:t>
            </w:r>
          </w:p>
        </w:tc>
        <w:tc>
          <w:tcPr>
            <w:tcW w:w="1234" w:type="dxa"/>
            <w:tcBorders>
              <w:top w:val="nil"/>
              <w:left w:val="nil"/>
              <w:bottom w:val="single" w:sz="8" w:space="0" w:color="auto"/>
              <w:right w:val="single" w:sz="8" w:space="0" w:color="auto"/>
            </w:tcBorders>
            <w:tcMar>
              <w:top w:w="0" w:type="dxa"/>
              <w:left w:w="108" w:type="dxa"/>
              <w:bottom w:w="0" w:type="dxa"/>
              <w:right w:w="108" w:type="dxa"/>
            </w:tcMar>
          </w:tcPr>
          <w:p w14:paraId="6F6C848F" w14:textId="4395CD1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w:t>
            </w:r>
            <w:r w:rsidR="00D2540F">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510.4</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31264827" w14:textId="7777777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w:t>
            </w:r>
          </w:p>
        </w:tc>
        <w:tc>
          <w:tcPr>
            <w:tcW w:w="1016" w:type="dxa"/>
            <w:tcBorders>
              <w:top w:val="nil"/>
              <w:left w:val="nil"/>
              <w:bottom w:val="single" w:sz="8" w:space="0" w:color="auto"/>
              <w:right w:val="single" w:sz="8" w:space="0" w:color="auto"/>
            </w:tcBorders>
            <w:tcMar>
              <w:top w:w="0" w:type="dxa"/>
              <w:left w:w="108" w:type="dxa"/>
              <w:bottom w:w="0" w:type="dxa"/>
              <w:right w:w="108" w:type="dxa"/>
            </w:tcMar>
          </w:tcPr>
          <w:p w14:paraId="24AAD0B8" w14:textId="64E9CBDC"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w:t>
            </w:r>
            <w:r w:rsidR="00D2540F">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469.3</w:t>
            </w:r>
          </w:p>
        </w:tc>
        <w:tc>
          <w:tcPr>
            <w:tcW w:w="873" w:type="dxa"/>
            <w:tcBorders>
              <w:top w:val="nil"/>
              <w:left w:val="nil"/>
              <w:bottom w:val="single" w:sz="8" w:space="0" w:color="auto"/>
              <w:right w:val="single" w:sz="8" w:space="0" w:color="auto"/>
            </w:tcBorders>
            <w:tcMar>
              <w:top w:w="0" w:type="dxa"/>
              <w:left w:w="108" w:type="dxa"/>
              <w:bottom w:w="0" w:type="dxa"/>
              <w:right w:w="108" w:type="dxa"/>
            </w:tcMar>
          </w:tcPr>
          <w:p w14:paraId="4815E06F" w14:textId="783EB553" w:rsidR="007E6CDB" w:rsidRPr="007E6CDB" w:rsidRDefault="007E6CDB" w:rsidP="00914946">
            <w:pPr>
              <w:suppressAutoHyphens w:val="0"/>
              <w:spacing w:line="240" w:lineRule="auto"/>
              <w:jc w:val="right"/>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2</w:t>
            </w:r>
            <w:r w:rsidR="00D2540F">
              <w:rPr>
                <w:rFonts w:eastAsia="Times New Roman"/>
                <w:b/>
                <w:bCs/>
                <w:spacing w:val="0"/>
                <w:w w:val="100"/>
                <w:kern w:val="0"/>
                <w:sz w:val="18"/>
                <w:szCs w:val="18"/>
                <w:lang w:eastAsia="en-GB"/>
              </w:rPr>
              <w:t xml:space="preserve"> </w:t>
            </w:r>
            <w:r w:rsidRPr="007E6CDB">
              <w:rPr>
                <w:rFonts w:eastAsia="Times New Roman"/>
                <w:b/>
                <w:bCs/>
                <w:spacing w:val="0"/>
                <w:w w:val="100"/>
                <w:kern w:val="0"/>
                <w:sz w:val="18"/>
                <w:szCs w:val="18"/>
                <w:lang w:eastAsia="en-GB"/>
              </w:rPr>
              <w:t>969.7</w:t>
            </w:r>
          </w:p>
        </w:tc>
        <w:tc>
          <w:tcPr>
            <w:tcW w:w="1092" w:type="dxa"/>
            <w:tcBorders>
              <w:top w:val="nil"/>
              <w:left w:val="nil"/>
              <w:bottom w:val="single" w:sz="8" w:space="0" w:color="auto"/>
              <w:right w:val="single" w:sz="8" w:space="0" w:color="auto"/>
            </w:tcBorders>
            <w:tcMar>
              <w:top w:w="0" w:type="dxa"/>
              <w:left w:w="108" w:type="dxa"/>
              <w:bottom w:w="0" w:type="dxa"/>
              <w:right w:w="108" w:type="dxa"/>
            </w:tcMar>
          </w:tcPr>
          <w:p w14:paraId="0A4FE801" w14:textId="18BF1B6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w:t>
            </w:r>
            <w:r w:rsidR="00D2540F">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167.2</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3684347F" w14:textId="7777777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08DEC694" w14:textId="768B07C5"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w:t>
            </w:r>
            <w:r w:rsidR="00D2540F">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635.0</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6574D875" w14:textId="4EB60A19" w:rsidR="007E6CDB" w:rsidRPr="007E6CDB" w:rsidRDefault="007E6CDB" w:rsidP="00914946">
            <w:pPr>
              <w:suppressAutoHyphens w:val="0"/>
              <w:spacing w:line="240" w:lineRule="auto"/>
              <w:jc w:val="right"/>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2</w:t>
            </w:r>
            <w:r w:rsidR="00D2540F">
              <w:rPr>
                <w:rFonts w:eastAsia="Times New Roman"/>
                <w:b/>
                <w:bCs/>
                <w:spacing w:val="0"/>
                <w:w w:val="100"/>
                <w:kern w:val="0"/>
                <w:sz w:val="18"/>
                <w:szCs w:val="18"/>
                <w:lang w:eastAsia="en-GB"/>
              </w:rPr>
              <w:t xml:space="preserve"> </w:t>
            </w:r>
            <w:r w:rsidRPr="007E6CDB">
              <w:rPr>
                <w:rFonts w:eastAsia="Times New Roman"/>
                <w:b/>
                <w:bCs/>
                <w:spacing w:val="0"/>
                <w:w w:val="100"/>
                <w:kern w:val="0"/>
                <w:sz w:val="18"/>
                <w:szCs w:val="18"/>
                <w:lang w:eastAsia="en-GB"/>
              </w:rPr>
              <w:t>802.2</w:t>
            </w:r>
          </w:p>
        </w:tc>
      </w:tr>
      <w:tr w:rsidR="007E6CDB" w:rsidRPr="007E6CDB" w14:paraId="42654D7B" w14:textId="77777777" w:rsidTr="00A47C1E">
        <w:trPr>
          <w:trHeight w:val="450"/>
        </w:trPr>
        <w:tc>
          <w:tcPr>
            <w:tcW w:w="13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2EB1C"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Programmatic Expenditure</w:t>
            </w:r>
          </w:p>
        </w:tc>
        <w:tc>
          <w:tcPr>
            <w:tcW w:w="1234" w:type="dxa"/>
            <w:tcBorders>
              <w:top w:val="nil"/>
              <w:left w:val="nil"/>
              <w:bottom w:val="single" w:sz="8" w:space="0" w:color="auto"/>
              <w:right w:val="single" w:sz="8" w:space="0" w:color="auto"/>
            </w:tcBorders>
            <w:tcMar>
              <w:top w:w="0" w:type="dxa"/>
              <w:left w:w="108" w:type="dxa"/>
              <w:bottom w:w="0" w:type="dxa"/>
              <w:right w:w="108" w:type="dxa"/>
            </w:tcMar>
          </w:tcPr>
          <w:p w14:paraId="612240C0" w14:textId="38AE52E6"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2</w:t>
            </w:r>
            <w:r w:rsidR="00D2540F">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240.4</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7A1AECB3" w14:textId="12AF1806"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17</w:t>
            </w:r>
            <w:r w:rsidR="00D2540F">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421.6</w:t>
            </w:r>
          </w:p>
        </w:tc>
        <w:tc>
          <w:tcPr>
            <w:tcW w:w="1016" w:type="dxa"/>
            <w:tcBorders>
              <w:top w:val="nil"/>
              <w:left w:val="nil"/>
              <w:bottom w:val="single" w:sz="8" w:space="0" w:color="auto"/>
              <w:right w:val="single" w:sz="8" w:space="0" w:color="auto"/>
            </w:tcBorders>
            <w:tcMar>
              <w:top w:w="0" w:type="dxa"/>
              <w:left w:w="108" w:type="dxa"/>
              <w:bottom w:w="0" w:type="dxa"/>
              <w:right w:w="108" w:type="dxa"/>
            </w:tcMar>
          </w:tcPr>
          <w:p w14:paraId="75F77EE4" w14:textId="7777777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w:t>
            </w:r>
          </w:p>
        </w:tc>
        <w:tc>
          <w:tcPr>
            <w:tcW w:w="873" w:type="dxa"/>
            <w:tcBorders>
              <w:top w:val="nil"/>
              <w:left w:val="nil"/>
              <w:bottom w:val="single" w:sz="8" w:space="0" w:color="auto"/>
              <w:right w:val="single" w:sz="8" w:space="0" w:color="auto"/>
            </w:tcBorders>
            <w:tcMar>
              <w:top w:w="0" w:type="dxa"/>
              <w:left w:w="108" w:type="dxa"/>
              <w:bottom w:w="0" w:type="dxa"/>
              <w:right w:w="108" w:type="dxa"/>
            </w:tcMar>
          </w:tcPr>
          <w:p w14:paraId="32CBF860" w14:textId="6239692E" w:rsidR="007E6CDB" w:rsidRPr="007E6CDB" w:rsidRDefault="007E6CDB" w:rsidP="00914946">
            <w:pPr>
              <w:suppressAutoHyphens w:val="0"/>
              <w:spacing w:line="240" w:lineRule="auto"/>
              <w:jc w:val="right"/>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19</w:t>
            </w:r>
            <w:r w:rsidR="00D2540F">
              <w:rPr>
                <w:rFonts w:eastAsia="Times New Roman"/>
                <w:b/>
                <w:bCs/>
                <w:spacing w:val="0"/>
                <w:w w:val="100"/>
                <w:kern w:val="0"/>
                <w:sz w:val="18"/>
                <w:szCs w:val="18"/>
                <w:lang w:eastAsia="en-GB"/>
              </w:rPr>
              <w:t xml:space="preserve"> </w:t>
            </w:r>
            <w:r w:rsidRPr="007E6CDB">
              <w:rPr>
                <w:rFonts w:eastAsia="Times New Roman"/>
                <w:b/>
                <w:bCs/>
                <w:spacing w:val="0"/>
                <w:w w:val="100"/>
                <w:kern w:val="0"/>
                <w:sz w:val="18"/>
                <w:szCs w:val="18"/>
                <w:lang w:eastAsia="en-GB"/>
              </w:rPr>
              <w:t>662.0</w:t>
            </w:r>
          </w:p>
        </w:tc>
        <w:tc>
          <w:tcPr>
            <w:tcW w:w="1092" w:type="dxa"/>
            <w:tcBorders>
              <w:top w:val="nil"/>
              <w:left w:val="nil"/>
              <w:bottom w:val="single" w:sz="8" w:space="0" w:color="auto"/>
              <w:right w:val="single" w:sz="8" w:space="0" w:color="auto"/>
            </w:tcBorders>
            <w:tcMar>
              <w:top w:w="0" w:type="dxa"/>
              <w:left w:w="108" w:type="dxa"/>
              <w:bottom w:w="0" w:type="dxa"/>
              <w:right w:w="108" w:type="dxa"/>
            </w:tcMar>
          </w:tcPr>
          <w:p w14:paraId="560444FA" w14:textId="4F850318"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w:t>
            </w:r>
            <w:r w:rsidR="00D2540F">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738.3</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7CD71D4F" w14:textId="3CD49373"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15</w:t>
            </w:r>
            <w:r w:rsidR="00A47C1E">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649.3</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638C4E84" w14:textId="7777777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18AD10AC" w14:textId="4229738D" w:rsidR="007E6CDB" w:rsidRPr="007E6CDB" w:rsidRDefault="007E6CDB" w:rsidP="00914946">
            <w:pPr>
              <w:suppressAutoHyphens w:val="0"/>
              <w:spacing w:line="240" w:lineRule="auto"/>
              <w:jc w:val="right"/>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17</w:t>
            </w:r>
            <w:r w:rsidR="00A47C1E">
              <w:rPr>
                <w:rFonts w:eastAsia="Times New Roman"/>
                <w:b/>
                <w:bCs/>
                <w:spacing w:val="0"/>
                <w:w w:val="100"/>
                <w:kern w:val="0"/>
                <w:sz w:val="18"/>
                <w:szCs w:val="18"/>
                <w:lang w:eastAsia="en-GB"/>
              </w:rPr>
              <w:t xml:space="preserve"> </w:t>
            </w:r>
            <w:r w:rsidRPr="007E6CDB">
              <w:rPr>
                <w:rFonts w:eastAsia="Times New Roman"/>
                <w:b/>
                <w:bCs/>
                <w:spacing w:val="0"/>
                <w:w w:val="100"/>
                <w:kern w:val="0"/>
                <w:sz w:val="18"/>
                <w:szCs w:val="18"/>
                <w:lang w:eastAsia="en-GB"/>
              </w:rPr>
              <w:t>387.5</w:t>
            </w:r>
          </w:p>
        </w:tc>
      </w:tr>
      <w:tr w:rsidR="007E6CDB" w:rsidRPr="007E6CDB" w14:paraId="170F34F4" w14:textId="77777777" w:rsidTr="00A47C1E">
        <w:trPr>
          <w:trHeight w:val="230"/>
        </w:trPr>
        <w:tc>
          <w:tcPr>
            <w:tcW w:w="1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5A4DF6"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p>
        </w:tc>
        <w:tc>
          <w:tcPr>
            <w:tcW w:w="4039"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7A6DADE1" w14:textId="77777777" w:rsidR="007E6CDB" w:rsidRPr="007E6CDB" w:rsidRDefault="007E6CDB" w:rsidP="00914946">
            <w:pPr>
              <w:suppressAutoHyphens w:val="0"/>
              <w:spacing w:line="240" w:lineRule="auto"/>
              <w:jc w:val="center"/>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 xml:space="preserve">2018-2021 </w:t>
            </w:r>
            <w:r w:rsidRPr="007E6CDB">
              <w:rPr>
                <w:rFonts w:eastAsia="Times New Roman"/>
                <w:spacing w:val="0"/>
                <w:w w:val="100"/>
                <w:kern w:val="0"/>
                <w:sz w:val="16"/>
                <w:szCs w:val="16"/>
                <w:lang w:eastAsia="en-GB"/>
              </w:rPr>
              <w:t>(planned DP/2017/39)</w:t>
            </w:r>
          </w:p>
        </w:tc>
        <w:tc>
          <w:tcPr>
            <w:tcW w:w="410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5CB496EF" w14:textId="77777777" w:rsidR="007E6CDB" w:rsidRPr="007E6CDB" w:rsidRDefault="007E6CDB" w:rsidP="00914946">
            <w:pPr>
              <w:suppressAutoHyphens w:val="0"/>
              <w:spacing w:line="240" w:lineRule="auto"/>
              <w:jc w:val="center"/>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 xml:space="preserve">2018-2021 </w:t>
            </w:r>
            <w:r w:rsidRPr="007E6CDB">
              <w:rPr>
                <w:rFonts w:eastAsia="Times New Roman"/>
                <w:spacing w:val="0"/>
                <w:w w:val="100"/>
                <w:kern w:val="0"/>
                <w:sz w:val="16"/>
                <w:szCs w:val="16"/>
                <w:lang w:eastAsia="en-GB"/>
              </w:rPr>
              <w:t>(estimates DP/2021/29)</w:t>
            </w:r>
          </w:p>
        </w:tc>
      </w:tr>
      <w:tr w:rsidR="007E6CDB" w:rsidRPr="007E6CDB" w14:paraId="7D495B91" w14:textId="77777777" w:rsidTr="00A47C1E">
        <w:trPr>
          <w:trHeight w:val="230"/>
        </w:trPr>
        <w:tc>
          <w:tcPr>
            <w:tcW w:w="1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6F3E38"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14:paraId="6FB2D26B" w14:textId="77777777" w:rsidR="007E6CDB" w:rsidRPr="007E6CDB" w:rsidRDefault="007E6CDB" w:rsidP="00914946">
            <w:pPr>
              <w:suppressAutoHyphens w:val="0"/>
              <w:spacing w:line="240" w:lineRule="auto"/>
              <w:jc w:val="right"/>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 xml:space="preserve">Regular </w:t>
            </w:r>
            <w:r w:rsidRPr="007E6CDB">
              <w:rPr>
                <w:rFonts w:eastAsia="Times New Roman"/>
                <w:spacing w:val="0"/>
                <w:w w:val="100"/>
                <w:kern w:val="0"/>
                <w:sz w:val="18"/>
                <w:szCs w:val="18"/>
                <w:lang w:eastAsia="en-GB"/>
              </w:rPr>
              <w:t>(non-earmarked)</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3A3F382D" w14:textId="77777777" w:rsidR="007E6CDB" w:rsidRPr="007E6CDB" w:rsidRDefault="007E6CDB" w:rsidP="00914946">
            <w:pPr>
              <w:suppressAutoHyphens w:val="0"/>
              <w:spacing w:line="240" w:lineRule="auto"/>
              <w:jc w:val="right"/>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Other</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265AE001" w14:textId="4B42BAB8"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 xml:space="preserve">Cost </w:t>
            </w:r>
            <w:r w:rsidR="00A47C1E">
              <w:rPr>
                <w:rFonts w:eastAsia="Times New Roman"/>
                <w:b/>
                <w:bCs/>
                <w:spacing w:val="0"/>
                <w:w w:val="100"/>
                <w:kern w:val="0"/>
                <w:sz w:val="18"/>
                <w:szCs w:val="18"/>
                <w:lang w:eastAsia="en-GB"/>
              </w:rPr>
              <w:t>r</w:t>
            </w:r>
            <w:r w:rsidRPr="007E6CDB">
              <w:rPr>
                <w:rFonts w:eastAsia="Times New Roman"/>
                <w:b/>
                <w:bCs/>
                <w:spacing w:val="0"/>
                <w:w w:val="100"/>
                <w:kern w:val="0"/>
                <w:sz w:val="18"/>
                <w:szCs w:val="18"/>
                <w:lang w:eastAsia="en-GB"/>
              </w:rPr>
              <w:t>ecovery</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14:paraId="07504F0C" w14:textId="77777777" w:rsidR="007E6CDB" w:rsidRPr="007E6CDB" w:rsidRDefault="007E6CDB" w:rsidP="00914946">
            <w:pPr>
              <w:suppressAutoHyphens w:val="0"/>
              <w:spacing w:line="240" w:lineRule="auto"/>
              <w:jc w:val="right"/>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Total</w:t>
            </w:r>
          </w:p>
        </w:tc>
        <w:tc>
          <w:tcPr>
            <w:tcW w:w="1092" w:type="dxa"/>
            <w:tcBorders>
              <w:top w:val="nil"/>
              <w:left w:val="nil"/>
              <w:bottom w:val="single" w:sz="8" w:space="0" w:color="auto"/>
              <w:right w:val="single" w:sz="8" w:space="0" w:color="auto"/>
            </w:tcBorders>
            <w:tcMar>
              <w:top w:w="0" w:type="dxa"/>
              <w:left w:w="108" w:type="dxa"/>
              <w:bottom w:w="0" w:type="dxa"/>
              <w:right w:w="108" w:type="dxa"/>
            </w:tcMar>
          </w:tcPr>
          <w:p w14:paraId="2EF53A2E"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 xml:space="preserve">Regular </w:t>
            </w:r>
            <w:r w:rsidRPr="007E6CDB">
              <w:rPr>
                <w:rFonts w:eastAsia="Times New Roman"/>
                <w:spacing w:val="0"/>
                <w:w w:val="100"/>
                <w:kern w:val="0"/>
                <w:sz w:val="18"/>
                <w:szCs w:val="18"/>
                <w:lang w:eastAsia="en-GB"/>
              </w:rPr>
              <w:t>(non-earmarked)</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10C5C0BE"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Other</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0D7FFE30" w14:textId="5A01FE28"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 xml:space="preserve">Cost </w:t>
            </w:r>
            <w:r w:rsidR="00A47C1E">
              <w:rPr>
                <w:rFonts w:eastAsia="Times New Roman"/>
                <w:b/>
                <w:bCs/>
                <w:spacing w:val="0"/>
                <w:w w:val="100"/>
                <w:kern w:val="0"/>
                <w:sz w:val="18"/>
                <w:szCs w:val="18"/>
                <w:lang w:eastAsia="en-GB"/>
              </w:rPr>
              <w:t>r</w:t>
            </w:r>
            <w:r w:rsidRPr="007E6CDB">
              <w:rPr>
                <w:rFonts w:eastAsia="Times New Roman"/>
                <w:b/>
                <w:bCs/>
                <w:spacing w:val="0"/>
                <w:w w:val="100"/>
                <w:kern w:val="0"/>
                <w:sz w:val="18"/>
                <w:szCs w:val="18"/>
                <w:lang w:eastAsia="en-GB"/>
              </w:rPr>
              <w:t>ecovery</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02471DA8"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Total</w:t>
            </w:r>
          </w:p>
        </w:tc>
      </w:tr>
      <w:tr w:rsidR="007E6CDB" w:rsidRPr="007E6CDB" w14:paraId="2C861B6D" w14:textId="77777777" w:rsidTr="00A47C1E">
        <w:trPr>
          <w:trHeight w:val="230"/>
        </w:trPr>
        <w:tc>
          <w:tcPr>
            <w:tcW w:w="13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AC9F6" w14:textId="77777777"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Contribution</w:t>
            </w:r>
          </w:p>
        </w:tc>
        <w:tc>
          <w:tcPr>
            <w:tcW w:w="1234" w:type="dxa"/>
            <w:tcBorders>
              <w:top w:val="nil"/>
              <w:left w:val="nil"/>
              <w:bottom w:val="single" w:sz="8" w:space="0" w:color="auto"/>
              <w:right w:val="single" w:sz="8" w:space="0" w:color="auto"/>
            </w:tcBorders>
            <w:tcMar>
              <w:top w:w="0" w:type="dxa"/>
              <w:left w:w="108" w:type="dxa"/>
              <w:bottom w:w="0" w:type="dxa"/>
              <w:right w:w="108" w:type="dxa"/>
            </w:tcMar>
          </w:tcPr>
          <w:p w14:paraId="0A32855D" w14:textId="1980322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2</w:t>
            </w:r>
            <w:r w:rsidR="00A47C1E">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710.0</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4F32ED98" w14:textId="6610D20A"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18</w:t>
            </w:r>
            <w:r w:rsidR="00A47C1E">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199.0</w:t>
            </w:r>
          </w:p>
        </w:tc>
        <w:tc>
          <w:tcPr>
            <w:tcW w:w="1016" w:type="dxa"/>
            <w:tcBorders>
              <w:top w:val="nil"/>
              <w:left w:val="nil"/>
              <w:bottom w:val="single" w:sz="8" w:space="0" w:color="auto"/>
              <w:right w:val="single" w:sz="8" w:space="0" w:color="auto"/>
            </w:tcBorders>
            <w:tcMar>
              <w:top w:w="0" w:type="dxa"/>
              <w:left w:w="108" w:type="dxa"/>
              <w:bottom w:w="0" w:type="dxa"/>
              <w:right w:w="108" w:type="dxa"/>
            </w:tcMar>
          </w:tcPr>
          <w:p w14:paraId="6FD1C283" w14:textId="7777777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w:t>
            </w:r>
          </w:p>
        </w:tc>
        <w:tc>
          <w:tcPr>
            <w:tcW w:w="873" w:type="dxa"/>
            <w:tcBorders>
              <w:top w:val="nil"/>
              <w:left w:val="nil"/>
              <w:bottom w:val="single" w:sz="8" w:space="0" w:color="auto"/>
              <w:right w:val="single" w:sz="8" w:space="0" w:color="auto"/>
            </w:tcBorders>
            <w:tcMar>
              <w:top w:w="0" w:type="dxa"/>
              <w:left w:w="108" w:type="dxa"/>
              <w:bottom w:w="0" w:type="dxa"/>
              <w:right w:w="108" w:type="dxa"/>
            </w:tcMar>
          </w:tcPr>
          <w:p w14:paraId="5D20187E" w14:textId="2E56BB9A" w:rsidR="007E6CDB" w:rsidRPr="007E6CDB" w:rsidRDefault="007E6CDB" w:rsidP="00914946">
            <w:pPr>
              <w:suppressAutoHyphens w:val="0"/>
              <w:spacing w:line="240" w:lineRule="auto"/>
              <w:jc w:val="right"/>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20</w:t>
            </w:r>
            <w:r w:rsidR="00A47C1E">
              <w:rPr>
                <w:rFonts w:eastAsia="Times New Roman"/>
                <w:b/>
                <w:bCs/>
                <w:spacing w:val="0"/>
                <w:w w:val="100"/>
                <w:kern w:val="0"/>
                <w:sz w:val="18"/>
                <w:szCs w:val="18"/>
                <w:lang w:eastAsia="en-GB"/>
              </w:rPr>
              <w:t xml:space="preserve"> </w:t>
            </w:r>
            <w:r w:rsidRPr="007E6CDB">
              <w:rPr>
                <w:rFonts w:eastAsia="Times New Roman"/>
                <w:b/>
                <w:bCs/>
                <w:spacing w:val="0"/>
                <w:w w:val="100"/>
                <w:kern w:val="0"/>
                <w:sz w:val="18"/>
                <w:szCs w:val="18"/>
                <w:lang w:eastAsia="en-GB"/>
              </w:rPr>
              <w:t>909.0</w:t>
            </w:r>
          </w:p>
        </w:tc>
        <w:tc>
          <w:tcPr>
            <w:tcW w:w="1092" w:type="dxa"/>
            <w:tcBorders>
              <w:top w:val="nil"/>
              <w:left w:val="nil"/>
              <w:bottom w:val="single" w:sz="8" w:space="0" w:color="auto"/>
              <w:right w:val="single" w:sz="8" w:space="0" w:color="auto"/>
            </w:tcBorders>
            <w:tcMar>
              <w:top w:w="0" w:type="dxa"/>
              <w:left w:w="108" w:type="dxa"/>
              <w:bottom w:w="0" w:type="dxa"/>
              <w:right w:w="108" w:type="dxa"/>
            </w:tcMar>
          </w:tcPr>
          <w:p w14:paraId="3358922F" w14:textId="5067C0FC"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2</w:t>
            </w:r>
            <w:r w:rsidR="00A47C1E">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633.3</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67ECEAF1" w14:textId="37636CAC"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17</w:t>
            </w:r>
            <w:r w:rsidR="00A47C1E">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069.8</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06FDFF8A" w14:textId="7777777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5940F865" w14:textId="769E7C94" w:rsidR="007E6CDB" w:rsidRPr="007E6CDB" w:rsidRDefault="007E6CDB" w:rsidP="00914946">
            <w:pPr>
              <w:suppressAutoHyphens w:val="0"/>
              <w:spacing w:line="240" w:lineRule="auto"/>
              <w:jc w:val="right"/>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19</w:t>
            </w:r>
            <w:r w:rsidR="00A47C1E">
              <w:rPr>
                <w:rFonts w:eastAsia="Times New Roman"/>
                <w:b/>
                <w:bCs/>
                <w:spacing w:val="0"/>
                <w:w w:val="100"/>
                <w:kern w:val="0"/>
                <w:sz w:val="18"/>
                <w:szCs w:val="18"/>
                <w:lang w:eastAsia="en-GB"/>
              </w:rPr>
              <w:t xml:space="preserve"> </w:t>
            </w:r>
            <w:r w:rsidRPr="007E6CDB">
              <w:rPr>
                <w:rFonts w:eastAsia="Times New Roman"/>
                <w:b/>
                <w:bCs/>
                <w:spacing w:val="0"/>
                <w:w w:val="100"/>
                <w:kern w:val="0"/>
                <w:sz w:val="18"/>
                <w:szCs w:val="18"/>
                <w:lang w:eastAsia="en-GB"/>
              </w:rPr>
              <w:t>703.1</w:t>
            </w:r>
          </w:p>
        </w:tc>
      </w:tr>
      <w:tr w:rsidR="007E6CDB" w:rsidRPr="007E6CDB" w14:paraId="2CB90E2A" w14:textId="77777777" w:rsidTr="00A47C1E">
        <w:trPr>
          <w:trHeight w:val="450"/>
        </w:trPr>
        <w:tc>
          <w:tcPr>
            <w:tcW w:w="13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6EB2E" w14:textId="7C4CD640"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lastRenderedPageBreak/>
              <w:t xml:space="preserve">Institutional </w:t>
            </w:r>
            <w:r w:rsidR="00A47C1E">
              <w:rPr>
                <w:rFonts w:eastAsia="Times New Roman"/>
                <w:b/>
                <w:bCs/>
                <w:spacing w:val="0"/>
                <w:w w:val="100"/>
                <w:kern w:val="0"/>
                <w:sz w:val="18"/>
                <w:szCs w:val="18"/>
                <w:lang w:eastAsia="en-GB"/>
              </w:rPr>
              <w:t>e</w:t>
            </w:r>
            <w:r w:rsidRPr="007E6CDB">
              <w:rPr>
                <w:rFonts w:eastAsia="Times New Roman"/>
                <w:b/>
                <w:bCs/>
                <w:spacing w:val="0"/>
                <w:w w:val="100"/>
                <w:kern w:val="0"/>
                <w:sz w:val="18"/>
                <w:szCs w:val="18"/>
                <w:lang w:eastAsia="en-GB"/>
              </w:rPr>
              <w:t>xpenditure</w:t>
            </w:r>
          </w:p>
        </w:tc>
        <w:tc>
          <w:tcPr>
            <w:tcW w:w="1234" w:type="dxa"/>
            <w:tcBorders>
              <w:top w:val="nil"/>
              <w:left w:val="nil"/>
              <w:bottom w:val="single" w:sz="8" w:space="0" w:color="auto"/>
              <w:right w:val="single" w:sz="8" w:space="0" w:color="auto"/>
            </w:tcBorders>
            <w:tcMar>
              <w:top w:w="0" w:type="dxa"/>
              <w:left w:w="108" w:type="dxa"/>
              <w:bottom w:w="0" w:type="dxa"/>
              <w:right w:w="108" w:type="dxa"/>
            </w:tcMar>
          </w:tcPr>
          <w:p w14:paraId="63092198" w14:textId="2AC4584D"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w:t>
            </w:r>
            <w:r w:rsidR="00A47C1E">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093.9</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705AB4E9" w14:textId="7777777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w:t>
            </w:r>
          </w:p>
        </w:tc>
        <w:tc>
          <w:tcPr>
            <w:tcW w:w="1016" w:type="dxa"/>
            <w:tcBorders>
              <w:top w:val="nil"/>
              <w:left w:val="nil"/>
              <w:bottom w:val="single" w:sz="8" w:space="0" w:color="auto"/>
              <w:right w:val="single" w:sz="8" w:space="0" w:color="auto"/>
            </w:tcBorders>
            <w:tcMar>
              <w:top w:w="0" w:type="dxa"/>
              <w:left w:w="108" w:type="dxa"/>
              <w:bottom w:w="0" w:type="dxa"/>
              <w:right w:w="108" w:type="dxa"/>
            </w:tcMar>
          </w:tcPr>
          <w:p w14:paraId="62DB2FAD" w14:textId="497C4FF9"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w:t>
            </w:r>
            <w:r w:rsidR="00A47C1E">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634.4</w:t>
            </w:r>
          </w:p>
        </w:tc>
        <w:tc>
          <w:tcPr>
            <w:tcW w:w="873" w:type="dxa"/>
            <w:tcBorders>
              <w:top w:val="nil"/>
              <w:left w:val="nil"/>
              <w:bottom w:val="single" w:sz="8" w:space="0" w:color="auto"/>
              <w:right w:val="single" w:sz="8" w:space="0" w:color="auto"/>
            </w:tcBorders>
            <w:tcMar>
              <w:top w:w="0" w:type="dxa"/>
              <w:left w:w="108" w:type="dxa"/>
              <w:bottom w:w="0" w:type="dxa"/>
              <w:right w:w="108" w:type="dxa"/>
            </w:tcMar>
          </w:tcPr>
          <w:p w14:paraId="0DC0E262" w14:textId="4114E0AB" w:rsidR="007E6CDB" w:rsidRPr="007E6CDB" w:rsidRDefault="007E6CDB" w:rsidP="00914946">
            <w:pPr>
              <w:suppressAutoHyphens w:val="0"/>
              <w:spacing w:line="240" w:lineRule="auto"/>
              <w:jc w:val="right"/>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2</w:t>
            </w:r>
            <w:r w:rsidR="00A47C1E">
              <w:rPr>
                <w:rFonts w:eastAsia="Times New Roman"/>
                <w:b/>
                <w:bCs/>
                <w:spacing w:val="0"/>
                <w:w w:val="100"/>
                <w:kern w:val="0"/>
                <w:sz w:val="18"/>
                <w:szCs w:val="18"/>
                <w:lang w:eastAsia="en-GB"/>
              </w:rPr>
              <w:t xml:space="preserve"> </w:t>
            </w:r>
            <w:r w:rsidRPr="007E6CDB">
              <w:rPr>
                <w:rFonts w:eastAsia="Times New Roman"/>
                <w:b/>
                <w:bCs/>
                <w:spacing w:val="0"/>
                <w:w w:val="100"/>
                <w:kern w:val="0"/>
                <w:sz w:val="18"/>
                <w:szCs w:val="18"/>
                <w:lang w:eastAsia="en-GB"/>
              </w:rPr>
              <w:t>728.3</w:t>
            </w:r>
          </w:p>
        </w:tc>
        <w:tc>
          <w:tcPr>
            <w:tcW w:w="1092" w:type="dxa"/>
            <w:tcBorders>
              <w:top w:val="nil"/>
              <w:left w:val="nil"/>
              <w:bottom w:val="single" w:sz="8" w:space="0" w:color="auto"/>
              <w:right w:val="single" w:sz="8" w:space="0" w:color="auto"/>
            </w:tcBorders>
            <w:tcMar>
              <w:top w:w="0" w:type="dxa"/>
              <w:left w:w="108" w:type="dxa"/>
              <w:bottom w:w="0" w:type="dxa"/>
              <w:right w:w="108" w:type="dxa"/>
            </w:tcMar>
          </w:tcPr>
          <w:p w14:paraId="3BB9779C" w14:textId="7777777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995.1</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552E6361" w14:textId="7777777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6FA7538E" w14:textId="58FBD876"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w:t>
            </w:r>
            <w:r w:rsidR="00A47C1E">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428.9</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013D6E31" w14:textId="50AC06A0" w:rsidR="007E6CDB" w:rsidRPr="007E6CDB" w:rsidRDefault="007E6CDB" w:rsidP="00914946">
            <w:pPr>
              <w:suppressAutoHyphens w:val="0"/>
              <w:spacing w:line="240" w:lineRule="auto"/>
              <w:jc w:val="right"/>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2</w:t>
            </w:r>
            <w:r w:rsidR="00A47C1E">
              <w:rPr>
                <w:rFonts w:eastAsia="Times New Roman"/>
                <w:b/>
                <w:bCs/>
                <w:spacing w:val="0"/>
                <w:w w:val="100"/>
                <w:kern w:val="0"/>
                <w:sz w:val="18"/>
                <w:szCs w:val="18"/>
                <w:lang w:eastAsia="en-GB"/>
              </w:rPr>
              <w:t xml:space="preserve"> </w:t>
            </w:r>
            <w:r w:rsidRPr="007E6CDB">
              <w:rPr>
                <w:rFonts w:eastAsia="Times New Roman"/>
                <w:b/>
                <w:bCs/>
                <w:spacing w:val="0"/>
                <w:w w:val="100"/>
                <w:kern w:val="0"/>
                <w:sz w:val="18"/>
                <w:szCs w:val="18"/>
                <w:lang w:eastAsia="en-GB"/>
              </w:rPr>
              <w:t>421.1</w:t>
            </w:r>
          </w:p>
        </w:tc>
      </w:tr>
      <w:tr w:rsidR="007E6CDB" w:rsidRPr="007E6CDB" w14:paraId="2BA18351" w14:textId="77777777" w:rsidTr="00A47C1E">
        <w:trPr>
          <w:trHeight w:val="459"/>
        </w:trPr>
        <w:tc>
          <w:tcPr>
            <w:tcW w:w="13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13C39" w14:textId="72870735" w:rsidR="007E6CDB" w:rsidRPr="007E6CDB" w:rsidRDefault="007E6CDB" w:rsidP="00914946">
            <w:pPr>
              <w:suppressAutoHyphens w:val="0"/>
              <w:spacing w:line="240" w:lineRule="auto"/>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 xml:space="preserve">Programmatic </w:t>
            </w:r>
            <w:r w:rsidR="00A47C1E">
              <w:rPr>
                <w:rFonts w:eastAsia="Times New Roman"/>
                <w:b/>
                <w:bCs/>
                <w:spacing w:val="0"/>
                <w:w w:val="100"/>
                <w:kern w:val="0"/>
                <w:sz w:val="18"/>
                <w:szCs w:val="18"/>
                <w:lang w:eastAsia="en-GB"/>
              </w:rPr>
              <w:t>e</w:t>
            </w:r>
            <w:r w:rsidRPr="007E6CDB">
              <w:rPr>
                <w:rFonts w:eastAsia="Times New Roman"/>
                <w:b/>
                <w:bCs/>
                <w:spacing w:val="0"/>
                <w:w w:val="100"/>
                <w:kern w:val="0"/>
                <w:sz w:val="18"/>
                <w:szCs w:val="18"/>
                <w:lang w:eastAsia="en-GB"/>
              </w:rPr>
              <w:t>xpenditure</w:t>
            </w:r>
          </w:p>
        </w:tc>
        <w:tc>
          <w:tcPr>
            <w:tcW w:w="1234" w:type="dxa"/>
            <w:tcBorders>
              <w:top w:val="nil"/>
              <w:left w:val="nil"/>
              <w:bottom w:val="single" w:sz="8" w:space="0" w:color="auto"/>
              <w:right w:val="single" w:sz="8" w:space="0" w:color="auto"/>
            </w:tcBorders>
            <w:tcMar>
              <w:top w:w="0" w:type="dxa"/>
              <w:left w:w="108" w:type="dxa"/>
              <w:bottom w:w="0" w:type="dxa"/>
              <w:right w:w="108" w:type="dxa"/>
            </w:tcMar>
          </w:tcPr>
          <w:p w14:paraId="77502950" w14:textId="412C695A"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w:t>
            </w:r>
            <w:r w:rsidR="00A47C1E">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793.0</w:t>
            </w:r>
          </w:p>
        </w:tc>
        <w:tc>
          <w:tcPr>
            <w:tcW w:w="916" w:type="dxa"/>
            <w:tcBorders>
              <w:top w:val="nil"/>
              <w:left w:val="nil"/>
              <w:bottom w:val="single" w:sz="8" w:space="0" w:color="auto"/>
              <w:right w:val="single" w:sz="8" w:space="0" w:color="auto"/>
            </w:tcBorders>
            <w:tcMar>
              <w:top w:w="0" w:type="dxa"/>
              <w:left w:w="108" w:type="dxa"/>
              <w:bottom w:w="0" w:type="dxa"/>
              <w:right w:w="108" w:type="dxa"/>
            </w:tcMar>
          </w:tcPr>
          <w:p w14:paraId="594DD90C" w14:textId="5FD2672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19</w:t>
            </w:r>
            <w:r w:rsidR="00A47C1E">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506.3</w:t>
            </w:r>
          </w:p>
        </w:tc>
        <w:tc>
          <w:tcPr>
            <w:tcW w:w="1016" w:type="dxa"/>
            <w:tcBorders>
              <w:top w:val="nil"/>
              <w:left w:val="nil"/>
              <w:bottom w:val="single" w:sz="8" w:space="0" w:color="auto"/>
              <w:right w:val="single" w:sz="8" w:space="0" w:color="auto"/>
            </w:tcBorders>
            <w:tcMar>
              <w:top w:w="0" w:type="dxa"/>
              <w:left w:w="108" w:type="dxa"/>
              <w:bottom w:w="0" w:type="dxa"/>
              <w:right w:w="108" w:type="dxa"/>
            </w:tcMar>
          </w:tcPr>
          <w:p w14:paraId="1A8C8C49" w14:textId="77777777"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w:t>
            </w:r>
          </w:p>
        </w:tc>
        <w:tc>
          <w:tcPr>
            <w:tcW w:w="873" w:type="dxa"/>
            <w:tcBorders>
              <w:top w:val="nil"/>
              <w:left w:val="nil"/>
              <w:bottom w:val="single" w:sz="8" w:space="0" w:color="auto"/>
              <w:right w:val="single" w:sz="8" w:space="0" w:color="auto"/>
            </w:tcBorders>
            <w:tcMar>
              <w:top w:w="0" w:type="dxa"/>
              <w:left w:w="108" w:type="dxa"/>
              <w:bottom w:w="0" w:type="dxa"/>
              <w:right w:w="108" w:type="dxa"/>
            </w:tcMar>
          </w:tcPr>
          <w:p w14:paraId="1CEE87B7" w14:textId="25CC2B9F" w:rsidR="007E6CDB" w:rsidRPr="007E6CDB" w:rsidRDefault="007E6CDB" w:rsidP="00914946">
            <w:pPr>
              <w:suppressAutoHyphens w:val="0"/>
              <w:spacing w:line="240" w:lineRule="auto"/>
              <w:jc w:val="right"/>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21</w:t>
            </w:r>
            <w:r w:rsidR="00A47C1E">
              <w:rPr>
                <w:rFonts w:eastAsia="Times New Roman"/>
                <w:b/>
                <w:bCs/>
                <w:spacing w:val="0"/>
                <w:w w:val="100"/>
                <w:kern w:val="0"/>
                <w:sz w:val="18"/>
                <w:szCs w:val="18"/>
                <w:lang w:eastAsia="en-GB"/>
              </w:rPr>
              <w:t xml:space="preserve"> </w:t>
            </w:r>
            <w:r w:rsidRPr="007E6CDB">
              <w:rPr>
                <w:rFonts w:eastAsia="Times New Roman"/>
                <w:b/>
                <w:bCs/>
                <w:spacing w:val="0"/>
                <w:w w:val="100"/>
                <w:kern w:val="0"/>
                <w:sz w:val="18"/>
                <w:szCs w:val="18"/>
                <w:lang w:eastAsia="en-GB"/>
              </w:rPr>
              <w:t>299.3</w:t>
            </w:r>
          </w:p>
        </w:tc>
        <w:tc>
          <w:tcPr>
            <w:tcW w:w="1092" w:type="dxa"/>
            <w:tcBorders>
              <w:top w:val="nil"/>
              <w:left w:val="nil"/>
              <w:bottom w:val="single" w:sz="8" w:space="0" w:color="auto"/>
              <w:right w:val="single" w:sz="8" w:space="0" w:color="auto"/>
            </w:tcBorders>
            <w:tcMar>
              <w:top w:w="0" w:type="dxa"/>
              <w:left w:w="108" w:type="dxa"/>
              <w:bottom w:w="0" w:type="dxa"/>
              <w:right w:w="108" w:type="dxa"/>
            </w:tcMar>
          </w:tcPr>
          <w:p w14:paraId="05D93DFE" w14:textId="24B22E2F"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w:t>
            </w:r>
            <w:r w:rsidR="00A47C1E">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761.3</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7A2BE9D3" w14:textId="62A2761F" w:rsidR="007E6CDB" w:rsidRPr="007E6CDB" w:rsidRDefault="007E6CDB" w:rsidP="00914946">
            <w:pPr>
              <w:suppressAutoHyphens w:val="0"/>
              <w:spacing w:line="240" w:lineRule="auto"/>
              <w:jc w:val="right"/>
              <w:rPr>
                <w:rFonts w:eastAsia="Times New Roman"/>
                <w:spacing w:val="0"/>
                <w:w w:val="100"/>
                <w:kern w:val="0"/>
                <w:sz w:val="18"/>
                <w:szCs w:val="18"/>
                <w:lang w:eastAsia="en-GB"/>
              </w:rPr>
            </w:pPr>
            <w:r w:rsidRPr="007E6CDB">
              <w:rPr>
                <w:rFonts w:eastAsia="Times New Roman"/>
                <w:spacing w:val="0"/>
                <w:w w:val="100"/>
                <w:kern w:val="0"/>
                <w:sz w:val="18"/>
                <w:szCs w:val="18"/>
                <w:lang w:eastAsia="en-GB"/>
              </w:rPr>
              <w:t>16</w:t>
            </w:r>
            <w:r w:rsidR="00A47C1E">
              <w:rPr>
                <w:rFonts w:eastAsia="Times New Roman"/>
                <w:spacing w:val="0"/>
                <w:w w:val="100"/>
                <w:kern w:val="0"/>
                <w:sz w:val="18"/>
                <w:szCs w:val="18"/>
                <w:lang w:eastAsia="en-GB"/>
              </w:rPr>
              <w:t xml:space="preserve"> </w:t>
            </w:r>
            <w:r w:rsidRPr="007E6CDB">
              <w:rPr>
                <w:rFonts w:eastAsia="Times New Roman"/>
                <w:spacing w:val="0"/>
                <w:w w:val="100"/>
                <w:kern w:val="0"/>
                <w:sz w:val="18"/>
                <w:szCs w:val="18"/>
                <w:lang w:eastAsia="en-GB"/>
              </w:rPr>
              <w:t>710.2</w:t>
            </w:r>
          </w:p>
        </w:tc>
        <w:tc>
          <w:tcPr>
            <w:tcW w:w="961" w:type="dxa"/>
            <w:tcBorders>
              <w:top w:val="nil"/>
              <w:left w:val="nil"/>
              <w:bottom w:val="single" w:sz="8" w:space="0" w:color="auto"/>
              <w:right w:val="single" w:sz="8" w:space="0" w:color="auto"/>
            </w:tcBorders>
            <w:tcMar>
              <w:top w:w="0" w:type="dxa"/>
              <w:left w:w="108" w:type="dxa"/>
              <w:bottom w:w="0" w:type="dxa"/>
              <w:right w:w="108" w:type="dxa"/>
            </w:tcMar>
          </w:tcPr>
          <w:p w14:paraId="01B63878" w14:textId="77777777" w:rsidR="007E6CDB" w:rsidRPr="007E6CDB" w:rsidRDefault="007E6CDB" w:rsidP="00914946">
            <w:pPr>
              <w:tabs>
                <w:tab w:val="center" w:pos="369"/>
                <w:tab w:val="right" w:pos="739"/>
              </w:tabs>
              <w:suppressAutoHyphens w:val="0"/>
              <w:spacing w:line="240" w:lineRule="auto"/>
              <w:rPr>
                <w:rFonts w:eastAsia="Times New Roman"/>
                <w:spacing w:val="0"/>
                <w:w w:val="100"/>
                <w:kern w:val="0"/>
                <w:sz w:val="18"/>
                <w:szCs w:val="18"/>
                <w:lang w:eastAsia="en-GB"/>
              </w:rPr>
            </w:pPr>
            <w:r w:rsidRPr="007E6CDB">
              <w:rPr>
                <w:rFonts w:eastAsia="Times New Roman"/>
                <w:spacing w:val="0"/>
                <w:w w:val="100"/>
                <w:kern w:val="0"/>
                <w:sz w:val="18"/>
                <w:szCs w:val="18"/>
                <w:lang w:eastAsia="en-GB"/>
              </w:rPr>
              <w:tab/>
            </w:r>
            <w:r w:rsidRPr="007E6CDB">
              <w:rPr>
                <w:rFonts w:eastAsia="Times New Roman"/>
                <w:spacing w:val="0"/>
                <w:w w:val="100"/>
                <w:kern w:val="0"/>
                <w:sz w:val="18"/>
                <w:szCs w:val="18"/>
                <w:lang w:eastAsia="en-GB"/>
              </w:rPr>
              <w:tab/>
              <w:t>-</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46A10DF6" w14:textId="0D9A742F" w:rsidR="007E6CDB" w:rsidRPr="007E6CDB" w:rsidRDefault="007E6CDB" w:rsidP="00914946">
            <w:pPr>
              <w:suppressAutoHyphens w:val="0"/>
              <w:spacing w:line="240" w:lineRule="auto"/>
              <w:jc w:val="center"/>
              <w:rPr>
                <w:rFonts w:eastAsia="Times New Roman"/>
                <w:b/>
                <w:bCs/>
                <w:spacing w:val="0"/>
                <w:w w:val="100"/>
                <w:kern w:val="0"/>
                <w:sz w:val="18"/>
                <w:szCs w:val="18"/>
                <w:lang w:eastAsia="en-GB"/>
              </w:rPr>
            </w:pPr>
            <w:r w:rsidRPr="007E6CDB">
              <w:rPr>
                <w:rFonts w:eastAsia="Times New Roman"/>
                <w:b/>
                <w:bCs/>
                <w:spacing w:val="0"/>
                <w:w w:val="100"/>
                <w:kern w:val="0"/>
                <w:sz w:val="18"/>
                <w:szCs w:val="18"/>
                <w:lang w:eastAsia="en-GB"/>
              </w:rPr>
              <w:t>18</w:t>
            </w:r>
            <w:r w:rsidR="00A47C1E">
              <w:rPr>
                <w:rFonts w:eastAsia="Times New Roman"/>
                <w:b/>
                <w:bCs/>
                <w:spacing w:val="0"/>
                <w:w w:val="100"/>
                <w:kern w:val="0"/>
                <w:sz w:val="18"/>
                <w:szCs w:val="18"/>
                <w:lang w:eastAsia="en-GB"/>
              </w:rPr>
              <w:t xml:space="preserve"> </w:t>
            </w:r>
            <w:r w:rsidRPr="007E6CDB">
              <w:rPr>
                <w:rFonts w:eastAsia="Times New Roman"/>
                <w:b/>
                <w:bCs/>
                <w:spacing w:val="0"/>
                <w:w w:val="100"/>
                <w:kern w:val="0"/>
                <w:sz w:val="18"/>
                <w:szCs w:val="18"/>
                <w:lang w:eastAsia="en-GB"/>
              </w:rPr>
              <w:t>471.7</w:t>
            </w:r>
          </w:p>
        </w:tc>
      </w:tr>
    </w:tbl>
    <w:p w14:paraId="5C1BAB13" w14:textId="77777777" w:rsidR="00611DC1" w:rsidRPr="003C21CC" w:rsidRDefault="00611DC1" w:rsidP="003C21CC">
      <w:pPr>
        <w:tabs>
          <w:tab w:val="left" w:pos="1620"/>
          <w:tab w:val="left" w:pos="8820"/>
        </w:tabs>
        <w:spacing w:line="240" w:lineRule="auto"/>
        <w:ind w:left="1260" w:right="1200"/>
        <w:jc w:val="both"/>
      </w:pPr>
    </w:p>
    <w:p w14:paraId="5F37936C" w14:textId="794B9487" w:rsidR="005F3BB9" w:rsidRPr="003C21CC" w:rsidRDefault="0163ACCD" w:rsidP="003C21CC">
      <w:pPr>
        <w:tabs>
          <w:tab w:val="left" w:pos="1620"/>
          <w:tab w:val="left" w:pos="8820"/>
        </w:tabs>
        <w:suppressAutoHyphens w:val="0"/>
        <w:spacing w:line="240" w:lineRule="auto"/>
        <w:ind w:left="1260" w:right="1200"/>
        <w:jc w:val="both"/>
        <w:rPr>
          <w:rFonts w:eastAsia="Times New Roman"/>
          <w:color w:val="000000"/>
          <w:spacing w:val="0"/>
          <w:w w:val="100"/>
          <w:kern w:val="0"/>
          <w:lang w:val="en-US"/>
        </w:rPr>
      </w:pPr>
      <w:r w:rsidRPr="003C21CC">
        <w:t>5</w:t>
      </w:r>
      <w:r w:rsidR="005F3BB9" w:rsidRPr="003C21CC">
        <w:t>.</w:t>
      </w:r>
      <w:r w:rsidR="005F3BB9" w:rsidRPr="003C21CC">
        <w:tab/>
      </w:r>
      <w:r w:rsidR="003E6D64" w:rsidRPr="003C21CC">
        <w:t xml:space="preserve">Upon enquiry, the Advisory Committee was informed that </w:t>
      </w:r>
      <w:r w:rsidR="005A36D8" w:rsidRPr="003C21CC">
        <w:rPr>
          <w:rFonts w:asciiTheme="majorBidi" w:eastAsia="Times New Roman" w:hAnsiTheme="majorBidi" w:cstheme="majorBidi"/>
          <w:color w:val="000000" w:themeColor="text1"/>
          <w:spacing w:val="0"/>
          <w:w w:val="100"/>
          <w:kern w:val="0"/>
          <w:lang w:val="en-US"/>
        </w:rPr>
        <w:t xml:space="preserve">UNDP relies entirely on voluntary contributions from Member States, multilateral organizations, </w:t>
      </w:r>
      <w:r w:rsidR="001A4FE7">
        <w:rPr>
          <w:rFonts w:asciiTheme="majorBidi" w:eastAsia="Times New Roman" w:hAnsiTheme="majorBidi" w:cstheme="majorBidi"/>
          <w:color w:val="000000" w:themeColor="text1"/>
          <w:spacing w:val="0"/>
          <w:w w:val="100"/>
          <w:kern w:val="0"/>
          <w:lang w:val="en-US"/>
        </w:rPr>
        <w:t xml:space="preserve">the </w:t>
      </w:r>
      <w:r w:rsidR="005A36D8" w:rsidRPr="003C21CC">
        <w:rPr>
          <w:rFonts w:asciiTheme="majorBidi" w:eastAsia="Times New Roman" w:hAnsiTheme="majorBidi" w:cstheme="majorBidi"/>
          <w:color w:val="000000" w:themeColor="text1"/>
          <w:spacing w:val="0"/>
          <w:w w:val="100"/>
          <w:kern w:val="0"/>
          <w:lang w:val="en-US"/>
        </w:rPr>
        <w:t xml:space="preserve">private sector and other sources, in the form of unrestricted regular </w:t>
      </w:r>
      <w:r w:rsidR="00A47C1E">
        <w:rPr>
          <w:rFonts w:asciiTheme="majorBidi" w:eastAsia="Times New Roman" w:hAnsiTheme="majorBidi" w:cstheme="majorBidi"/>
          <w:color w:val="000000" w:themeColor="text1"/>
          <w:spacing w:val="0"/>
          <w:w w:val="100"/>
          <w:kern w:val="0"/>
          <w:lang w:val="en-US"/>
        </w:rPr>
        <w:t xml:space="preserve">(core) </w:t>
      </w:r>
      <w:r w:rsidR="005A36D8" w:rsidRPr="003C21CC">
        <w:rPr>
          <w:rFonts w:asciiTheme="majorBidi" w:eastAsia="Times New Roman" w:hAnsiTheme="majorBidi" w:cstheme="majorBidi"/>
          <w:color w:val="000000" w:themeColor="text1"/>
          <w:spacing w:val="0"/>
          <w:w w:val="100"/>
          <w:kern w:val="0"/>
          <w:lang w:val="en-US"/>
        </w:rPr>
        <w:t xml:space="preserve">resources and contributions </w:t>
      </w:r>
      <w:r w:rsidR="00283855" w:rsidRPr="003C21CC">
        <w:rPr>
          <w:rFonts w:asciiTheme="majorBidi" w:eastAsia="Times New Roman" w:hAnsiTheme="majorBidi" w:cstheme="majorBidi"/>
          <w:color w:val="000000" w:themeColor="text1"/>
          <w:spacing w:val="0"/>
          <w:w w:val="100"/>
          <w:kern w:val="0"/>
          <w:lang w:val="en-US"/>
        </w:rPr>
        <w:t xml:space="preserve">which are </w:t>
      </w:r>
      <w:r w:rsidR="005A36D8" w:rsidRPr="003C21CC">
        <w:rPr>
          <w:rFonts w:asciiTheme="majorBidi" w:eastAsia="Times New Roman" w:hAnsiTheme="majorBidi" w:cstheme="majorBidi"/>
          <w:color w:val="000000" w:themeColor="text1"/>
          <w:spacing w:val="0"/>
          <w:w w:val="100"/>
          <w:kern w:val="0"/>
          <w:lang w:val="en-US"/>
        </w:rPr>
        <w:t>earmarked for a specific theme, programme or project.</w:t>
      </w:r>
      <w:r w:rsidR="00632DB5" w:rsidRPr="003C21CC">
        <w:rPr>
          <w:lang w:val="en-US"/>
        </w:rPr>
        <w:t xml:space="preserve"> </w:t>
      </w:r>
      <w:r w:rsidR="005A36D8" w:rsidRPr="003C21CC">
        <w:rPr>
          <w:rFonts w:eastAsia="Times New Roman"/>
          <w:spacing w:val="0"/>
          <w:w w:val="100"/>
          <w:kern w:val="0"/>
          <w:lang w:val="en-US"/>
        </w:rPr>
        <w:t>The integrated budget document for 2022-2025 forms an integral complement to the UNDP strategic plan, 2022-2025</w:t>
      </w:r>
      <w:r w:rsidR="00632DB5" w:rsidRPr="003C21CC">
        <w:rPr>
          <w:rFonts w:eastAsia="Times New Roman"/>
          <w:spacing w:val="0"/>
          <w:w w:val="100"/>
          <w:kern w:val="0"/>
          <w:lang w:val="en-US"/>
        </w:rPr>
        <w:t xml:space="preserve">, </w:t>
      </w:r>
      <w:r w:rsidR="005A36D8" w:rsidRPr="003C21CC">
        <w:rPr>
          <w:rFonts w:eastAsia="Times New Roman"/>
          <w:spacing w:val="0"/>
          <w:w w:val="100"/>
          <w:kern w:val="0"/>
          <w:lang w:val="en-US"/>
        </w:rPr>
        <w:t xml:space="preserve">in line with the harmonized approach agreed within the context of the joint road map to an integrated budget for UNDP, </w:t>
      </w:r>
      <w:r w:rsidR="001A4FE7">
        <w:rPr>
          <w:rFonts w:eastAsia="Times New Roman"/>
          <w:spacing w:val="0"/>
          <w:w w:val="100"/>
          <w:kern w:val="0"/>
          <w:lang w:val="en-US"/>
        </w:rPr>
        <w:t>the United Nations Population Fund (</w:t>
      </w:r>
      <w:r w:rsidR="005A36D8" w:rsidRPr="003C21CC">
        <w:rPr>
          <w:rFonts w:eastAsia="Times New Roman"/>
          <w:spacing w:val="0"/>
          <w:w w:val="100"/>
          <w:kern w:val="0"/>
          <w:lang w:val="en-US"/>
        </w:rPr>
        <w:t>UNFPA</w:t>
      </w:r>
      <w:r w:rsidR="001A4FE7">
        <w:rPr>
          <w:rFonts w:eastAsia="Times New Roman"/>
          <w:spacing w:val="0"/>
          <w:w w:val="100"/>
          <w:kern w:val="0"/>
          <w:lang w:val="en-US"/>
        </w:rPr>
        <w:t>)</w:t>
      </w:r>
      <w:r w:rsidR="005A36D8" w:rsidRPr="003C21CC">
        <w:rPr>
          <w:rFonts w:eastAsia="Times New Roman"/>
          <w:spacing w:val="0"/>
          <w:w w:val="100"/>
          <w:kern w:val="0"/>
          <w:lang w:val="en-US"/>
        </w:rPr>
        <w:t xml:space="preserve">, </w:t>
      </w:r>
      <w:r w:rsidR="001A4FE7">
        <w:rPr>
          <w:rFonts w:eastAsia="Times New Roman"/>
          <w:spacing w:val="0"/>
          <w:w w:val="100"/>
          <w:kern w:val="0"/>
          <w:lang w:val="en-US"/>
        </w:rPr>
        <w:t>the United Nations Children’s Fund (</w:t>
      </w:r>
      <w:r w:rsidR="005A36D8" w:rsidRPr="003C21CC">
        <w:rPr>
          <w:rFonts w:eastAsia="Times New Roman"/>
          <w:spacing w:val="0"/>
          <w:w w:val="100"/>
          <w:kern w:val="0"/>
          <w:lang w:val="en-US"/>
        </w:rPr>
        <w:t>UNICEF</w:t>
      </w:r>
      <w:r w:rsidR="001A4FE7">
        <w:rPr>
          <w:rFonts w:eastAsia="Times New Roman"/>
          <w:spacing w:val="0"/>
          <w:w w:val="100"/>
          <w:kern w:val="0"/>
          <w:lang w:val="en-US"/>
        </w:rPr>
        <w:t>)</w:t>
      </w:r>
      <w:r w:rsidR="005A36D8" w:rsidRPr="003C21CC">
        <w:rPr>
          <w:rFonts w:eastAsia="Times New Roman"/>
          <w:spacing w:val="0"/>
          <w:w w:val="100"/>
          <w:kern w:val="0"/>
          <w:lang w:val="en-US"/>
        </w:rPr>
        <w:t xml:space="preserve"> and </w:t>
      </w:r>
      <w:r w:rsidR="001A4FE7">
        <w:rPr>
          <w:rFonts w:eastAsia="Times New Roman"/>
          <w:spacing w:val="0"/>
          <w:w w:val="100"/>
          <w:kern w:val="0"/>
          <w:lang w:val="en-US"/>
        </w:rPr>
        <w:t>the United Nations Entity for Gender Equality and the Empowerment of Women (</w:t>
      </w:r>
      <w:r w:rsidR="005A36D8" w:rsidRPr="003C21CC">
        <w:rPr>
          <w:rFonts w:eastAsia="Times New Roman"/>
          <w:spacing w:val="0"/>
          <w:w w:val="100"/>
          <w:kern w:val="0"/>
          <w:lang w:val="en-US"/>
        </w:rPr>
        <w:t>UN-Women</w:t>
      </w:r>
      <w:r w:rsidR="001A4FE7">
        <w:rPr>
          <w:rFonts w:eastAsia="Times New Roman"/>
          <w:spacing w:val="0"/>
          <w:w w:val="100"/>
          <w:kern w:val="0"/>
          <w:lang w:val="en-US"/>
        </w:rPr>
        <w:t>)</w:t>
      </w:r>
      <w:r w:rsidR="005A36D8" w:rsidRPr="003C21CC">
        <w:rPr>
          <w:rFonts w:eastAsia="Times New Roman"/>
          <w:spacing w:val="0"/>
          <w:w w:val="100"/>
          <w:kern w:val="0"/>
          <w:lang w:val="en-US"/>
        </w:rPr>
        <w:t xml:space="preserve">. </w:t>
      </w:r>
      <w:r w:rsidR="00632DB5" w:rsidRPr="003C21CC">
        <w:rPr>
          <w:lang w:val="en-US"/>
        </w:rPr>
        <w:t xml:space="preserve"> Furthermore, </w:t>
      </w:r>
      <w:r w:rsidR="00632DB5" w:rsidRPr="003C21CC">
        <w:rPr>
          <w:rFonts w:eastAsia="Times New Roman"/>
          <w:color w:val="000000"/>
          <w:spacing w:val="0"/>
          <w:w w:val="100"/>
          <w:kern w:val="0"/>
          <w:lang w:val="en-US"/>
        </w:rPr>
        <w:t>the four-year budgeting approach</w:t>
      </w:r>
      <w:r w:rsidR="00632DB5" w:rsidRPr="003C21CC">
        <w:rPr>
          <w:lang w:val="en-US"/>
        </w:rPr>
        <w:t xml:space="preserve">, agreed by the </w:t>
      </w:r>
      <w:r w:rsidR="005A36D8" w:rsidRPr="003C21CC">
        <w:rPr>
          <w:rFonts w:eastAsia="Times New Roman"/>
          <w:color w:val="000000"/>
          <w:spacing w:val="0"/>
          <w:w w:val="100"/>
          <w:kern w:val="0"/>
          <w:lang w:val="en-US"/>
        </w:rPr>
        <w:t>Executive Board in decision 2012/27</w:t>
      </w:r>
      <w:r w:rsidR="00632DB5" w:rsidRPr="003C21CC">
        <w:rPr>
          <w:rFonts w:eastAsia="Times New Roman"/>
          <w:color w:val="000000"/>
          <w:spacing w:val="0"/>
          <w:w w:val="100"/>
          <w:kern w:val="0"/>
          <w:lang w:val="en-US"/>
        </w:rPr>
        <w:t xml:space="preserve">, </w:t>
      </w:r>
      <w:r w:rsidR="005A36D8" w:rsidRPr="003C21CC">
        <w:rPr>
          <w:rFonts w:eastAsia="Times New Roman"/>
          <w:color w:val="000000"/>
          <w:spacing w:val="0"/>
          <w:w w:val="100"/>
          <w:kern w:val="0"/>
          <w:lang w:val="en-US"/>
        </w:rPr>
        <w:t xml:space="preserve">ensures a more efficient and effective approach in that </w:t>
      </w:r>
      <w:r w:rsidR="56318FCC" w:rsidRPr="003C21CC">
        <w:rPr>
          <w:rFonts w:eastAsia="Times New Roman"/>
          <w:color w:val="000000"/>
          <w:spacing w:val="0"/>
          <w:w w:val="100"/>
          <w:kern w:val="0"/>
          <w:lang w:val="en-US"/>
        </w:rPr>
        <w:t xml:space="preserve">the </w:t>
      </w:r>
      <w:r w:rsidR="005A36D8" w:rsidRPr="003C21CC">
        <w:rPr>
          <w:rFonts w:eastAsia="Times New Roman"/>
          <w:color w:val="000000"/>
          <w:spacing w:val="0"/>
          <w:w w:val="100"/>
          <w:kern w:val="0"/>
          <w:lang w:val="en-US"/>
        </w:rPr>
        <w:t xml:space="preserve">overall alignment of planning and resources frameworks are considered by the </w:t>
      </w:r>
      <w:r w:rsidR="001A4FE7">
        <w:rPr>
          <w:rFonts w:eastAsia="Times New Roman"/>
          <w:color w:val="000000"/>
          <w:spacing w:val="0"/>
          <w:w w:val="100"/>
          <w:kern w:val="0"/>
          <w:lang w:val="en-US"/>
        </w:rPr>
        <w:t xml:space="preserve">Executive </w:t>
      </w:r>
      <w:r w:rsidR="005A36D8" w:rsidRPr="003C21CC">
        <w:rPr>
          <w:rFonts w:eastAsia="Times New Roman"/>
          <w:color w:val="000000"/>
          <w:spacing w:val="0"/>
          <w:w w:val="100"/>
          <w:kern w:val="0"/>
          <w:lang w:val="en-US"/>
        </w:rPr>
        <w:t>Board at the same time, as opposed to the previous approach where</w:t>
      </w:r>
      <w:r w:rsidR="5C982630" w:rsidRPr="003C21CC">
        <w:rPr>
          <w:rFonts w:eastAsia="Times New Roman"/>
          <w:color w:val="000000"/>
          <w:spacing w:val="0"/>
          <w:w w:val="100"/>
          <w:kern w:val="0"/>
          <w:lang w:val="en-US"/>
        </w:rPr>
        <w:t>by</w:t>
      </w:r>
      <w:r w:rsidR="005A36D8" w:rsidRPr="003C21CC">
        <w:rPr>
          <w:rFonts w:eastAsia="Times New Roman"/>
          <w:color w:val="000000"/>
          <w:spacing w:val="0"/>
          <w:w w:val="100"/>
          <w:kern w:val="0"/>
          <w:lang w:val="en-US"/>
        </w:rPr>
        <w:t xml:space="preserve"> the Board reviewed distinct </w:t>
      </w:r>
      <w:r w:rsidR="00632DB5" w:rsidRPr="003C21CC">
        <w:rPr>
          <w:rFonts w:eastAsia="Times New Roman"/>
          <w:color w:val="000000"/>
          <w:spacing w:val="0"/>
          <w:w w:val="100"/>
          <w:kern w:val="0"/>
          <w:lang w:val="en-US"/>
        </w:rPr>
        <w:t>four</w:t>
      </w:r>
      <w:r w:rsidR="005A36D8" w:rsidRPr="003C21CC">
        <w:rPr>
          <w:rFonts w:eastAsia="Times New Roman"/>
          <w:color w:val="000000"/>
          <w:spacing w:val="0"/>
          <w:w w:val="100"/>
          <w:kern w:val="0"/>
          <w:lang w:val="en-US"/>
        </w:rPr>
        <w:t xml:space="preserve">-year programming arrangements and </w:t>
      </w:r>
      <w:r w:rsidR="00632DB5" w:rsidRPr="003C21CC">
        <w:rPr>
          <w:rFonts w:eastAsia="Times New Roman"/>
          <w:color w:val="000000"/>
          <w:spacing w:val="0"/>
          <w:w w:val="100"/>
          <w:kern w:val="0"/>
          <w:lang w:val="en-US"/>
        </w:rPr>
        <w:t>two</w:t>
      </w:r>
      <w:r w:rsidR="005A36D8" w:rsidRPr="003C21CC">
        <w:rPr>
          <w:rFonts w:eastAsia="Times New Roman"/>
          <w:color w:val="000000"/>
          <w:spacing w:val="0"/>
          <w:w w:val="100"/>
          <w:kern w:val="0"/>
          <w:lang w:val="en-US"/>
        </w:rPr>
        <w:t>-year institutional budgets at different points in time. </w:t>
      </w:r>
      <w:r w:rsidR="005F3BB9" w:rsidRPr="003C21CC">
        <w:rPr>
          <w:b/>
          <w:bCs/>
          <w:lang w:val="en-US"/>
        </w:rPr>
        <w:t xml:space="preserve">The Advisory Committee notes that </w:t>
      </w:r>
      <w:r w:rsidR="67E3CAA9" w:rsidRPr="003C21CC">
        <w:rPr>
          <w:rFonts w:asciiTheme="majorBidi" w:hAnsiTheme="majorBidi" w:cstheme="majorBidi"/>
          <w:b/>
          <w:bCs/>
        </w:rPr>
        <w:t>t</w:t>
      </w:r>
      <w:r w:rsidR="67E3CAA9" w:rsidRPr="003C21CC">
        <w:rPr>
          <w:b/>
          <w:bCs/>
          <w:lang w:val="en-US"/>
        </w:rPr>
        <w:t xml:space="preserve">he projected contributions were overestimated </w:t>
      </w:r>
      <w:r w:rsidR="3DA37839" w:rsidRPr="003C21CC">
        <w:rPr>
          <w:b/>
          <w:bCs/>
          <w:lang w:val="en-US"/>
        </w:rPr>
        <w:t xml:space="preserve">for </w:t>
      </w:r>
      <w:r w:rsidR="3DA37839" w:rsidRPr="003C21CC">
        <w:rPr>
          <w:rFonts w:asciiTheme="majorBidi" w:hAnsiTheme="majorBidi" w:cstheme="majorBidi"/>
          <w:b/>
          <w:bCs/>
        </w:rPr>
        <w:t>2014-2017 and 2018-2021</w:t>
      </w:r>
      <w:r w:rsidR="07BFC7B2" w:rsidRPr="003C21CC">
        <w:rPr>
          <w:rFonts w:asciiTheme="majorBidi" w:hAnsiTheme="majorBidi" w:cstheme="majorBidi"/>
          <w:b/>
          <w:bCs/>
        </w:rPr>
        <w:t>,</w:t>
      </w:r>
      <w:r w:rsidR="191B9502" w:rsidRPr="003C21CC">
        <w:rPr>
          <w:rFonts w:asciiTheme="majorBidi" w:hAnsiTheme="majorBidi" w:cstheme="majorBidi"/>
          <w:b/>
          <w:bCs/>
        </w:rPr>
        <w:t xml:space="preserve"> and that </w:t>
      </w:r>
      <w:r w:rsidR="36C09D61" w:rsidRPr="003C21CC">
        <w:rPr>
          <w:b/>
          <w:bCs/>
          <w:lang w:val="en-US"/>
        </w:rPr>
        <w:t xml:space="preserve">the </w:t>
      </w:r>
      <w:r w:rsidR="1B75AC71" w:rsidRPr="003C21CC">
        <w:rPr>
          <w:b/>
          <w:bCs/>
          <w:lang w:val="en-US"/>
        </w:rPr>
        <w:t xml:space="preserve">contributions which were actually received </w:t>
      </w:r>
      <w:r w:rsidR="440A0E9D" w:rsidRPr="003C21CC">
        <w:rPr>
          <w:b/>
          <w:bCs/>
          <w:lang w:val="en-US"/>
        </w:rPr>
        <w:t>were significantly lower</w:t>
      </w:r>
      <w:r w:rsidR="00A93283" w:rsidRPr="003C21CC">
        <w:rPr>
          <w:b/>
          <w:bCs/>
          <w:lang w:val="en-US"/>
        </w:rPr>
        <w:t xml:space="preserve">. </w:t>
      </w:r>
      <w:r w:rsidR="005F3BB9" w:rsidRPr="003C21CC">
        <w:rPr>
          <w:b/>
          <w:bCs/>
          <w:lang w:val="en-US"/>
        </w:rPr>
        <w:t xml:space="preserve">The Committee </w:t>
      </w:r>
      <w:r w:rsidR="009562FF" w:rsidRPr="003C21CC">
        <w:rPr>
          <w:b/>
          <w:bCs/>
          <w:lang w:val="en-US"/>
        </w:rPr>
        <w:t xml:space="preserve">reiterates </w:t>
      </w:r>
      <w:r w:rsidR="6E4A610D" w:rsidRPr="003C21CC">
        <w:rPr>
          <w:b/>
          <w:bCs/>
          <w:lang w:val="en-US"/>
        </w:rPr>
        <w:t xml:space="preserve">its previous request </w:t>
      </w:r>
      <w:r w:rsidR="009562FF" w:rsidRPr="003C21CC">
        <w:rPr>
          <w:b/>
          <w:bCs/>
          <w:lang w:val="en-US"/>
        </w:rPr>
        <w:t>that UNDP</w:t>
      </w:r>
      <w:r w:rsidR="3AE4DFB6" w:rsidRPr="003C21CC">
        <w:rPr>
          <w:b/>
          <w:bCs/>
          <w:lang w:val="en-US"/>
        </w:rPr>
        <w:t xml:space="preserve"> budget assumptions </w:t>
      </w:r>
      <w:r w:rsidR="001A4FE7">
        <w:rPr>
          <w:b/>
          <w:bCs/>
          <w:lang w:val="en-US"/>
        </w:rPr>
        <w:t xml:space="preserve">be </w:t>
      </w:r>
      <w:r w:rsidR="3AE4DFB6" w:rsidRPr="003C21CC">
        <w:rPr>
          <w:b/>
          <w:bCs/>
          <w:lang w:val="en-US"/>
        </w:rPr>
        <w:t xml:space="preserve">more realistic. </w:t>
      </w:r>
      <w:r w:rsidR="009562FF" w:rsidRPr="003C21CC">
        <w:rPr>
          <w:b/>
          <w:bCs/>
          <w:lang w:val="en-US"/>
        </w:rPr>
        <w:t xml:space="preserve">The Committee </w:t>
      </w:r>
      <w:r w:rsidR="005F3BB9" w:rsidRPr="003C21CC">
        <w:rPr>
          <w:b/>
          <w:bCs/>
          <w:lang w:val="en-US"/>
        </w:rPr>
        <w:t>encourages UNDP to continue to strengthen its fundraising efforts to broaden and deepen its donor base</w:t>
      </w:r>
      <w:r w:rsidR="00BA043B" w:rsidRPr="003C21CC">
        <w:rPr>
          <w:b/>
          <w:bCs/>
          <w:lang w:val="en-US"/>
        </w:rPr>
        <w:t xml:space="preserve">, </w:t>
      </w:r>
      <w:r w:rsidR="350ADE5A" w:rsidRPr="003C21CC">
        <w:rPr>
          <w:b/>
          <w:bCs/>
          <w:lang w:val="en-US"/>
        </w:rPr>
        <w:t xml:space="preserve">and to </w:t>
      </w:r>
      <w:r w:rsidR="00BA043B" w:rsidRPr="003C21CC">
        <w:rPr>
          <w:b/>
          <w:bCs/>
          <w:lang w:val="en-US"/>
        </w:rPr>
        <w:t xml:space="preserve">provide detailed information </w:t>
      </w:r>
      <w:r w:rsidR="002E2EC1" w:rsidRPr="003C21CC">
        <w:rPr>
          <w:b/>
          <w:bCs/>
          <w:lang w:val="en-US"/>
        </w:rPr>
        <w:t>on its four-year</w:t>
      </w:r>
      <w:r w:rsidR="00620BBE" w:rsidRPr="003C21CC">
        <w:rPr>
          <w:b/>
          <w:bCs/>
          <w:lang w:val="en-US"/>
        </w:rPr>
        <w:t xml:space="preserve"> </w:t>
      </w:r>
      <w:r w:rsidR="00275F89" w:rsidRPr="003C21CC">
        <w:rPr>
          <w:b/>
          <w:bCs/>
          <w:lang w:val="en-US"/>
        </w:rPr>
        <w:t xml:space="preserve">strategic </w:t>
      </w:r>
      <w:r w:rsidR="00620BBE" w:rsidRPr="003C21CC">
        <w:rPr>
          <w:b/>
          <w:bCs/>
          <w:lang w:val="en-US"/>
        </w:rPr>
        <w:t xml:space="preserve">plan </w:t>
      </w:r>
      <w:r w:rsidR="00BA043B" w:rsidRPr="003C21CC">
        <w:rPr>
          <w:b/>
          <w:bCs/>
          <w:lang w:val="en-US"/>
        </w:rPr>
        <w:t>in the context of the next midterm review</w:t>
      </w:r>
      <w:r w:rsidR="70CD9117" w:rsidRPr="003C21CC">
        <w:rPr>
          <w:b/>
          <w:bCs/>
          <w:lang w:val="en-US"/>
        </w:rPr>
        <w:t xml:space="preserve"> (see also DP/2017/4</w:t>
      </w:r>
      <w:r w:rsidR="00275F89" w:rsidRPr="003C21CC">
        <w:rPr>
          <w:b/>
          <w:bCs/>
          <w:lang w:val="en-US"/>
        </w:rPr>
        <w:t>0</w:t>
      </w:r>
      <w:r w:rsidR="70CD9117" w:rsidRPr="003C21CC">
        <w:rPr>
          <w:b/>
          <w:bCs/>
          <w:lang w:val="en-US"/>
        </w:rPr>
        <w:t>, para. 3)</w:t>
      </w:r>
      <w:r w:rsidR="00BA043B" w:rsidRPr="003C21CC">
        <w:rPr>
          <w:b/>
          <w:bCs/>
          <w:lang w:val="en-US"/>
        </w:rPr>
        <w:t xml:space="preserve">. </w:t>
      </w:r>
      <w:r w:rsidR="005F3BB9" w:rsidRPr="003C21CC">
        <w:rPr>
          <w:b/>
          <w:bCs/>
          <w:lang w:val="en-US"/>
        </w:rPr>
        <w:t xml:space="preserve"> </w:t>
      </w:r>
      <w:r w:rsidR="005A36D8" w:rsidRPr="003C21CC">
        <w:rPr>
          <w:rFonts w:eastAsia="Times New Roman"/>
          <w:color w:val="000000"/>
          <w:spacing w:val="0"/>
          <w:w w:val="100"/>
          <w:kern w:val="0"/>
          <w:lang w:val="en-US"/>
        </w:rPr>
        <w:t> </w:t>
      </w:r>
    </w:p>
    <w:p w14:paraId="45C41A33" w14:textId="21CBE7E5" w:rsidR="786D7A7B" w:rsidRPr="003C21CC" w:rsidRDefault="786D7A7B" w:rsidP="008E332F">
      <w:pPr>
        <w:tabs>
          <w:tab w:val="left" w:pos="1260"/>
          <w:tab w:val="left" w:pos="8820"/>
        </w:tabs>
        <w:spacing w:line="240" w:lineRule="auto"/>
        <w:ind w:left="1260" w:right="1200"/>
        <w:jc w:val="both"/>
        <w:rPr>
          <w:b/>
          <w:bCs/>
          <w:lang w:val="en-US"/>
        </w:rPr>
      </w:pPr>
    </w:p>
    <w:p w14:paraId="7AA439B9" w14:textId="74932556" w:rsidR="00673FA0" w:rsidRPr="00744DE7" w:rsidRDefault="00673FA0" w:rsidP="00D73A5D">
      <w:pPr>
        <w:tabs>
          <w:tab w:val="left" w:pos="1260"/>
          <w:tab w:val="left" w:pos="1710"/>
        </w:tabs>
        <w:spacing w:after="200" w:line="240" w:lineRule="auto"/>
        <w:ind w:left="1260" w:right="1200" w:hanging="540"/>
        <w:jc w:val="both"/>
        <w:rPr>
          <w:b/>
          <w:bCs/>
          <w:sz w:val="28"/>
          <w:szCs w:val="28"/>
        </w:rPr>
      </w:pPr>
      <w:r w:rsidRPr="00744DE7">
        <w:rPr>
          <w:b/>
          <w:bCs/>
          <w:sz w:val="28"/>
          <w:szCs w:val="28"/>
          <w:lang w:val="en-US"/>
        </w:rPr>
        <w:t>III.</w:t>
      </w:r>
      <w:r w:rsidR="005851B4">
        <w:rPr>
          <w:b/>
          <w:bCs/>
          <w:sz w:val="28"/>
          <w:szCs w:val="28"/>
          <w:lang w:val="en-US"/>
        </w:rPr>
        <w:tab/>
      </w:r>
      <w:bookmarkStart w:id="0" w:name="_Hlk79090881"/>
      <w:r w:rsidRPr="00744DE7">
        <w:rPr>
          <w:b/>
          <w:bCs/>
          <w:sz w:val="28"/>
          <w:szCs w:val="28"/>
        </w:rPr>
        <w:t>Integrated</w:t>
      </w:r>
      <w:r w:rsidR="007E240E" w:rsidRPr="00744DE7">
        <w:rPr>
          <w:b/>
          <w:bCs/>
          <w:sz w:val="28"/>
          <w:szCs w:val="28"/>
        </w:rPr>
        <w:t xml:space="preserve"> </w:t>
      </w:r>
      <w:r w:rsidR="001C1D0E" w:rsidRPr="00744DE7">
        <w:rPr>
          <w:b/>
          <w:bCs/>
          <w:sz w:val="28"/>
          <w:szCs w:val="28"/>
        </w:rPr>
        <w:t>b</w:t>
      </w:r>
      <w:r w:rsidR="007E240E" w:rsidRPr="00744DE7">
        <w:rPr>
          <w:b/>
          <w:bCs/>
          <w:sz w:val="28"/>
          <w:szCs w:val="28"/>
        </w:rPr>
        <w:t>udget (regular resources)</w:t>
      </w:r>
      <w:r w:rsidR="00DC76C6" w:rsidRPr="00744DE7">
        <w:rPr>
          <w:b/>
          <w:bCs/>
          <w:sz w:val="28"/>
          <w:szCs w:val="28"/>
        </w:rPr>
        <w:t xml:space="preserve"> for the period </w:t>
      </w:r>
      <w:r w:rsidR="007E240E" w:rsidRPr="00744DE7">
        <w:rPr>
          <w:b/>
          <w:bCs/>
          <w:sz w:val="28"/>
          <w:szCs w:val="28"/>
        </w:rPr>
        <w:t>2</w:t>
      </w:r>
      <w:r w:rsidR="00B441A1" w:rsidRPr="00744DE7">
        <w:rPr>
          <w:b/>
          <w:bCs/>
          <w:sz w:val="28"/>
          <w:szCs w:val="28"/>
        </w:rPr>
        <w:t>0</w:t>
      </w:r>
      <w:r w:rsidR="5BF50870" w:rsidRPr="00744DE7">
        <w:rPr>
          <w:b/>
          <w:bCs/>
          <w:sz w:val="28"/>
          <w:szCs w:val="28"/>
        </w:rPr>
        <w:t>22</w:t>
      </w:r>
      <w:r w:rsidR="00B441A1" w:rsidRPr="00744DE7">
        <w:rPr>
          <w:sz w:val="28"/>
          <w:szCs w:val="28"/>
        </w:rPr>
        <w:t>–</w:t>
      </w:r>
      <w:r w:rsidRPr="00744DE7">
        <w:rPr>
          <w:b/>
          <w:bCs/>
          <w:sz w:val="28"/>
          <w:szCs w:val="28"/>
        </w:rPr>
        <w:t>202</w:t>
      </w:r>
      <w:r w:rsidR="71AAF5F8" w:rsidRPr="00744DE7">
        <w:rPr>
          <w:b/>
          <w:bCs/>
          <w:sz w:val="28"/>
          <w:szCs w:val="28"/>
        </w:rPr>
        <w:t>5</w:t>
      </w:r>
      <w:bookmarkEnd w:id="0"/>
    </w:p>
    <w:p w14:paraId="7B185487" w14:textId="59C522C9" w:rsidR="00682286" w:rsidRPr="003C21CC" w:rsidRDefault="7D3A9466" w:rsidP="005B7702">
      <w:pPr>
        <w:tabs>
          <w:tab w:val="left" w:pos="1260"/>
          <w:tab w:val="left" w:pos="1620"/>
        </w:tabs>
        <w:suppressAutoHyphens w:val="0"/>
        <w:spacing w:after="120" w:line="240" w:lineRule="auto"/>
        <w:ind w:left="1260" w:right="1200"/>
        <w:jc w:val="both"/>
        <w:rPr>
          <w:rFonts w:eastAsia="Times New Roman"/>
          <w:color w:val="000000" w:themeColor="text1"/>
        </w:rPr>
      </w:pPr>
      <w:r w:rsidRPr="003C21CC">
        <w:t>6</w:t>
      </w:r>
      <w:r w:rsidR="71AAF5F8" w:rsidRPr="003C21CC">
        <w:t>.</w:t>
      </w:r>
      <w:r w:rsidR="005B7702">
        <w:tab/>
      </w:r>
      <w:r w:rsidR="6595878A" w:rsidRPr="003C21CC">
        <w:t>An overview of the i</w:t>
      </w:r>
      <w:r w:rsidR="6595878A" w:rsidRPr="003C21CC">
        <w:rPr>
          <w:rFonts w:eastAsia="Times New Roman"/>
          <w:color w:val="000000" w:themeColor="text1"/>
        </w:rPr>
        <w:t>ntegrated budget</w:t>
      </w:r>
      <w:r w:rsidR="0042BA63" w:rsidRPr="003C21CC">
        <w:rPr>
          <w:rFonts w:eastAsia="Times New Roman"/>
          <w:color w:val="000000" w:themeColor="text1"/>
        </w:rPr>
        <w:t xml:space="preserve">, which </w:t>
      </w:r>
      <w:r w:rsidR="1368C22E" w:rsidRPr="003C21CC">
        <w:rPr>
          <w:rFonts w:eastAsia="Times New Roman"/>
          <w:color w:val="000000" w:themeColor="text1"/>
        </w:rPr>
        <w:t>represents UNDP regular resources</w:t>
      </w:r>
      <w:r w:rsidR="3D24E27C" w:rsidRPr="003C21CC">
        <w:rPr>
          <w:rFonts w:eastAsia="Times New Roman"/>
          <w:color w:val="000000" w:themeColor="text1"/>
        </w:rPr>
        <w:t xml:space="preserve"> for funding </w:t>
      </w:r>
      <w:r w:rsidR="0042BA63" w:rsidRPr="003C21CC">
        <w:rPr>
          <w:rFonts w:eastAsia="Times New Roman"/>
          <w:color w:val="000000" w:themeColor="text1"/>
        </w:rPr>
        <w:t>the programmatic and institutional components</w:t>
      </w:r>
      <w:r w:rsidR="6256950D" w:rsidRPr="003C21CC">
        <w:rPr>
          <w:rFonts w:eastAsia="Times New Roman"/>
          <w:color w:val="000000" w:themeColor="text1"/>
        </w:rPr>
        <w:t xml:space="preserve"> </w:t>
      </w:r>
      <w:r w:rsidR="6595878A" w:rsidRPr="003C21CC">
        <w:rPr>
          <w:rFonts w:eastAsia="Times New Roman"/>
          <w:color w:val="000000" w:themeColor="text1"/>
        </w:rPr>
        <w:t>for the period 2022-2025</w:t>
      </w:r>
      <w:r w:rsidR="0094679F">
        <w:rPr>
          <w:rFonts w:eastAsia="Times New Roman"/>
          <w:color w:val="000000" w:themeColor="text1"/>
        </w:rPr>
        <w:t>,</w:t>
      </w:r>
      <w:r w:rsidR="6595878A" w:rsidRPr="003C21CC">
        <w:rPr>
          <w:rFonts w:eastAsia="Times New Roman"/>
        </w:rPr>
        <w:t xml:space="preserve"> is provided in section V </w:t>
      </w:r>
      <w:r w:rsidR="2EC96A08" w:rsidRPr="003C21CC">
        <w:rPr>
          <w:rFonts w:eastAsia="Times New Roman"/>
        </w:rPr>
        <w:t xml:space="preserve">and table 1a </w:t>
      </w:r>
      <w:r w:rsidR="5130F4C9" w:rsidRPr="003C21CC">
        <w:rPr>
          <w:rFonts w:eastAsia="Times New Roman"/>
        </w:rPr>
        <w:t>of the budget document.</w:t>
      </w:r>
      <w:r w:rsidR="2F26E61F" w:rsidRPr="003C21CC">
        <w:rPr>
          <w:rFonts w:eastAsia="Times New Roman"/>
        </w:rPr>
        <w:t xml:space="preserve"> </w:t>
      </w:r>
      <w:r w:rsidR="00477E8B" w:rsidRPr="003C21CC">
        <w:rPr>
          <w:rFonts w:eastAsia="Times New Roman"/>
          <w:color w:val="000000" w:themeColor="text1"/>
        </w:rPr>
        <w:t>The</w:t>
      </w:r>
      <w:r w:rsidR="43982D69" w:rsidRPr="003C21CC">
        <w:rPr>
          <w:rFonts w:eastAsia="Times New Roman"/>
          <w:color w:val="000000" w:themeColor="text1"/>
        </w:rPr>
        <w:t xml:space="preserve"> totality of the</w:t>
      </w:r>
      <w:r w:rsidR="7262B452" w:rsidRPr="003C21CC">
        <w:rPr>
          <w:rFonts w:eastAsia="Times New Roman"/>
          <w:color w:val="000000" w:themeColor="text1"/>
        </w:rPr>
        <w:t xml:space="preserve"> integrated budget</w:t>
      </w:r>
      <w:r w:rsidR="43D7090A" w:rsidRPr="003C21CC">
        <w:rPr>
          <w:rFonts w:eastAsia="Times New Roman"/>
          <w:color w:val="000000" w:themeColor="text1"/>
        </w:rPr>
        <w:t xml:space="preserve"> </w:t>
      </w:r>
      <w:r w:rsidR="470337AF" w:rsidRPr="003C21CC">
        <w:rPr>
          <w:rFonts w:eastAsia="Times New Roman"/>
          <w:color w:val="000000" w:themeColor="text1"/>
        </w:rPr>
        <w:t>is</w:t>
      </w:r>
      <w:r w:rsidR="7262B452" w:rsidRPr="003C21CC">
        <w:rPr>
          <w:rFonts w:eastAsia="Times New Roman"/>
          <w:color w:val="000000" w:themeColor="text1"/>
        </w:rPr>
        <w:t xml:space="preserve"> estimated </w:t>
      </w:r>
      <w:r w:rsidR="22C5E56E" w:rsidRPr="003C21CC">
        <w:rPr>
          <w:rFonts w:eastAsia="Times New Roman"/>
          <w:color w:val="000000" w:themeColor="text1"/>
        </w:rPr>
        <w:t xml:space="preserve">at </w:t>
      </w:r>
      <w:r w:rsidR="7262B452" w:rsidRPr="003C21CC">
        <w:rPr>
          <w:rFonts w:eastAsia="Times New Roman"/>
          <w:color w:val="000000" w:themeColor="text1"/>
        </w:rPr>
        <w:t>$</w:t>
      </w:r>
      <w:r w:rsidR="7429F374" w:rsidRPr="003C21CC">
        <w:rPr>
          <w:rFonts w:eastAsia="Times New Roman"/>
          <w:color w:val="000000" w:themeColor="text1"/>
        </w:rPr>
        <w:t>3,41</w:t>
      </w:r>
      <w:r w:rsidR="20A379BE" w:rsidRPr="003C21CC">
        <w:rPr>
          <w:rFonts w:eastAsia="Times New Roman"/>
          <w:color w:val="000000" w:themeColor="text1"/>
        </w:rPr>
        <w:t>0</w:t>
      </w:r>
      <w:r w:rsidR="7429F374" w:rsidRPr="003C21CC">
        <w:rPr>
          <w:rFonts w:eastAsia="Times New Roman"/>
          <w:color w:val="000000" w:themeColor="text1"/>
        </w:rPr>
        <w:t>,400,000</w:t>
      </w:r>
      <w:r w:rsidR="75F19161" w:rsidRPr="003C21CC">
        <w:rPr>
          <w:rFonts w:eastAsia="Times New Roman"/>
          <w:color w:val="000000" w:themeColor="text1"/>
        </w:rPr>
        <w:t>, or a</w:t>
      </w:r>
      <w:r w:rsidR="537B5A2F" w:rsidRPr="003C21CC">
        <w:rPr>
          <w:rFonts w:eastAsia="Times New Roman"/>
          <w:color w:val="000000" w:themeColor="text1"/>
        </w:rPr>
        <w:t xml:space="preserve"> decrease of</w:t>
      </w:r>
      <w:r w:rsidR="6A6A512E" w:rsidRPr="003C21CC">
        <w:rPr>
          <w:rFonts w:eastAsia="Times New Roman"/>
          <w:color w:val="000000" w:themeColor="text1"/>
        </w:rPr>
        <w:t xml:space="preserve"> </w:t>
      </w:r>
      <w:r w:rsidR="73ACF1B0" w:rsidRPr="003C21CC">
        <w:rPr>
          <w:rFonts w:eastAsia="Times New Roman"/>
          <w:color w:val="000000" w:themeColor="text1"/>
        </w:rPr>
        <w:t>28.4</w:t>
      </w:r>
      <w:r w:rsidR="75F19161" w:rsidRPr="003C21CC">
        <w:rPr>
          <w:rFonts w:eastAsia="Times New Roman"/>
          <w:color w:val="000000" w:themeColor="text1"/>
        </w:rPr>
        <w:t xml:space="preserve"> per cent when compared to </w:t>
      </w:r>
      <w:r w:rsidR="73962987" w:rsidRPr="003C21CC">
        <w:rPr>
          <w:rFonts w:eastAsia="Times New Roman"/>
          <w:color w:val="000000" w:themeColor="text1"/>
        </w:rPr>
        <w:t xml:space="preserve">the </w:t>
      </w:r>
      <w:r w:rsidR="2A2F0E69" w:rsidRPr="003C21CC">
        <w:rPr>
          <w:rFonts w:eastAsia="Times New Roman"/>
          <w:color w:val="000000" w:themeColor="text1"/>
        </w:rPr>
        <w:t xml:space="preserve">updated estimates </w:t>
      </w:r>
      <w:r w:rsidR="73962987" w:rsidRPr="003C21CC">
        <w:rPr>
          <w:rFonts w:eastAsia="Times New Roman"/>
          <w:color w:val="000000" w:themeColor="text1"/>
        </w:rPr>
        <w:t>of $2,</w:t>
      </w:r>
      <w:r w:rsidR="30BCA338" w:rsidRPr="003C21CC">
        <w:rPr>
          <w:rFonts w:eastAsia="Times New Roman"/>
          <w:color w:val="000000" w:themeColor="text1"/>
        </w:rPr>
        <w:t>655,300,000</w:t>
      </w:r>
      <w:r w:rsidR="73962987" w:rsidRPr="003C21CC">
        <w:rPr>
          <w:rFonts w:eastAsia="Times New Roman"/>
          <w:color w:val="000000" w:themeColor="text1"/>
        </w:rPr>
        <w:t xml:space="preserve"> for </w:t>
      </w:r>
      <w:r w:rsidR="75F19161" w:rsidRPr="003C21CC">
        <w:rPr>
          <w:rFonts w:eastAsia="Times New Roman"/>
          <w:color w:val="000000" w:themeColor="text1"/>
        </w:rPr>
        <w:t>2018-2021</w:t>
      </w:r>
      <w:r w:rsidR="6DB3C545" w:rsidRPr="003C21CC">
        <w:rPr>
          <w:rFonts w:eastAsia="Times New Roman"/>
          <w:color w:val="000000" w:themeColor="text1"/>
        </w:rPr>
        <w:t>, and comprise</w:t>
      </w:r>
      <w:r w:rsidR="3719FBD8" w:rsidRPr="003C21CC">
        <w:rPr>
          <w:rFonts w:eastAsia="Times New Roman"/>
          <w:color w:val="000000" w:themeColor="text1"/>
        </w:rPr>
        <w:t>s</w:t>
      </w:r>
      <w:r w:rsidR="7273E5DF" w:rsidRPr="003C21CC">
        <w:rPr>
          <w:rFonts w:eastAsia="Times New Roman"/>
          <w:color w:val="000000" w:themeColor="text1"/>
        </w:rPr>
        <w:t>:</w:t>
      </w:r>
      <w:r w:rsidR="6DB3C545" w:rsidRPr="003C21CC">
        <w:rPr>
          <w:rFonts w:eastAsia="Times New Roman"/>
          <w:color w:val="000000" w:themeColor="text1"/>
        </w:rPr>
        <w:t xml:space="preserve"> (a) $</w:t>
      </w:r>
      <w:r w:rsidR="5247A108" w:rsidRPr="003C21CC">
        <w:rPr>
          <w:rFonts w:eastAsia="Times New Roman"/>
          <w:color w:val="000000" w:themeColor="text1"/>
        </w:rPr>
        <w:t>2,197,600,000</w:t>
      </w:r>
      <w:r w:rsidR="6DB3C545" w:rsidRPr="003C21CC">
        <w:rPr>
          <w:rFonts w:eastAsia="Times New Roman"/>
          <w:color w:val="000000" w:themeColor="text1"/>
        </w:rPr>
        <w:t xml:space="preserve"> for the programmatic component; and (b) $</w:t>
      </w:r>
      <w:r w:rsidR="28BF11D9" w:rsidRPr="003C21CC">
        <w:rPr>
          <w:rFonts w:eastAsia="Times New Roman"/>
          <w:color w:val="000000" w:themeColor="text1"/>
        </w:rPr>
        <w:t>1,043,800,000</w:t>
      </w:r>
      <w:r w:rsidR="6DB3C545" w:rsidRPr="003C21CC">
        <w:rPr>
          <w:rFonts w:eastAsia="Times New Roman"/>
          <w:color w:val="000000" w:themeColor="text1"/>
        </w:rPr>
        <w:t xml:space="preserve"> for the </w:t>
      </w:r>
      <w:r w:rsidR="4D0637DE" w:rsidRPr="003C21CC">
        <w:rPr>
          <w:rFonts w:eastAsia="Times New Roman"/>
          <w:color w:val="000000" w:themeColor="text1"/>
        </w:rPr>
        <w:t xml:space="preserve">institutional component. </w:t>
      </w:r>
    </w:p>
    <w:p w14:paraId="33DD84FE" w14:textId="00D3FC8E" w:rsidR="00682286" w:rsidRPr="00744DE7" w:rsidRDefault="00744DE7" w:rsidP="003C21CC">
      <w:pPr>
        <w:tabs>
          <w:tab w:val="left" w:pos="1620"/>
          <w:tab w:val="left" w:pos="8820"/>
        </w:tabs>
        <w:suppressAutoHyphens w:val="0"/>
        <w:spacing w:after="120" w:line="240" w:lineRule="auto"/>
        <w:ind w:left="1260" w:right="1200"/>
        <w:jc w:val="both"/>
        <w:rPr>
          <w:b/>
          <w:bCs/>
          <w:sz w:val="24"/>
          <w:szCs w:val="24"/>
        </w:rPr>
      </w:pPr>
      <w:r w:rsidRPr="00744DE7">
        <w:rPr>
          <w:b/>
          <w:bCs/>
          <w:sz w:val="24"/>
          <w:szCs w:val="24"/>
        </w:rPr>
        <w:t xml:space="preserve">A. </w:t>
      </w:r>
      <w:r w:rsidR="00BB35C9" w:rsidRPr="00744DE7">
        <w:rPr>
          <w:b/>
          <w:bCs/>
          <w:sz w:val="24"/>
          <w:szCs w:val="24"/>
        </w:rPr>
        <w:t xml:space="preserve">Institutional </w:t>
      </w:r>
      <w:r w:rsidR="001C1D0E" w:rsidRPr="00744DE7">
        <w:rPr>
          <w:b/>
          <w:bCs/>
          <w:sz w:val="24"/>
          <w:szCs w:val="24"/>
        </w:rPr>
        <w:t>c</w:t>
      </w:r>
      <w:r w:rsidR="00BB35C9" w:rsidRPr="00744DE7">
        <w:rPr>
          <w:b/>
          <w:bCs/>
          <w:sz w:val="24"/>
          <w:szCs w:val="24"/>
        </w:rPr>
        <w:t xml:space="preserve">omponent of the </w:t>
      </w:r>
      <w:r w:rsidR="001C1D0E" w:rsidRPr="00744DE7">
        <w:rPr>
          <w:b/>
          <w:bCs/>
          <w:sz w:val="24"/>
          <w:szCs w:val="24"/>
        </w:rPr>
        <w:t>i</w:t>
      </w:r>
      <w:r w:rsidR="00BB35C9" w:rsidRPr="00744DE7">
        <w:rPr>
          <w:b/>
          <w:bCs/>
          <w:sz w:val="24"/>
          <w:szCs w:val="24"/>
        </w:rPr>
        <w:t xml:space="preserve">ntegrated </w:t>
      </w:r>
      <w:r w:rsidR="001C1D0E" w:rsidRPr="00744DE7">
        <w:rPr>
          <w:b/>
          <w:bCs/>
          <w:sz w:val="24"/>
          <w:szCs w:val="24"/>
        </w:rPr>
        <w:t>b</w:t>
      </w:r>
      <w:r w:rsidR="00BB35C9" w:rsidRPr="00744DE7">
        <w:rPr>
          <w:b/>
          <w:bCs/>
          <w:sz w:val="24"/>
          <w:szCs w:val="24"/>
        </w:rPr>
        <w:t>udget</w:t>
      </w:r>
    </w:p>
    <w:p w14:paraId="64D3C5B7" w14:textId="0A82FD84" w:rsidR="690C5E10" w:rsidRPr="003C21CC" w:rsidRDefault="13645C37" w:rsidP="006E4199">
      <w:pPr>
        <w:pStyle w:val="SingleTxt"/>
        <w:tabs>
          <w:tab w:val="clear" w:pos="1267"/>
          <w:tab w:val="clear" w:pos="1742"/>
          <w:tab w:val="clear" w:pos="2218"/>
          <w:tab w:val="left" w:pos="1170"/>
          <w:tab w:val="left" w:pos="1620"/>
        </w:tabs>
        <w:spacing w:after="60" w:line="240" w:lineRule="auto"/>
        <w:ind w:left="1260" w:right="1200"/>
        <w:rPr>
          <w:rFonts w:eastAsia="Times New Roman"/>
        </w:rPr>
      </w:pPr>
      <w:r w:rsidRPr="003C21CC">
        <w:rPr>
          <w:rFonts w:eastAsia="Times New Roman"/>
        </w:rPr>
        <w:t>7</w:t>
      </w:r>
      <w:r w:rsidR="690C5E10" w:rsidRPr="003C21CC">
        <w:rPr>
          <w:rFonts w:eastAsia="Times New Roman"/>
        </w:rPr>
        <w:t>.</w:t>
      </w:r>
      <w:r w:rsidR="690C5E10" w:rsidRPr="003C21CC">
        <w:tab/>
      </w:r>
      <w:r w:rsidR="235AED3D" w:rsidRPr="003C21CC">
        <w:rPr>
          <w:rFonts w:eastAsia="Times New Roman"/>
        </w:rPr>
        <w:t xml:space="preserve">An overview of the </w:t>
      </w:r>
      <w:r w:rsidR="3317F3DF" w:rsidRPr="003C21CC">
        <w:rPr>
          <w:rFonts w:eastAsia="Times New Roman"/>
        </w:rPr>
        <w:t>institutional component of the integrated budget is provided in section V.C</w:t>
      </w:r>
      <w:r w:rsidR="371F3FA3" w:rsidRPr="003C21CC">
        <w:rPr>
          <w:rFonts w:eastAsia="Times New Roman"/>
        </w:rPr>
        <w:t xml:space="preserve"> and table</w:t>
      </w:r>
      <w:r w:rsidR="3317F3DF" w:rsidRPr="003C21CC">
        <w:rPr>
          <w:rFonts w:eastAsia="Times New Roman"/>
        </w:rPr>
        <w:t xml:space="preserve"> </w:t>
      </w:r>
      <w:r w:rsidR="16E5D528" w:rsidRPr="003C21CC">
        <w:rPr>
          <w:rFonts w:eastAsia="Times New Roman"/>
        </w:rPr>
        <w:t xml:space="preserve">1a </w:t>
      </w:r>
      <w:r w:rsidR="3317F3DF" w:rsidRPr="003C21CC">
        <w:rPr>
          <w:rFonts w:eastAsia="Times New Roman"/>
        </w:rPr>
        <w:t>of the budget document.</w:t>
      </w:r>
      <w:r w:rsidR="20EC94F7" w:rsidRPr="003C21CC">
        <w:rPr>
          <w:rFonts w:eastAsia="Times New Roman"/>
        </w:rPr>
        <w:t xml:space="preserve"> </w:t>
      </w:r>
      <w:r w:rsidR="690C5E10" w:rsidRPr="003C21CC">
        <w:rPr>
          <w:rFonts w:eastAsia="Times New Roman"/>
        </w:rPr>
        <w:t>The institutional component</w:t>
      </w:r>
      <w:r w:rsidR="387D565D" w:rsidRPr="003C21CC">
        <w:rPr>
          <w:rFonts w:eastAsia="Times New Roman"/>
        </w:rPr>
        <w:t xml:space="preserve"> is estimated at</w:t>
      </w:r>
      <w:r w:rsidR="5146F830" w:rsidRPr="003C21CC">
        <w:rPr>
          <w:rFonts w:eastAsia="Times New Roman"/>
        </w:rPr>
        <w:t xml:space="preserve"> $1,193,800,000, comprising regula</w:t>
      </w:r>
      <w:r w:rsidR="15CE41A4" w:rsidRPr="003C21CC">
        <w:rPr>
          <w:rFonts w:eastAsia="Times New Roman"/>
        </w:rPr>
        <w:t>r</w:t>
      </w:r>
      <w:r w:rsidR="5146F830" w:rsidRPr="003C21CC">
        <w:rPr>
          <w:rFonts w:eastAsia="Times New Roman"/>
        </w:rPr>
        <w:t xml:space="preserve"> resources of</w:t>
      </w:r>
      <w:r w:rsidR="690C5E10" w:rsidRPr="003C21CC">
        <w:rPr>
          <w:rFonts w:eastAsia="Times New Roman"/>
        </w:rPr>
        <w:t xml:space="preserve"> </w:t>
      </w:r>
      <w:r w:rsidR="27532B5B" w:rsidRPr="003C21CC">
        <w:rPr>
          <w:rFonts w:eastAsia="Times New Roman"/>
        </w:rPr>
        <w:t>$</w:t>
      </w:r>
      <w:r w:rsidR="7494E1A9" w:rsidRPr="003C21CC">
        <w:rPr>
          <w:rFonts w:eastAsia="Times New Roman"/>
        </w:rPr>
        <w:t>1,043,800,000</w:t>
      </w:r>
      <w:r w:rsidR="2CEFC0D5" w:rsidRPr="003C21CC">
        <w:rPr>
          <w:rFonts w:eastAsia="Times New Roman"/>
        </w:rPr>
        <w:t xml:space="preserve"> and other resources of $150,000,000</w:t>
      </w:r>
      <w:r w:rsidR="66A1D323" w:rsidRPr="003C21CC">
        <w:rPr>
          <w:rFonts w:eastAsia="Times New Roman"/>
        </w:rPr>
        <w:t xml:space="preserve">, </w:t>
      </w:r>
      <w:r w:rsidR="7D698D65" w:rsidRPr="003C21CC">
        <w:rPr>
          <w:rFonts w:eastAsia="Times New Roman"/>
        </w:rPr>
        <w:t xml:space="preserve">and reflects a decrease of </w:t>
      </w:r>
      <w:r w:rsidR="24629158" w:rsidRPr="003C21CC">
        <w:rPr>
          <w:rFonts w:eastAsia="Times New Roman"/>
        </w:rPr>
        <w:t>1</w:t>
      </w:r>
      <w:r w:rsidR="19F92F3E" w:rsidRPr="003C21CC">
        <w:rPr>
          <w:rFonts w:eastAsia="Times New Roman"/>
        </w:rPr>
        <w:t>9.7</w:t>
      </w:r>
      <w:r w:rsidR="66A1D323" w:rsidRPr="003C21CC">
        <w:rPr>
          <w:rFonts w:eastAsia="Times New Roman"/>
        </w:rPr>
        <w:t xml:space="preserve"> per cent when compared to the</w:t>
      </w:r>
      <w:r w:rsidR="639260D3" w:rsidRPr="003C21CC">
        <w:rPr>
          <w:rFonts w:eastAsia="Times New Roman"/>
        </w:rPr>
        <w:t xml:space="preserve"> updated estimate of </w:t>
      </w:r>
      <w:r w:rsidR="573C50F9" w:rsidRPr="003C21CC">
        <w:rPr>
          <w:rFonts w:eastAsia="Times New Roman"/>
        </w:rPr>
        <w:t xml:space="preserve">$995,100,000 </w:t>
      </w:r>
      <w:r w:rsidR="66A1D323" w:rsidRPr="003C21CC">
        <w:rPr>
          <w:rFonts w:eastAsia="Times New Roman"/>
        </w:rPr>
        <w:t>for 2018-20</w:t>
      </w:r>
      <w:r w:rsidR="6C3909C5" w:rsidRPr="003C21CC">
        <w:rPr>
          <w:rFonts w:eastAsia="Times New Roman"/>
        </w:rPr>
        <w:t>21</w:t>
      </w:r>
      <w:r w:rsidR="00C138FE">
        <w:rPr>
          <w:rFonts w:eastAsia="Times New Roman"/>
        </w:rPr>
        <w:t>.</w:t>
      </w:r>
      <w:r w:rsidR="51D5CA95" w:rsidRPr="003C21CC">
        <w:rPr>
          <w:rFonts w:eastAsia="Times New Roman"/>
        </w:rPr>
        <w:t xml:space="preserve"> The </w:t>
      </w:r>
      <w:r w:rsidR="5A7594D2" w:rsidRPr="003C21CC">
        <w:rPr>
          <w:rFonts w:eastAsia="Times New Roman"/>
        </w:rPr>
        <w:t>allocations within the institutional component are as follows:</w:t>
      </w:r>
    </w:p>
    <w:p w14:paraId="7D220518" w14:textId="16BFA4B1" w:rsidR="2B483B32" w:rsidRPr="003C21CC" w:rsidRDefault="2B483B32" w:rsidP="008E332F">
      <w:pPr>
        <w:pStyle w:val="SingleTxt"/>
        <w:tabs>
          <w:tab w:val="clear" w:pos="1267"/>
          <w:tab w:val="clear" w:pos="1742"/>
          <w:tab w:val="left" w:pos="1170"/>
        </w:tabs>
        <w:spacing w:after="60" w:line="240" w:lineRule="auto"/>
        <w:ind w:left="1800" w:right="1200"/>
        <w:rPr>
          <w:rFonts w:eastAsia="Times New Roman"/>
        </w:rPr>
      </w:pPr>
      <w:r w:rsidRPr="003C21CC">
        <w:rPr>
          <w:rFonts w:eastAsia="Times New Roman"/>
        </w:rPr>
        <w:t>(a)</w:t>
      </w:r>
      <w:r w:rsidR="1F5D72FE" w:rsidRPr="003C21CC">
        <w:rPr>
          <w:rFonts w:eastAsia="Times New Roman"/>
        </w:rPr>
        <w:t xml:space="preserve"> </w:t>
      </w:r>
      <w:r w:rsidR="358CBC5A" w:rsidRPr="003C21CC">
        <w:rPr>
          <w:rFonts w:eastAsia="Times New Roman"/>
        </w:rPr>
        <w:t>$687.4 million for recurring</w:t>
      </w:r>
      <w:r w:rsidR="00FE3829" w:rsidRPr="003C21CC">
        <w:rPr>
          <w:rFonts w:eastAsia="Times New Roman"/>
        </w:rPr>
        <w:t xml:space="preserve"> </w:t>
      </w:r>
      <w:r w:rsidR="358CBC5A" w:rsidRPr="003C21CC">
        <w:rPr>
          <w:rFonts w:eastAsia="Times New Roman"/>
        </w:rPr>
        <w:t xml:space="preserve">management activities;  </w:t>
      </w:r>
    </w:p>
    <w:p w14:paraId="594C10EA" w14:textId="74F34A32" w:rsidR="358CBC5A" w:rsidRPr="003C21CC" w:rsidRDefault="358CBC5A" w:rsidP="008E332F">
      <w:pPr>
        <w:pStyle w:val="SingleTxt"/>
        <w:tabs>
          <w:tab w:val="clear" w:pos="1267"/>
          <w:tab w:val="clear" w:pos="1742"/>
          <w:tab w:val="left" w:pos="1170"/>
        </w:tabs>
        <w:spacing w:after="60" w:line="240" w:lineRule="auto"/>
        <w:ind w:left="1800" w:right="1200"/>
        <w:rPr>
          <w:rFonts w:eastAsia="Times New Roman"/>
        </w:rPr>
      </w:pPr>
      <w:r w:rsidRPr="003C21CC">
        <w:rPr>
          <w:rFonts w:eastAsia="Times New Roman"/>
        </w:rPr>
        <w:t xml:space="preserve">(b) $48 million for non-recurring management activities; </w:t>
      </w:r>
    </w:p>
    <w:p w14:paraId="0F381537" w14:textId="77777777" w:rsidR="00C138FE" w:rsidRDefault="358CBC5A" w:rsidP="008E332F">
      <w:pPr>
        <w:pStyle w:val="SingleTxt"/>
        <w:tabs>
          <w:tab w:val="clear" w:pos="1267"/>
          <w:tab w:val="clear" w:pos="1742"/>
          <w:tab w:val="left" w:pos="1170"/>
        </w:tabs>
        <w:spacing w:after="60" w:line="240" w:lineRule="auto"/>
        <w:ind w:left="1800" w:right="1200"/>
        <w:rPr>
          <w:rFonts w:eastAsia="Times New Roman"/>
        </w:rPr>
      </w:pPr>
      <w:r w:rsidRPr="003C21CC">
        <w:rPr>
          <w:rFonts w:eastAsia="Times New Roman"/>
        </w:rPr>
        <w:t xml:space="preserve">(c) $89.7 million for independent oversight and assurance activities; </w:t>
      </w:r>
    </w:p>
    <w:p w14:paraId="469ADBEC" w14:textId="349D3CF3" w:rsidR="358CBC5A" w:rsidRPr="003C21CC" w:rsidRDefault="358CBC5A" w:rsidP="008E332F">
      <w:pPr>
        <w:pStyle w:val="SingleTxt"/>
        <w:tabs>
          <w:tab w:val="clear" w:pos="1267"/>
          <w:tab w:val="clear" w:pos="1742"/>
          <w:tab w:val="left" w:pos="1170"/>
        </w:tabs>
        <w:spacing w:after="60" w:line="240" w:lineRule="auto"/>
        <w:ind w:left="1800" w:right="1200"/>
        <w:rPr>
          <w:rFonts w:eastAsia="Times New Roman"/>
        </w:rPr>
      </w:pPr>
      <w:r w:rsidRPr="003C21CC">
        <w:rPr>
          <w:rFonts w:eastAsia="Times New Roman"/>
        </w:rPr>
        <w:t xml:space="preserve">(d) $179.0 million for development effectiveness costs; </w:t>
      </w:r>
    </w:p>
    <w:p w14:paraId="2A298D49" w14:textId="5E445597" w:rsidR="01828840" w:rsidRPr="003C21CC" w:rsidRDefault="01828840" w:rsidP="008E332F">
      <w:pPr>
        <w:pStyle w:val="SingleTxt"/>
        <w:tabs>
          <w:tab w:val="clear" w:pos="1267"/>
          <w:tab w:val="clear" w:pos="1742"/>
          <w:tab w:val="left" w:pos="1170"/>
        </w:tabs>
        <w:spacing w:after="60" w:line="240" w:lineRule="auto"/>
        <w:ind w:left="1800" w:right="1200"/>
        <w:rPr>
          <w:rFonts w:eastAsia="Times New Roman"/>
        </w:rPr>
      </w:pPr>
      <w:r w:rsidRPr="003C21CC">
        <w:rPr>
          <w:rFonts w:eastAsia="Times New Roman"/>
        </w:rPr>
        <w:t>(</w:t>
      </w:r>
      <w:r w:rsidR="00C138FE">
        <w:rPr>
          <w:rFonts w:eastAsia="Times New Roman"/>
        </w:rPr>
        <w:t>e</w:t>
      </w:r>
      <w:r w:rsidRPr="003C21CC">
        <w:rPr>
          <w:rFonts w:eastAsia="Times New Roman"/>
        </w:rPr>
        <w:t>) $179.0 million for development effectiveness</w:t>
      </w:r>
      <w:r w:rsidR="00F26C34" w:rsidRPr="003C21CC">
        <w:rPr>
          <w:rFonts w:eastAsia="Times New Roman"/>
        </w:rPr>
        <w:t>;</w:t>
      </w:r>
    </w:p>
    <w:p w14:paraId="3B652E3B" w14:textId="7E947B3C" w:rsidR="358CBC5A" w:rsidRPr="003C21CC" w:rsidRDefault="358CBC5A" w:rsidP="008E332F">
      <w:pPr>
        <w:pStyle w:val="SingleTxt"/>
        <w:tabs>
          <w:tab w:val="clear" w:pos="1267"/>
          <w:tab w:val="clear" w:pos="1742"/>
          <w:tab w:val="left" w:pos="1170"/>
        </w:tabs>
        <w:spacing w:after="60" w:line="240" w:lineRule="auto"/>
        <w:ind w:left="1800" w:right="1200"/>
        <w:rPr>
          <w:rFonts w:eastAsia="Times New Roman"/>
        </w:rPr>
      </w:pPr>
      <w:r w:rsidRPr="003C21CC">
        <w:rPr>
          <w:rFonts w:eastAsia="Times New Roman"/>
        </w:rPr>
        <w:t>(</w:t>
      </w:r>
      <w:r w:rsidR="00C138FE">
        <w:rPr>
          <w:rFonts w:eastAsia="Times New Roman"/>
        </w:rPr>
        <w:t>f</w:t>
      </w:r>
      <w:r w:rsidRPr="003C21CC">
        <w:rPr>
          <w:rFonts w:eastAsia="Times New Roman"/>
        </w:rPr>
        <w:t xml:space="preserve">) $132.7 million for operational and administrative support to programme projects; and </w:t>
      </w:r>
    </w:p>
    <w:p w14:paraId="0CDF2061" w14:textId="7D9D19AC" w:rsidR="749B48A6" w:rsidRPr="003C21CC" w:rsidRDefault="358CBC5A" w:rsidP="008E332F">
      <w:pPr>
        <w:pStyle w:val="SingleTxt"/>
        <w:tabs>
          <w:tab w:val="clear" w:pos="1267"/>
          <w:tab w:val="clear" w:pos="1742"/>
          <w:tab w:val="left" w:pos="1170"/>
        </w:tabs>
        <w:spacing w:after="60" w:line="240" w:lineRule="auto"/>
        <w:ind w:left="1800" w:right="1200"/>
        <w:rPr>
          <w:rFonts w:eastAsia="Times New Roman"/>
        </w:rPr>
      </w:pPr>
      <w:r w:rsidRPr="003C21CC">
        <w:rPr>
          <w:rFonts w:eastAsia="Times New Roman"/>
        </w:rPr>
        <w:lastRenderedPageBreak/>
        <w:t>(</w:t>
      </w:r>
      <w:r w:rsidR="00C138FE">
        <w:rPr>
          <w:rFonts w:eastAsia="Times New Roman"/>
        </w:rPr>
        <w:t>g</w:t>
      </w:r>
      <w:r w:rsidRPr="003C21CC">
        <w:rPr>
          <w:rFonts w:eastAsia="Times New Roman"/>
        </w:rPr>
        <w:t>) $57.0 million for a special</w:t>
      </w:r>
      <w:r w:rsidR="00C138FE">
        <w:rPr>
          <w:rFonts w:eastAsia="Times New Roman"/>
        </w:rPr>
        <w:t>-</w:t>
      </w:r>
      <w:r w:rsidRPr="003C21CC">
        <w:rPr>
          <w:rFonts w:eastAsia="Times New Roman"/>
        </w:rPr>
        <w:t>purpose allocation ($10.1 million for the United Nations Capital Development Fund, and $46.9 million for the United Nations Volunteers programme)</w:t>
      </w:r>
      <w:r w:rsidR="0F952D6E" w:rsidRPr="003C21CC">
        <w:rPr>
          <w:rFonts w:eastAsia="Times New Roman"/>
        </w:rPr>
        <w:t>.</w:t>
      </w:r>
    </w:p>
    <w:p w14:paraId="0E8A3786" w14:textId="27677893" w:rsidR="1EFCDE46" w:rsidRPr="003C21CC" w:rsidRDefault="1EFCDE46" w:rsidP="003D3999">
      <w:pPr>
        <w:pStyle w:val="SingleTxt"/>
        <w:tabs>
          <w:tab w:val="clear" w:pos="1267"/>
          <w:tab w:val="clear" w:pos="1742"/>
          <w:tab w:val="left" w:pos="1170"/>
        </w:tabs>
        <w:spacing w:line="240" w:lineRule="auto"/>
        <w:ind w:left="1260" w:right="1200"/>
        <w:rPr>
          <w:rFonts w:eastAsia="Times New Roman"/>
        </w:rPr>
      </w:pPr>
      <w:r w:rsidRPr="003C21CC">
        <w:rPr>
          <w:rFonts w:eastAsia="Times New Roman"/>
        </w:rPr>
        <w:t>Furthermore, following prior practice, UNDP requests exceptional authority to disburse up to $30 million in regular resources for security measures, which would be limited to new and emerging security mandates.</w:t>
      </w:r>
    </w:p>
    <w:p w14:paraId="0224EEC0" w14:textId="7EEB00C4" w:rsidR="749B48A6" w:rsidRPr="003C21CC" w:rsidRDefault="58A922C1" w:rsidP="003D3999">
      <w:pPr>
        <w:pStyle w:val="SingleTxt"/>
        <w:tabs>
          <w:tab w:val="clear" w:pos="1267"/>
          <w:tab w:val="clear" w:pos="1742"/>
          <w:tab w:val="clear" w:pos="2218"/>
          <w:tab w:val="left" w:pos="1170"/>
          <w:tab w:val="left" w:pos="1620"/>
        </w:tabs>
        <w:spacing w:line="240" w:lineRule="auto"/>
        <w:ind w:left="1260" w:right="1200"/>
        <w:rPr>
          <w:rFonts w:eastAsia="Times New Roman"/>
        </w:rPr>
      </w:pPr>
      <w:r w:rsidRPr="003C21CC">
        <w:rPr>
          <w:rFonts w:eastAsia="Times New Roman"/>
        </w:rPr>
        <w:t>8</w:t>
      </w:r>
      <w:r w:rsidR="519D0AC0" w:rsidRPr="003C21CC">
        <w:rPr>
          <w:rFonts w:eastAsia="Times New Roman"/>
        </w:rPr>
        <w:t>.</w:t>
      </w:r>
      <w:r w:rsidR="519D0AC0" w:rsidRPr="003C21CC">
        <w:tab/>
      </w:r>
      <w:r w:rsidR="519D0AC0" w:rsidRPr="003C21CC">
        <w:rPr>
          <w:rFonts w:eastAsia="Times New Roman"/>
        </w:rPr>
        <w:t>Upon enquiry, the Advisory Committee was provided with a comparative table showing actual and projected expenditure from 2018 to 2021, as follows:</w:t>
      </w:r>
    </w:p>
    <w:p w14:paraId="7F2FE01B" w14:textId="2D9DAAD0" w:rsidR="2725EED4" w:rsidRPr="003C21CC" w:rsidRDefault="2725EED4" w:rsidP="003C21CC">
      <w:pPr>
        <w:pStyle w:val="SingleTxt"/>
        <w:tabs>
          <w:tab w:val="clear" w:pos="1267"/>
          <w:tab w:val="clear" w:pos="1742"/>
          <w:tab w:val="left" w:pos="1170"/>
        </w:tabs>
        <w:spacing w:after="0" w:line="240" w:lineRule="auto"/>
        <w:ind w:left="1260" w:right="1200"/>
        <w:rPr>
          <w:rFonts w:eastAsia="Times New Roman"/>
          <w:b/>
          <w:bCs/>
        </w:rPr>
      </w:pPr>
      <w:r w:rsidRPr="003C21CC">
        <w:rPr>
          <w:rFonts w:eastAsia="Times New Roman"/>
          <w:b/>
          <w:bCs/>
        </w:rPr>
        <w:t>Table 3</w:t>
      </w:r>
    </w:p>
    <w:p w14:paraId="4FD9698C" w14:textId="188949D4" w:rsidR="2725EED4" w:rsidRPr="003C21CC" w:rsidRDefault="2725EED4" w:rsidP="003C21CC">
      <w:pPr>
        <w:pStyle w:val="SingleTxt"/>
        <w:tabs>
          <w:tab w:val="clear" w:pos="1267"/>
          <w:tab w:val="clear" w:pos="1742"/>
          <w:tab w:val="left" w:pos="1170"/>
        </w:tabs>
        <w:spacing w:after="0" w:line="240" w:lineRule="auto"/>
        <w:ind w:left="1260" w:right="1200"/>
        <w:rPr>
          <w:rFonts w:eastAsia="Times New Roman"/>
          <w:b/>
          <w:bCs/>
        </w:rPr>
      </w:pPr>
      <w:r w:rsidRPr="003C21CC">
        <w:rPr>
          <w:rFonts w:eastAsia="Times New Roman"/>
          <w:b/>
          <w:bCs/>
        </w:rPr>
        <w:t>Actual and projected expenditure from 2018 to 2021</w:t>
      </w:r>
    </w:p>
    <w:p w14:paraId="65E20FC6" w14:textId="77777777" w:rsidR="00F26C34" w:rsidRPr="008E332F" w:rsidRDefault="00F26C34" w:rsidP="00914946">
      <w:pPr>
        <w:pStyle w:val="SingleTxt"/>
        <w:tabs>
          <w:tab w:val="clear" w:pos="1267"/>
          <w:tab w:val="clear" w:pos="1742"/>
          <w:tab w:val="left" w:pos="1170"/>
        </w:tabs>
        <w:spacing w:after="0" w:line="240" w:lineRule="auto"/>
        <w:ind w:left="0" w:right="0"/>
        <w:jc w:val="left"/>
        <w:rPr>
          <w:rFonts w:eastAsia="Times New Roman"/>
          <w:sz w:val="16"/>
          <w:szCs w:val="16"/>
        </w:rPr>
      </w:pPr>
    </w:p>
    <w:p w14:paraId="64887C41" w14:textId="0F95D505" w:rsidR="00210886" w:rsidRPr="003C21CC" w:rsidRDefault="00210886" w:rsidP="00914946">
      <w:pPr>
        <w:pStyle w:val="SingleTxt"/>
        <w:tabs>
          <w:tab w:val="clear" w:pos="1267"/>
          <w:tab w:val="clear" w:pos="1742"/>
          <w:tab w:val="left" w:pos="1170"/>
        </w:tabs>
        <w:spacing w:after="0" w:line="240" w:lineRule="auto"/>
        <w:ind w:left="0" w:right="0"/>
        <w:jc w:val="left"/>
        <w:rPr>
          <w:rFonts w:eastAsia="Times New Roman"/>
        </w:rPr>
      </w:pPr>
      <w:r w:rsidRPr="003C21CC">
        <w:rPr>
          <w:noProof/>
        </w:rPr>
        <w:drawing>
          <wp:inline distT="0" distB="0" distL="0" distR="0" wp14:anchorId="0219E05C" wp14:editId="35C0DE19">
            <wp:extent cx="5810195" cy="2847975"/>
            <wp:effectExtent l="0" t="0" r="635" b="0"/>
            <wp:docPr id="335683991" name="Picture 33568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833325" cy="2859313"/>
                    </a:xfrm>
                    <a:prstGeom prst="rect">
                      <a:avLst/>
                    </a:prstGeom>
                  </pic:spPr>
                </pic:pic>
              </a:graphicData>
            </a:graphic>
          </wp:inline>
        </w:drawing>
      </w:r>
    </w:p>
    <w:p w14:paraId="42668400" w14:textId="1AE711B2" w:rsidR="00210886" w:rsidRDefault="00210886" w:rsidP="00914946">
      <w:pPr>
        <w:pStyle w:val="SingleTxt"/>
        <w:tabs>
          <w:tab w:val="clear" w:pos="1267"/>
          <w:tab w:val="clear" w:pos="1742"/>
          <w:tab w:val="left" w:pos="1170"/>
        </w:tabs>
        <w:spacing w:after="0" w:line="240" w:lineRule="auto"/>
        <w:ind w:left="0" w:right="0"/>
        <w:jc w:val="left"/>
        <w:rPr>
          <w:rFonts w:eastAsia="Times New Roman"/>
          <w:sz w:val="24"/>
          <w:szCs w:val="24"/>
        </w:rPr>
      </w:pPr>
    </w:p>
    <w:p w14:paraId="685F2CDF" w14:textId="1F33A4B1" w:rsidR="6E3F82E1" w:rsidRPr="00131FD7" w:rsidRDefault="7B55CF46" w:rsidP="006E4199">
      <w:pPr>
        <w:pStyle w:val="SingleTxt"/>
        <w:tabs>
          <w:tab w:val="clear" w:pos="1267"/>
          <w:tab w:val="clear" w:pos="1742"/>
          <w:tab w:val="clear" w:pos="2218"/>
          <w:tab w:val="left" w:pos="1170"/>
          <w:tab w:val="left" w:pos="1620"/>
        </w:tabs>
        <w:spacing w:line="240" w:lineRule="auto"/>
        <w:ind w:left="1260" w:right="1200"/>
        <w:rPr>
          <w:rFonts w:asciiTheme="majorBidi" w:eastAsia="Times New Roman" w:hAnsiTheme="majorBidi" w:cstheme="majorBidi"/>
          <w:b/>
          <w:bCs/>
        </w:rPr>
      </w:pPr>
      <w:r w:rsidRPr="00131FD7">
        <w:rPr>
          <w:rFonts w:eastAsia="Times New Roman"/>
          <w:b/>
          <w:bCs/>
        </w:rPr>
        <w:t>9</w:t>
      </w:r>
      <w:r w:rsidR="6E3F82E1" w:rsidRPr="00131FD7">
        <w:rPr>
          <w:rFonts w:eastAsia="Times New Roman"/>
          <w:b/>
          <w:bCs/>
        </w:rPr>
        <w:t>.</w:t>
      </w:r>
      <w:r w:rsidR="6E3F82E1" w:rsidRPr="00131FD7">
        <w:tab/>
      </w:r>
      <w:r w:rsidR="45A0A90E" w:rsidRPr="00131FD7">
        <w:rPr>
          <w:rFonts w:asciiTheme="majorBidi" w:eastAsia="Times New Roman" w:hAnsiTheme="majorBidi" w:cstheme="majorBidi"/>
          <w:b/>
          <w:bCs/>
        </w:rPr>
        <w:t xml:space="preserve">The </w:t>
      </w:r>
      <w:r w:rsidR="4AFE05BD" w:rsidRPr="00131FD7">
        <w:rPr>
          <w:rFonts w:asciiTheme="majorBidi" w:eastAsia="Times New Roman" w:hAnsiTheme="majorBidi" w:cstheme="majorBidi"/>
          <w:b/>
          <w:bCs/>
        </w:rPr>
        <w:t xml:space="preserve">Advisory </w:t>
      </w:r>
      <w:r w:rsidR="45A0A90E" w:rsidRPr="00131FD7">
        <w:rPr>
          <w:rFonts w:asciiTheme="majorBidi" w:eastAsia="Times New Roman" w:hAnsiTheme="majorBidi" w:cstheme="majorBidi"/>
          <w:b/>
          <w:bCs/>
        </w:rPr>
        <w:t xml:space="preserve">Committee </w:t>
      </w:r>
      <w:r w:rsidR="1876560B" w:rsidRPr="00131FD7">
        <w:rPr>
          <w:rFonts w:asciiTheme="majorBidi" w:eastAsia="Times New Roman" w:hAnsiTheme="majorBidi" w:cstheme="majorBidi"/>
          <w:b/>
          <w:bCs/>
        </w:rPr>
        <w:t xml:space="preserve">notes </w:t>
      </w:r>
      <w:r w:rsidR="007A18D1" w:rsidRPr="00131FD7">
        <w:rPr>
          <w:rFonts w:asciiTheme="majorBidi" w:hAnsiTheme="majorBidi" w:cstheme="majorBidi"/>
          <w:b/>
          <w:bCs/>
        </w:rPr>
        <w:t xml:space="preserve">that </w:t>
      </w:r>
      <w:r w:rsidR="002F42E5" w:rsidRPr="00131FD7">
        <w:rPr>
          <w:rFonts w:asciiTheme="majorBidi" w:hAnsiTheme="majorBidi" w:cstheme="majorBidi"/>
          <w:b/>
          <w:bCs/>
        </w:rPr>
        <w:t xml:space="preserve">the evolution of resources, with </w:t>
      </w:r>
      <w:r w:rsidR="007A18D1" w:rsidRPr="00131FD7">
        <w:rPr>
          <w:rFonts w:asciiTheme="majorBidi" w:hAnsiTheme="majorBidi" w:cstheme="majorBidi"/>
          <w:b/>
          <w:bCs/>
        </w:rPr>
        <w:t>explanations of the</w:t>
      </w:r>
      <w:r w:rsidR="00DB45BC" w:rsidRPr="00131FD7">
        <w:rPr>
          <w:rFonts w:asciiTheme="majorBidi" w:hAnsiTheme="majorBidi" w:cstheme="majorBidi"/>
          <w:b/>
          <w:bCs/>
        </w:rPr>
        <w:t xml:space="preserve"> </w:t>
      </w:r>
      <w:r w:rsidR="007A18D1" w:rsidRPr="00131FD7">
        <w:rPr>
          <w:rFonts w:asciiTheme="majorBidi" w:hAnsiTheme="majorBidi" w:cstheme="majorBidi"/>
          <w:b/>
          <w:bCs/>
        </w:rPr>
        <w:t>estimated and actual figures</w:t>
      </w:r>
      <w:r w:rsidR="00C138FE">
        <w:rPr>
          <w:rFonts w:asciiTheme="majorBidi" w:hAnsiTheme="majorBidi" w:cstheme="majorBidi"/>
          <w:b/>
          <w:bCs/>
        </w:rPr>
        <w:t>,</w:t>
      </w:r>
      <w:r w:rsidR="007A18D1" w:rsidRPr="00131FD7">
        <w:rPr>
          <w:rFonts w:asciiTheme="majorBidi" w:hAnsiTheme="majorBidi" w:cstheme="majorBidi"/>
          <w:b/>
          <w:bCs/>
        </w:rPr>
        <w:t xml:space="preserve"> should be presented </w:t>
      </w:r>
      <w:r w:rsidR="001B4173" w:rsidRPr="00131FD7">
        <w:rPr>
          <w:rFonts w:asciiTheme="majorBidi" w:hAnsiTheme="majorBidi" w:cstheme="majorBidi"/>
          <w:b/>
          <w:bCs/>
        </w:rPr>
        <w:t xml:space="preserve">in the appropriate format </w:t>
      </w:r>
      <w:r w:rsidR="007A18D1" w:rsidRPr="00131FD7">
        <w:rPr>
          <w:rFonts w:asciiTheme="majorBidi" w:hAnsiTheme="majorBidi" w:cstheme="majorBidi"/>
          <w:b/>
          <w:bCs/>
        </w:rPr>
        <w:t>to enable an analysis of the variances</w:t>
      </w:r>
      <w:r w:rsidR="00776752" w:rsidRPr="00131FD7">
        <w:rPr>
          <w:rFonts w:asciiTheme="majorBidi" w:hAnsiTheme="majorBidi" w:cstheme="majorBidi"/>
          <w:b/>
          <w:bCs/>
        </w:rPr>
        <w:t xml:space="preserve"> </w:t>
      </w:r>
      <w:r w:rsidR="007A18D1" w:rsidRPr="00131FD7">
        <w:rPr>
          <w:rFonts w:asciiTheme="majorBidi" w:hAnsiTheme="majorBidi" w:cstheme="majorBidi"/>
          <w:b/>
          <w:bCs/>
        </w:rPr>
        <w:t>with respect to the expenses</w:t>
      </w:r>
      <w:r w:rsidR="00BB6D4D" w:rsidRPr="00131FD7">
        <w:rPr>
          <w:rFonts w:asciiTheme="majorBidi" w:hAnsiTheme="majorBidi" w:cstheme="majorBidi"/>
          <w:b/>
          <w:bCs/>
        </w:rPr>
        <w:t xml:space="preserve">, and points out </w:t>
      </w:r>
      <w:r w:rsidR="1876560B" w:rsidRPr="00131FD7">
        <w:rPr>
          <w:rFonts w:eastAsia="Times New Roman"/>
          <w:b/>
          <w:bCs/>
        </w:rPr>
        <w:t xml:space="preserve">that the various tables presented in the </w:t>
      </w:r>
      <w:r w:rsidR="0AF473CB" w:rsidRPr="00131FD7">
        <w:rPr>
          <w:rFonts w:eastAsia="Times New Roman"/>
          <w:b/>
          <w:bCs/>
        </w:rPr>
        <w:t xml:space="preserve">budget </w:t>
      </w:r>
      <w:r w:rsidR="1876560B" w:rsidRPr="00131FD7">
        <w:rPr>
          <w:rFonts w:eastAsia="Times New Roman"/>
          <w:b/>
          <w:bCs/>
        </w:rPr>
        <w:t xml:space="preserve">report </w:t>
      </w:r>
      <w:r w:rsidR="44353FFC" w:rsidRPr="00131FD7">
        <w:rPr>
          <w:rFonts w:eastAsia="Times New Roman"/>
          <w:b/>
          <w:bCs/>
        </w:rPr>
        <w:t>and</w:t>
      </w:r>
      <w:r w:rsidR="2736C9DE" w:rsidRPr="00131FD7">
        <w:rPr>
          <w:rFonts w:eastAsia="Times New Roman"/>
          <w:b/>
          <w:bCs/>
        </w:rPr>
        <w:t xml:space="preserve"> in</w:t>
      </w:r>
      <w:r w:rsidR="44353FFC" w:rsidRPr="00131FD7">
        <w:rPr>
          <w:rFonts w:eastAsia="Times New Roman"/>
          <w:b/>
          <w:bCs/>
        </w:rPr>
        <w:t xml:space="preserve"> its annexes</w:t>
      </w:r>
      <w:r w:rsidR="599A0C7F" w:rsidRPr="00131FD7">
        <w:rPr>
          <w:rFonts w:eastAsia="Times New Roman"/>
          <w:b/>
          <w:bCs/>
        </w:rPr>
        <w:t xml:space="preserve"> </w:t>
      </w:r>
      <w:r w:rsidR="1876560B" w:rsidRPr="00131FD7">
        <w:rPr>
          <w:rFonts w:eastAsia="Times New Roman"/>
          <w:b/>
          <w:bCs/>
        </w:rPr>
        <w:t xml:space="preserve">do not appear </w:t>
      </w:r>
      <w:r w:rsidR="00C138FE">
        <w:rPr>
          <w:rFonts w:eastAsia="Times New Roman"/>
          <w:b/>
          <w:bCs/>
        </w:rPr>
        <w:t xml:space="preserve">to be </w:t>
      </w:r>
      <w:r w:rsidR="1876560B" w:rsidRPr="00131FD7">
        <w:rPr>
          <w:rFonts w:eastAsia="Times New Roman"/>
          <w:b/>
          <w:bCs/>
        </w:rPr>
        <w:t>cohesive</w:t>
      </w:r>
      <w:r w:rsidR="6137C18F" w:rsidRPr="00131FD7">
        <w:rPr>
          <w:rFonts w:eastAsia="Times New Roman"/>
          <w:b/>
          <w:bCs/>
        </w:rPr>
        <w:t xml:space="preserve"> </w:t>
      </w:r>
      <w:r w:rsidR="12203F61" w:rsidRPr="00131FD7">
        <w:rPr>
          <w:rFonts w:eastAsia="Times New Roman"/>
          <w:b/>
          <w:bCs/>
        </w:rPr>
        <w:t>or</w:t>
      </w:r>
      <w:r w:rsidR="6137C18F" w:rsidRPr="00131FD7">
        <w:rPr>
          <w:rFonts w:eastAsia="Times New Roman"/>
          <w:b/>
          <w:bCs/>
        </w:rPr>
        <w:t xml:space="preserve"> comprehensive</w:t>
      </w:r>
      <w:r w:rsidR="58E8E7AB" w:rsidRPr="00131FD7">
        <w:rPr>
          <w:rFonts w:eastAsia="Times New Roman"/>
          <w:b/>
          <w:bCs/>
        </w:rPr>
        <w:t xml:space="preserve">, </w:t>
      </w:r>
      <w:r w:rsidR="2841B65E" w:rsidRPr="00131FD7">
        <w:rPr>
          <w:rFonts w:eastAsia="Times New Roman"/>
          <w:b/>
          <w:bCs/>
        </w:rPr>
        <w:t xml:space="preserve">and </w:t>
      </w:r>
      <w:r w:rsidR="2467D04A" w:rsidRPr="00131FD7">
        <w:rPr>
          <w:rFonts w:eastAsia="Times New Roman"/>
          <w:b/>
          <w:bCs/>
        </w:rPr>
        <w:t xml:space="preserve">do not </w:t>
      </w:r>
      <w:r w:rsidR="1A699D16" w:rsidRPr="00131FD7">
        <w:rPr>
          <w:rFonts w:eastAsia="Times New Roman"/>
          <w:b/>
          <w:bCs/>
        </w:rPr>
        <w:t>appear to be aim</w:t>
      </w:r>
      <w:r w:rsidR="29DEC661" w:rsidRPr="00131FD7">
        <w:rPr>
          <w:rFonts w:eastAsia="Times New Roman"/>
          <w:b/>
          <w:bCs/>
        </w:rPr>
        <w:t xml:space="preserve">ed at ensuring </w:t>
      </w:r>
      <w:r w:rsidR="40079EA7" w:rsidRPr="00131FD7">
        <w:rPr>
          <w:rFonts w:eastAsia="Times New Roman"/>
          <w:b/>
          <w:bCs/>
        </w:rPr>
        <w:t>transparency and clarity</w:t>
      </w:r>
      <w:r w:rsidR="3C1E26B0" w:rsidRPr="00131FD7">
        <w:rPr>
          <w:rFonts w:eastAsia="Times New Roman"/>
          <w:b/>
          <w:bCs/>
        </w:rPr>
        <w:t xml:space="preserve"> of</w:t>
      </w:r>
      <w:r w:rsidR="27C65E60" w:rsidRPr="00131FD7">
        <w:rPr>
          <w:rFonts w:eastAsia="Times New Roman"/>
          <w:b/>
          <w:bCs/>
        </w:rPr>
        <w:t xml:space="preserve"> the </w:t>
      </w:r>
      <w:r w:rsidR="00C138FE">
        <w:rPr>
          <w:rFonts w:eastAsia="Times New Roman"/>
          <w:b/>
          <w:bCs/>
        </w:rPr>
        <w:t xml:space="preserve">overall </w:t>
      </w:r>
      <w:r w:rsidR="27C65E60" w:rsidRPr="00131FD7">
        <w:rPr>
          <w:rFonts w:eastAsia="Times New Roman"/>
          <w:b/>
          <w:bCs/>
        </w:rPr>
        <w:t>resources</w:t>
      </w:r>
      <w:r w:rsidR="0D607074" w:rsidRPr="00131FD7">
        <w:rPr>
          <w:rFonts w:eastAsia="Times New Roman"/>
          <w:b/>
          <w:bCs/>
        </w:rPr>
        <w:t>.</w:t>
      </w:r>
      <w:r w:rsidR="27C65E60" w:rsidRPr="00131FD7">
        <w:rPr>
          <w:rFonts w:eastAsia="Times New Roman"/>
          <w:b/>
          <w:bCs/>
        </w:rPr>
        <w:t xml:space="preserve"> The Committee</w:t>
      </w:r>
      <w:r w:rsidR="1876560B" w:rsidRPr="00131FD7">
        <w:rPr>
          <w:rFonts w:eastAsia="Times New Roman"/>
          <w:b/>
          <w:bCs/>
        </w:rPr>
        <w:t xml:space="preserve"> reiterates its previous requests</w:t>
      </w:r>
      <w:r w:rsidR="1FA3BD89" w:rsidRPr="00131FD7">
        <w:rPr>
          <w:rFonts w:eastAsia="Times New Roman"/>
          <w:b/>
          <w:bCs/>
        </w:rPr>
        <w:t xml:space="preserve"> </w:t>
      </w:r>
      <w:r w:rsidR="1876560B" w:rsidRPr="00131FD7">
        <w:rPr>
          <w:rFonts w:eastAsia="Times New Roman"/>
          <w:b/>
          <w:bCs/>
        </w:rPr>
        <w:t xml:space="preserve">that </w:t>
      </w:r>
      <w:r w:rsidR="620B24A9" w:rsidRPr="00131FD7">
        <w:rPr>
          <w:rFonts w:eastAsia="Times New Roman"/>
          <w:b/>
          <w:bCs/>
        </w:rPr>
        <w:t xml:space="preserve">both </w:t>
      </w:r>
      <w:r w:rsidR="1876560B" w:rsidRPr="00131FD7">
        <w:rPr>
          <w:rFonts w:eastAsia="Times New Roman"/>
          <w:b/>
          <w:bCs/>
        </w:rPr>
        <w:t>the</w:t>
      </w:r>
      <w:r w:rsidR="4E4816EF" w:rsidRPr="00131FD7">
        <w:rPr>
          <w:rFonts w:eastAsia="Times New Roman"/>
          <w:b/>
          <w:bCs/>
        </w:rPr>
        <w:t xml:space="preserve"> text and the tables related to the</w:t>
      </w:r>
      <w:r w:rsidR="1876560B" w:rsidRPr="00131FD7">
        <w:rPr>
          <w:rFonts w:eastAsia="Times New Roman"/>
          <w:b/>
          <w:bCs/>
        </w:rPr>
        <w:t xml:space="preserve"> proposals need to </w:t>
      </w:r>
      <w:r w:rsidR="63E7FF9D" w:rsidRPr="00131FD7">
        <w:rPr>
          <w:rFonts w:eastAsia="Times New Roman"/>
          <w:b/>
          <w:bCs/>
        </w:rPr>
        <w:t xml:space="preserve">be </w:t>
      </w:r>
      <w:r w:rsidR="16F31131" w:rsidRPr="00131FD7">
        <w:rPr>
          <w:rFonts w:eastAsia="Times New Roman"/>
          <w:b/>
          <w:bCs/>
        </w:rPr>
        <w:t>expanded</w:t>
      </w:r>
      <w:r w:rsidR="76F3E98C" w:rsidRPr="00131FD7">
        <w:rPr>
          <w:rFonts w:eastAsia="Times New Roman"/>
          <w:b/>
          <w:bCs/>
        </w:rPr>
        <w:t>,</w:t>
      </w:r>
      <w:r w:rsidR="6F79D678" w:rsidRPr="00131FD7">
        <w:rPr>
          <w:rFonts w:eastAsia="Times New Roman"/>
          <w:b/>
          <w:bCs/>
        </w:rPr>
        <w:t xml:space="preserve"> </w:t>
      </w:r>
      <w:r w:rsidR="477E3CBC" w:rsidRPr="00131FD7">
        <w:rPr>
          <w:rFonts w:eastAsia="Times New Roman"/>
          <w:b/>
          <w:bCs/>
        </w:rPr>
        <w:t>including</w:t>
      </w:r>
      <w:r w:rsidR="5556D811" w:rsidRPr="00131FD7">
        <w:rPr>
          <w:rFonts w:eastAsia="Times New Roman"/>
          <w:b/>
          <w:bCs/>
        </w:rPr>
        <w:t xml:space="preserve"> table 4b to </w:t>
      </w:r>
      <w:r w:rsidR="76612B6E" w:rsidRPr="00131FD7">
        <w:rPr>
          <w:rFonts w:eastAsia="Times New Roman"/>
          <w:b/>
          <w:bCs/>
        </w:rPr>
        <w:t>the</w:t>
      </w:r>
      <w:r w:rsidR="5556D811" w:rsidRPr="00131FD7">
        <w:rPr>
          <w:rFonts w:eastAsia="Times New Roman"/>
          <w:b/>
          <w:bCs/>
        </w:rPr>
        <w:t xml:space="preserve"> budget document, </w:t>
      </w:r>
      <w:r w:rsidR="65DBAF0F" w:rsidRPr="00131FD7">
        <w:rPr>
          <w:rFonts w:eastAsia="Times New Roman"/>
          <w:b/>
          <w:bCs/>
        </w:rPr>
        <w:t>to</w:t>
      </w:r>
      <w:r w:rsidR="6F79D678" w:rsidRPr="00131FD7">
        <w:rPr>
          <w:rFonts w:eastAsia="Times New Roman"/>
          <w:b/>
          <w:bCs/>
        </w:rPr>
        <w:t xml:space="preserve"> include the following detailed information</w:t>
      </w:r>
      <w:r w:rsidR="45A0A90E" w:rsidRPr="00131FD7">
        <w:rPr>
          <w:rFonts w:eastAsia="Times New Roman"/>
          <w:b/>
          <w:bCs/>
        </w:rPr>
        <w:t xml:space="preserve">: </w:t>
      </w:r>
      <w:r w:rsidR="69977236" w:rsidRPr="00131FD7">
        <w:rPr>
          <w:rFonts w:eastAsia="Times New Roman"/>
          <w:b/>
          <w:bCs/>
        </w:rPr>
        <w:t xml:space="preserve">(a) </w:t>
      </w:r>
      <w:r w:rsidR="45A0A90E" w:rsidRPr="00131FD7">
        <w:rPr>
          <w:rFonts w:eastAsia="Times New Roman"/>
          <w:b/>
          <w:bCs/>
        </w:rPr>
        <w:t xml:space="preserve">a breakdown of expenditures; </w:t>
      </w:r>
      <w:r w:rsidR="772D8627" w:rsidRPr="00131FD7">
        <w:rPr>
          <w:rFonts w:eastAsia="Times New Roman"/>
          <w:b/>
          <w:bCs/>
        </w:rPr>
        <w:t xml:space="preserve">(b) </w:t>
      </w:r>
      <w:r w:rsidR="45A0A90E" w:rsidRPr="00131FD7">
        <w:rPr>
          <w:rFonts w:eastAsia="Times New Roman"/>
          <w:b/>
          <w:bCs/>
        </w:rPr>
        <w:t>an analysis of variances, comparing expenditures against planning estimates</w:t>
      </w:r>
      <w:r w:rsidR="007B5F5E" w:rsidRPr="00131FD7">
        <w:rPr>
          <w:rFonts w:eastAsia="Times New Roman"/>
          <w:b/>
          <w:bCs/>
        </w:rPr>
        <w:t>, with percentages</w:t>
      </w:r>
      <w:r w:rsidR="45A0A90E" w:rsidRPr="00131FD7">
        <w:rPr>
          <w:rFonts w:eastAsia="Times New Roman"/>
          <w:b/>
          <w:bCs/>
        </w:rPr>
        <w:t xml:space="preserve">; </w:t>
      </w:r>
      <w:r w:rsidR="21D5C104" w:rsidRPr="00131FD7">
        <w:rPr>
          <w:rFonts w:eastAsia="Times New Roman"/>
          <w:b/>
          <w:bCs/>
        </w:rPr>
        <w:t xml:space="preserve">(c) </w:t>
      </w:r>
      <w:r w:rsidR="45A0A90E" w:rsidRPr="00131FD7">
        <w:rPr>
          <w:rFonts w:eastAsia="Times New Roman"/>
          <w:b/>
          <w:bCs/>
        </w:rPr>
        <w:t>detailed staffing plans and tables;</w:t>
      </w:r>
      <w:r w:rsidR="51376B1A" w:rsidRPr="00131FD7">
        <w:rPr>
          <w:rFonts w:eastAsia="Times New Roman"/>
          <w:b/>
          <w:bCs/>
        </w:rPr>
        <w:t xml:space="preserve"> </w:t>
      </w:r>
      <w:r w:rsidR="7C38CA26" w:rsidRPr="00131FD7">
        <w:rPr>
          <w:rFonts w:eastAsia="Times New Roman"/>
          <w:b/>
          <w:bCs/>
        </w:rPr>
        <w:t xml:space="preserve">and </w:t>
      </w:r>
      <w:r w:rsidR="51376B1A" w:rsidRPr="00131FD7">
        <w:rPr>
          <w:rFonts w:eastAsia="Times New Roman"/>
          <w:b/>
          <w:bCs/>
        </w:rPr>
        <w:t>(d)</w:t>
      </w:r>
      <w:r w:rsidR="45A0A90E" w:rsidRPr="00131FD7">
        <w:rPr>
          <w:rFonts w:eastAsia="Times New Roman"/>
          <w:b/>
          <w:bCs/>
        </w:rPr>
        <w:t xml:space="preserve"> </w:t>
      </w:r>
      <w:r w:rsidR="008E215F" w:rsidRPr="00131FD7">
        <w:rPr>
          <w:rFonts w:eastAsia="Times New Roman"/>
          <w:b/>
          <w:bCs/>
        </w:rPr>
        <w:t xml:space="preserve">explanatory </w:t>
      </w:r>
      <w:r w:rsidR="45A0A90E" w:rsidRPr="00131FD7">
        <w:rPr>
          <w:rFonts w:eastAsia="Times New Roman"/>
          <w:b/>
          <w:bCs/>
        </w:rPr>
        <w:t>information on major items of expenditure</w:t>
      </w:r>
      <w:r w:rsidR="0A3DF6E2" w:rsidRPr="00131FD7">
        <w:rPr>
          <w:rFonts w:eastAsia="Times New Roman"/>
          <w:b/>
          <w:bCs/>
        </w:rPr>
        <w:t xml:space="preserve">. </w:t>
      </w:r>
      <w:r w:rsidR="45A0A90E" w:rsidRPr="00131FD7">
        <w:rPr>
          <w:rFonts w:eastAsia="Times New Roman"/>
          <w:b/>
          <w:bCs/>
        </w:rPr>
        <w:t>The Committee expects t</w:t>
      </w:r>
      <w:r w:rsidR="3245DF03" w:rsidRPr="00131FD7">
        <w:rPr>
          <w:rFonts w:eastAsia="Times New Roman"/>
          <w:b/>
          <w:bCs/>
        </w:rPr>
        <w:t>hat</w:t>
      </w:r>
      <w:r w:rsidR="2B6FB66B" w:rsidRPr="00131FD7">
        <w:rPr>
          <w:rFonts w:eastAsia="Times New Roman"/>
          <w:b/>
          <w:bCs/>
        </w:rPr>
        <w:t xml:space="preserve"> the aforementioned</w:t>
      </w:r>
      <w:r w:rsidR="45A0A90E" w:rsidRPr="00131FD7">
        <w:rPr>
          <w:rFonts w:eastAsia="Times New Roman"/>
          <w:b/>
          <w:bCs/>
        </w:rPr>
        <w:t xml:space="preserve"> information</w:t>
      </w:r>
      <w:r w:rsidR="296D9239" w:rsidRPr="00131FD7">
        <w:rPr>
          <w:rFonts w:eastAsia="Times New Roman"/>
          <w:b/>
          <w:bCs/>
        </w:rPr>
        <w:t xml:space="preserve"> </w:t>
      </w:r>
      <w:r w:rsidR="569D1C56" w:rsidRPr="00131FD7">
        <w:rPr>
          <w:rFonts w:eastAsia="Times New Roman"/>
          <w:b/>
          <w:bCs/>
        </w:rPr>
        <w:t xml:space="preserve">will be </w:t>
      </w:r>
      <w:r w:rsidR="74C8BFFA" w:rsidRPr="00131FD7">
        <w:rPr>
          <w:rFonts w:eastAsia="Times New Roman"/>
          <w:b/>
          <w:bCs/>
        </w:rPr>
        <w:t>present</w:t>
      </w:r>
      <w:r w:rsidR="569D1C56" w:rsidRPr="00131FD7">
        <w:rPr>
          <w:rFonts w:eastAsia="Times New Roman"/>
          <w:b/>
          <w:bCs/>
        </w:rPr>
        <w:t>ed</w:t>
      </w:r>
      <w:r w:rsidR="45A0A90E" w:rsidRPr="00131FD7">
        <w:rPr>
          <w:rFonts w:eastAsia="Times New Roman"/>
          <w:b/>
          <w:bCs/>
        </w:rPr>
        <w:t xml:space="preserve"> in </w:t>
      </w:r>
      <w:r w:rsidR="3C5D0AE2" w:rsidRPr="00131FD7">
        <w:rPr>
          <w:rFonts w:eastAsia="Times New Roman"/>
          <w:b/>
          <w:bCs/>
        </w:rPr>
        <w:t xml:space="preserve">all </w:t>
      </w:r>
      <w:r w:rsidR="45A0A90E" w:rsidRPr="00131FD7">
        <w:rPr>
          <w:rFonts w:eastAsia="Times New Roman"/>
          <w:b/>
          <w:bCs/>
        </w:rPr>
        <w:t>future budget submissions</w:t>
      </w:r>
      <w:r w:rsidR="5E48A2BA" w:rsidRPr="00131FD7">
        <w:rPr>
          <w:rFonts w:eastAsia="Times New Roman"/>
          <w:b/>
          <w:bCs/>
        </w:rPr>
        <w:t>, starting with the next midterm review</w:t>
      </w:r>
      <w:r w:rsidR="45A0A90E" w:rsidRPr="00131FD7">
        <w:rPr>
          <w:rFonts w:eastAsia="Times New Roman"/>
          <w:b/>
          <w:bCs/>
        </w:rPr>
        <w:t xml:space="preserve">. </w:t>
      </w:r>
      <w:r w:rsidR="7134BCFC" w:rsidRPr="00131FD7">
        <w:rPr>
          <w:rFonts w:eastAsia="Times New Roman"/>
          <w:b/>
          <w:bCs/>
        </w:rPr>
        <w:t>Furthermore, th</w:t>
      </w:r>
      <w:r w:rsidR="45A0A90E" w:rsidRPr="00131FD7">
        <w:rPr>
          <w:rFonts w:eastAsia="Times New Roman"/>
          <w:b/>
          <w:bCs/>
        </w:rPr>
        <w:t xml:space="preserve">e Committee </w:t>
      </w:r>
      <w:r w:rsidR="651F2065" w:rsidRPr="00131FD7">
        <w:rPr>
          <w:rFonts w:eastAsia="Times New Roman"/>
          <w:b/>
          <w:bCs/>
        </w:rPr>
        <w:t>reiterates</w:t>
      </w:r>
      <w:r w:rsidR="3C68AAFF" w:rsidRPr="00131FD7">
        <w:rPr>
          <w:rFonts w:eastAsia="Times New Roman"/>
          <w:b/>
          <w:bCs/>
        </w:rPr>
        <w:t xml:space="preserve"> </w:t>
      </w:r>
      <w:r w:rsidR="45A0A90E" w:rsidRPr="00131FD7">
        <w:rPr>
          <w:rFonts w:eastAsia="Times New Roman"/>
          <w:b/>
          <w:bCs/>
        </w:rPr>
        <w:t>th</w:t>
      </w:r>
      <w:r w:rsidR="159455CC" w:rsidRPr="00131FD7">
        <w:rPr>
          <w:rFonts w:eastAsia="Times New Roman"/>
          <w:b/>
          <w:bCs/>
        </w:rPr>
        <w:t>at</w:t>
      </w:r>
      <w:r w:rsidR="71FDE04D" w:rsidRPr="00131FD7">
        <w:rPr>
          <w:rFonts w:eastAsia="Times New Roman"/>
          <w:b/>
          <w:bCs/>
        </w:rPr>
        <w:t xml:space="preserve"> UNDP</w:t>
      </w:r>
      <w:r w:rsidR="6FF6FFDE" w:rsidRPr="00131FD7">
        <w:rPr>
          <w:rFonts w:eastAsia="Times New Roman"/>
          <w:b/>
          <w:bCs/>
        </w:rPr>
        <w:t xml:space="preserve"> budget assumptions</w:t>
      </w:r>
      <w:r w:rsidR="3840CB41" w:rsidRPr="00131FD7">
        <w:rPr>
          <w:rFonts w:eastAsia="Times New Roman"/>
          <w:b/>
          <w:bCs/>
        </w:rPr>
        <w:t xml:space="preserve"> should in future be realistic</w:t>
      </w:r>
      <w:r w:rsidR="6FF6FFDE" w:rsidRPr="00131FD7">
        <w:rPr>
          <w:rFonts w:eastAsia="Times New Roman"/>
          <w:b/>
          <w:bCs/>
        </w:rPr>
        <w:t xml:space="preserve"> </w:t>
      </w:r>
      <w:r w:rsidR="45A0A90E" w:rsidRPr="00131FD7">
        <w:rPr>
          <w:rFonts w:eastAsia="Times New Roman"/>
          <w:b/>
          <w:bCs/>
        </w:rPr>
        <w:t xml:space="preserve">in order to </w:t>
      </w:r>
      <w:r w:rsidR="095DE032" w:rsidRPr="00131FD7">
        <w:rPr>
          <w:rFonts w:eastAsia="Times New Roman"/>
          <w:b/>
          <w:bCs/>
        </w:rPr>
        <w:t>ke</w:t>
      </w:r>
      <w:r w:rsidR="4D299024" w:rsidRPr="00131FD7">
        <w:rPr>
          <w:rFonts w:eastAsia="Times New Roman"/>
          <w:b/>
          <w:bCs/>
        </w:rPr>
        <w:t>e</w:t>
      </w:r>
      <w:r w:rsidR="095DE032" w:rsidRPr="00131FD7">
        <w:rPr>
          <w:rFonts w:eastAsia="Times New Roman"/>
          <w:b/>
          <w:bCs/>
        </w:rPr>
        <w:t xml:space="preserve">p </w:t>
      </w:r>
      <w:r w:rsidR="41E1C964" w:rsidRPr="00131FD7">
        <w:rPr>
          <w:rFonts w:eastAsia="Times New Roman"/>
          <w:b/>
          <w:bCs/>
        </w:rPr>
        <w:t xml:space="preserve">any </w:t>
      </w:r>
      <w:r w:rsidR="45A0A90E" w:rsidRPr="00131FD7">
        <w:rPr>
          <w:rFonts w:eastAsia="Times New Roman"/>
          <w:b/>
          <w:bCs/>
        </w:rPr>
        <w:t>variances</w:t>
      </w:r>
      <w:r w:rsidR="53D866DC" w:rsidRPr="00131FD7">
        <w:rPr>
          <w:rFonts w:eastAsia="Times New Roman"/>
          <w:b/>
          <w:bCs/>
        </w:rPr>
        <w:t xml:space="preserve"> at a minimum</w:t>
      </w:r>
      <w:r w:rsidR="19CEDCA0" w:rsidRPr="00131FD7">
        <w:rPr>
          <w:rFonts w:eastAsia="Times New Roman"/>
          <w:b/>
          <w:bCs/>
        </w:rPr>
        <w:t xml:space="preserve"> (see also DP/217/40, paras. 7 and 8)</w:t>
      </w:r>
      <w:r w:rsidR="63558DC4" w:rsidRPr="00131FD7">
        <w:rPr>
          <w:rFonts w:eastAsia="Times New Roman"/>
          <w:b/>
          <w:bCs/>
        </w:rPr>
        <w:t>.</w:t>
      </w:r>
    </w:p>
    <w:p w14:paraId="30B93FF3" w14:textId="519BF645" w:rsidR="7F6C2929" w:rsidRPr="00744DE7" w:rsidRDefault="00744DE7" w:rsidP="006E4199">
      <w:pPr>
        <w:pStyle w:val="SingleTxt"/>
        <w:tabs>
          <w:tab w:val="clear" w:pos="1267"/>
          <w:tab w:val="clear" w:pos="1742"/>
          <w:tab w:val="left" w:pos="1170"/>
        </w:tabs>
        <w:spacing w:line="240" w:lineRule="auto"/>
        <w:ind w:left="1260" w:right="1200"/>
        <w:rPr>
          <w:rFonts w:eastAsia="Times New Roman"/>
          <w:b/>
          <w:bCs/>
          <w:sz w:val="24"/>
          <w:szCs w:val="24"/>
        </w:rPr>
      </w:pPr>
      <w:r w:rsidRPr="00744DE7">
        <w:rPr>
          <w:rFonts w:eastAsia="Times New Roman"/>
          <w:b/>
          <w:bCs/>
          <w:sz w:val="24"/>
          <w:szCs w:val="24"/>
        </w:rPr>
        <w:t xml:space="preserve">B. </w:t>
      </w:r>
      <w:r w:rsidR="7F6C2929" w:rsidRPr="00744DE7">
        <w:rPr>
          <w:rFonts w:eastAsia="Times New Roman"/>
          <w:b/>
          <w:bCs/>
          <w:sz w:val="24"/>
          <w:szCs w:val="24"/>
        </w:rPr>
        <w:t xml:space="preserve">Cost recovery </w:t>
      </w:r>
    </w:p>
    <w:p w14:paraId="16FE998A" w14:textId="606E90BC" w:rsidR="7F6C2929" w:rsidRPr="00131FD7" w:rsidRDefault="0936795E" w:rsidP="006E4199">
      <w:pPr>
        <w:tabs>
          <w:tab w:val="left" w:pos="1620"/>
        </w:tabs>
        <w:spacing w:after="120" w:line="240" w:lineRule="auto"/>
        <w:ind w:left="1260" w:right="1200"/>
        <w:jc w:val="both"/>
        <w:rPr>
          <w:rFonts w:eastAsia="Times New Roman"/>
        </w:rPr>
      </w:pPr>
      <w:r w:rsidRPr="00131FD7">
        <w:rPr>
          <w:rFonts w:eastAsia="Times New Roman"/>
        </w:rPr>
        <w:t>10</w:t>
      </w:r>
      <w:r w:rsidR="7F6C2929" w:rsidRPr="00131FD7">
        <w:rPr>
          <w:rFonts w:eastAsia="Times New Roman"/>
        </w:rPr>
        <w:t>.</w:t>
      </w:r>
      <w:r w:rsidR="7F6C2929" w:rsidRPr="00131FD7">
        <w:tab/>
      </w:r>
      <w:r w:rsidR="61EACA67" w:rsidRPr="00131FD7">
        <w:rPr>
          <w:rFonts w:eastAsia="Times New Roman"/>
        </w:rPr>
        <w:t xml:space="preserve">As indicated in section VI </w:t>
      </w:r>
      <w:r w:rsidR="6A8A94A4" w:rsidRPr="00131FD7">
        <w:rPr>
          <w:rFonts w:eastAsia="Times New Roman"/>
        </w:rPr>
        <w:t>o</w:t>
      </w:r>
      <w:r w:rsidR="61EACA67" w:rsidRPr="00131FD7">
        <w:rPr>
          <w:rFonts w:eastAsia="Times New Roman"/>
        </w:rPr>
        <w:t xml:space="preserve">f the budget report, </w:t>
      </w:r>
      <w:r w:rsidR="66B4E615" w:rsidRPr="00131FD7">
        <w:rPr>
          <w:rFonts w:eastAsia="Times New Roman"/>
        </w:rPr>
        <w:t>c</w:t>
      </w:r>
      <w:r w:rsidR="7AB9106D" w:rsidRPr="00131FD7">
        <w:rPr>
          <w:rFonts w:eastAsia="Times New Roman"/>
        </w:rPr>
        <w:t>ost-recovery income relates to: (a) general management services charges on bilateral, multilateral and programme-country government resources; and (b) other cost-recovery-related income for direct services provided to United Nations organizations</w:t>
      </w:r>
      <w:r w:rsidR="2A697E72" w:rsidRPr="00131FD7">
        <w:rPr>
          <w:rFonts w:eastAsia="Times New Roman"/>
        </w:rPr>
        <w:t xml:space="preserve">. </w:t>
      </w:r>
      <w:r w:rsidR="616DC8A3" w:rsidRPr="00131FD7">
        <w:rPr>
          <w:rFonts w:eastAsia="Times New Roman"/>
        </w:rPr>
        <w:t xml:space="preserve"> As also indicated in table 1 above,</w:t>
      </w:r>
      <w:r w:rsidR="34774096" w:rsidRPr="00131FD7">
        <w:rPr>
          <w:rFonts w:eastAsia="Times New Roman"/>
        </w:rPr>
        <w:t xml:space="preserve"> </w:t>
      </w:r>
      <w:r w:rsidR="34774096" w:rsidRPr="00131FD7">
        <w:rPr>
          <w:rFonts w:eastAsia="Times New Roman"/>
        </w:rPr>
        <w:lastRenderedPageBreak/>
        <w:t>cost recovery</w:t>
      </w:r>
      <w:r w:rsidR="2A697E72" w:rsidRPr="00131FD7">
        <w:rPr>
          <w:rFonts w:eastAsia="Times New Roman"/>
        </w:rPr>
        <w:t xml:space="preserve"> </w:t>
      </w:r>
      <w:r w:rsidR="45C48CF7" w:rsidRPr="00131FD7">
        <w:rPr>
          <w:rFonts w:eastAsia="Times New Roman"/>
        </w:rPr>
        <w:t>f</w:t>
      </w:r>
      <w:r w:rsidR="2A697E72" w:rsidRPr="00131FD7">
        <w:rPr>
          <w:rFonts w:eastAsia="Times New Roman"/>
        </w:rPr>
        <w:t>or 2022-2025</w:t>
      </w:r>
      <w:r w:rsidR="32B1D638" w:rsidRPr="00131FD7">
        <w:rPr>
          <w:rFonts w:eastAsia="Times New Roman"/>
        </w:rPr>
        <w:t xml:space="preserve"> would </w:t>
      </w:r>
      <w:r w:rsidR="2A697E72" w:rsidRPr="00131FD7">
        <w:rPr>
          <w:rFonts w:eastAsia="Times New Roman"/>
        </w:rPr>
        <w:t>amount</w:t>
      </w:r>
      <w:r w:rsidR="2A2274A2" w:rsidRPr="00131FD7">
        <w:rPr>
          <w:rFonts w:eastAsia="Times New Roman"/>
        </w:rPr>
        <w:t xml:space="preserve"> to $1,836,300,000</w:t>
      </w:r>
      <w:r w:rsidR="2A697E72" w:rsidRPr="00131FD7">
        <w:rPr>
          <w:rFonts w:eastAsia="Times New Roman"/>
        </w:rPr>
        <w:t xml:space="preserve">, representing an increase of </w:t>
      </w:r>
      <w:r w:rsidR="1214B178" w:rsidRPr="00131FD7">
        <w:rPr>
          <w:rFonts w:eastAsia="Times New Roman"/>
        </w:rPr>
        <w:t xml:space="preserve">$132,100,000 compared with </w:t>
      </w:r>
      <w:r w:rsidR="2A697E72" w:rsidRPr="00131FD7">
        <w:rPr>
          <w:rFonts w:eastAsia="Times New Roman"/>
        </w:rPr>
        <w:t>the</w:t>
      </w:r>
      <w:r w:rsidR="08F7E577" w:rsidRPr="00131FD7">
        <w:rPr>
          <w:rFonts w:eastAsia="Times New Roman"/>
        </w:rPr>
        <w:t xml:space="preserve"> updated estimates for 2018-2021. </w:t>
      </w:r>
    </w:p>
    <w:p w14:paraId="322A09AF" w14:textId="2E617601" w:rsidR="7F6C2929" w:rsidRPr="00131FD7" w:rsidRDefault="7F6C2929" w:rsidP="006E4199">
      <w:pPr>
        <w:pStyle w:val="SingleTxt"/>
        <w:tabs>
          <w:tab w:val="clear" w:pos="1267"/>
          <w:tab w:val="clear" w:pos="1742"/>
          <w:tab w:val="left" w:pos="1170"/>
          <w:tab w:val="left" w:pos="1620"/>
        </w:tabs>
        <w:spacing w:line="240" w:lineRule="auto"/>
        <w:ind w:left="1260" w:right="1200"/>
        <w:rPr>
          <w:rFonts w:eastAsia="Times New Roman"/>
        </w:rPr>
      </w:pPr>
      <w:r w:rsidRPr="00131FD7">
        <w:rPr>
          <w:rFonts w:eastAsia="Times New Roman"/>
        </w:rPr>
        <w:t>1</w:t>
      </w:r>
      <w:r w:rsidR="002E6ECE" w:rsidRPr="00131FD7">
        <w:rPr>
          <w:rFonts w:eastAsia="Times New Roman"/>
        </w:rPr>
        <w:t>1</w:t>
      </w:r>
      <w:r w:rsidRPr="00131FD7">
        <w:rPr>
          <w:rFonts w:eastAsia="Times New Roman"/>
        </w:rPr>
        <w:t>.</w:t>
      </w:r>
      <w:r w:rsidRPr="00131FD7">
        <w:tab/>
      </w:r>
      <w:r w:rsidR="6D6A1CDF" w:rsidRPr="00131FD7">
        <w:rPr>
          <w:rFonts w:eastAsia="Times New Roman"/>
        </w:rPr>
        <w:t>As indicated in the budget report, in compliance with Executive Board decisions and UNDP financial regulations and rules, differentiated cost-recovery rates are applied by UND</w:t>
      </w:r>
      <w:r w:rsidR="1143D8EC" w:rsidRPr="00131FD7">
        <w:rPr>
          <w:rFonts w:eastAsia="Times New Roman"/>
        </w:rPr>
        <w:t>P. T</w:t>
      </w:r>
      <w:r w:rsidR="6D6A1CDF" w:rsidRPr="00131FD7">
        <w:rPr>
          <w:rFonts w:eastAsia="Times New Roman"/>
        </w:rPr>
        <w:t>he effective average rate of cost recovery</w:t>
      </w:r>
      <w:r w:rsidR="35F6CE1E" w:rsidRPr="00131FD7">
        <w:rPr>
          <w:rFonts w:eastAsia="Times New Roman"/>
        </w:rPr>
        <w:t xml:space="preserve"> </w:t>
      </w:r>
      <w:r w:rsidR="2C6B3973" w:rsidRPr="00131FD7">
        <w:rPr>
          <w:rFonts w:eastAsia="Times New Roman"/>
        </w:rPr>
        <w:t>during</w:t>
      </w:r>
      <w:r w:rsidR="35F6CE1E" w:rsidRPr="00131FD7">
        <w:rPr>
          <w:rFonts w:eastAsia="Times New Roman"/>
        </w:rPr>
        <w:t xml:space="preserve"> </w:t>
      </w:r>
      <w:r w:rsidR="6D6A1CDF" w:rsidRPr="00131FD7">
        <w:rPr>
          <w:rFonts w:eastAsia="Times New Roman"/>
        </w:rPr>
        <w:t>2018-2020) rang</w:t>
      </w:r>
      <w:r w:rsidR="7242EEB7" w:rsidRPr="00131FD7">
        <w:rPr>
          <w:rFonts w:eastAsia="Times New Roman"/>
        </w:rPr>
        <w:t>ed</w:t>
      </w:r>
      <w:r w:rsidR="6D6A1CDF" w:rsidRPr="00131FD7">
        <w:rPr>
          <w:rFonts w:eastAsia="Times New Roman"/>
        </w:rPr>
        <w:t xml:space="preserve"> between 6.2</w:t>
      </w:r>
      <w:r w:rsidR="4E257D6C" w:rsidRPr="00131FD7">
        <w:rPr>
          <w:rFonts w:eastAsia="Times New Roman"/>
        </w:rPr>
        <w:t xml:space="preserve"> per cent</w:t>
      </w:r>
      <w:r w:rsidR="6D6A1CDF" w:rsidRPr="00131FD7">
        <w:rPr>
          <w:rFonts w:eastAsia="Times New Roman"/>
        </w:rPr>
        <w:t xml:space="preserve"> and 6.4 per</w:t>
      </w:r>
      <w:r w:rsidR="3158E384" w:rsidRPr="00131FD7">
        <w:rPr>
          <w:rFonts w:eastAsia="Times New Roman"/>
        </w:rPr>
        <w:t xml:space="preserve"> </w:t>
      </w:r>
      <w:r w:rsidR="6D6A1CDF" w:rsidRPr="00131FD7">
        <w:rPr>
          <w:rFonts w:eastAsia="Times New Roman"/>
        </w:rPr>
        <w:t>cent</w:t>
      </w:r>
      <w:r w:rsidR="4F715C95" w:rsidRPr="00131FD7">
        <w:rPr>
          <w:rFonts w:eastAsia="Times New Roman"/>
        </w:rPr>
        <w:t xml:space="preserve">, and during </w:t>
      </w:r>
      <w:r w:rsidR="6D6A1CDF" w:rsidRPr="00131FD7">
        <w:rPr>
          <w:rFonts w:eastAsia="Times New Roman"/>
        </w:rPr>
        <w:t>2022-2025</w:t>
      </w:r>
      <w:r w:rsidR="17827490" w:rsidRPr="00131FD7">
        <w:rPr>
          <w:rFonts w:eastAsia="Times New Roman"/>
        </w:rPr>
        <w:t>,</w:t>
      </w:r>
      <w:r w:rsidR="6D6A1CDF" w:rsidRPr="00131FD7">
        <w:rPr>
          <w:rFonts w:eastAsia="Times New Roman"/>
        </w:rPr>
        <w:t xml:space="preserve"> is projected to be at the midpoint of this range, i.e., 6.3 per</w:t>
      </w:r>
      <w:r w:rsidR="79AC726D" w:rsidRPr="00131FD7">
        <w:rPr>
          <w:rFonts w:eastAsia="Times New Roman"/>
        </w:rPr>
        <w:t xml:space="preserve"> </w:t>
      </w:r>
      <w:r w:rsidR="6D6A1CDF" w:rsidRPr="00131FD7">
        <w:rPr>
          <w:rFonts w:eastAsia="Times New Roman"/>
        </w:rPr>
        <w:t>cent, and estimated to yield indirect cost-recovery revenue of $1.1 billion over th</w:t>
      </w:r>
      <w:r w:rsidR="53061608" w:rsidRPr="00131FD7">
        <w:rPr>
          <w:rFonts w:eastAsia="Times New Roman"/>
        </w:rPr>
        <w:t>at</w:t>
      </w:r>
      <w:r w:rsidR="6D6A1CDF" w:rsidRPr="00131FD7">
        <w:rPr>
          <w:rFonts w:eastAsia="Times New Roman"/>
        </w:rPr>
        <w:t xml:space="preserve"> period</w:t>
      </w:r>
      <w:r w:rsidR="0F97CF5E" w:rsidRPr="00131FD7">
        <w:rPr>
          <w:rFonts w:eastAsia="Times New Roman"/>
        </w:rPr>
        <w:t xml:space="preserve"> (s</w:t>
      </w:r>
      <w:r w:rsidR="00A37E94" w:rsidRPr="00131FD7">
        <w:rPr>
          <w:rFonts w:eastAsia="Times New Roman"/>
        </w:rPr>
        <w:t>e</w:t>
      </w:r>
      <w:r w:rsidR="0F97CF5E" w:rsidRPr="00131FD7">
        <w:rPr>
          <w:rFonts w:eastAsia="Times New Roman"/>
        </w:rPr>
        <w:t xml:space="preserve">e also para. </w:t>
      </w:r>
      <w:r w:rsidR="00A37E94" w:rsidRPr="00131FD7">
        <w:rPr>
          <w:rFonts w:eastAsia="Times New Roman"/>
        </w:rPr>
        <w:t>20</w:t>
      </w:r>
      <w:r w:rsidR="0F97CF5E" w:rsidRPr="00131FD7">
        <w:rPr>
          <w:rFonts w:eastAsia="Times New Roman"/>
        </w:rPr>
        <w:t xml:space="preserve"> below)</w:t>
      </w:r>
      <w:r w:rsidR="6D6A1CDF" w:rsidRPr="00131FD7">
        <w:rPr>
          <w:rFonts w:eastAsia="Times New Roman"/>
        </w:rPr>
        <w:t xml:space="preserve">.   </w:t>
      </w:r>
    </w:p>
    <w:p w14:paraId="4ED5A0BC" w14:textId="03C04AD0" w:rsidR="6EB94F0D" w:rsidRPr="00131FD7" w:rsidRDefault="1A55C86F" w:rsidP="006E4199">
      <w:pPr>
        <w:tabs>
          <w:tab w:val="left" w:pos="1620"/>
        </w:tabs>
        <w:spacing w:after="120" w:line="240" w:lineRule="auto"/>
        <w:ind w:left="1260" w:right="1200"/>
        <w:jc w:val="both"/>
        <w:rPr>
          <w:rFonts w:eastAsia="Times New Roman"/>
          <w:color w:val="000000" w:themeColor="text1"/>
          <w:lang w:val="en-US"/>
        </w:rPr>
      </w:pPr>
      <w:r w:rsidRPr="00131FD7">
        <w:rPr>
          <w:rFonts w:eastAsia="Times New Roman"/>
        </w:rPr>
        <w:t>1</w:t>
      </w:r>
      <w:r w:rsidR="002E6ECE" w:rsidRPr="00131FD7">
        <w:rPr>
          <w:rFonts w:eastAsia="Times New Roman"/>
        </w:rPr>
        <w:t>2</w:t>
      </w:r>
      <w:r w:rsidR="6EB94F0D" w:rsidRPr="00131FD7">
        <w:rPr>
          <w:rFonts w:eastAsia="Times New Roman"/>
        </w:rPr>
        <w:t>.</w:t>
      </w:r>
      <w:r w:rsidR="6EB94F0D" w:rsidRPr="00131FD7">
        <w:tab/>
      </w:r>
      <w:r w:rsidR="6EB94F0D" w:rsidRPr="00131FD7">
        <w:rPr>
          <w:rFonts w:eastAsia="Times New Roman"/>
        </w:rPr>
        <w:t xml:space="preserve">Upon enquiry, the Advisory Committee was </w:t>
      </w:r>
      <w:r w:rsidR="05E1E739" w:rsidRPr="00131FD7">
        <w:rPr>
          <w:rFonts w:eastAsia="Times New Roman"/>
        </w:rPr>
        <w:t xml:space="preserve">informed that the </w:t>
      </w:r>
      <w:r w:rsidR="00C138FE">
        <w:rPr>
          <w:rFonts w:eastAsia="Times New Roman"/>
        </w:rPr>
        <w:t xml:space="preserve">UNDP/UNFPA </w:t>
      </w:r>
      <w:r w:rsidR="05E1E739" w:rsidRPr="00131FD7">
        <w:rPr>
          <w:rFonts w:eastAsia="Times New Roman"/>
        </w:rPr>
        <w:t xml:space="preserve">Executive Board does not cover UNICEF and UN-Women, as the latter </w:t>
      </w:r>
      <w:r w:rsidR="00A22247" w:rsidRPr="00131FD7">
        <w:rPr>
          <w:rFonts w:eastAsia="Times New Roman"/>
        </w:rPr>
        <w:t xml:space="preserve">two </w:t>
      </w:r>
      <w:r w:rsidR="05E1E739" w:rsidRPr="00131FD7">
        <w:rPr>
          <w:rFonts w:eastAsia="Times New Roman"/>
        </w:rPr>
        <w:t xml:space="preserve">agencies have their own Executive Boards. Also upon enquiry, the Committee was </w:t>
      </w:r>
      <w:r w:rsidR="6EB94F0D" w:rsidRPr="00131FD7">
        <w:rPr>
          <w:rFonts w:eastAsia="Times New Roman"/>
        </w:rPr>
        <w:t>provided with t</w:t>
      </w:r>
      <w:r w:rsidR="6EB94F0D" w:rsidRPr="00131FD7">
        <w:rPr>
          <w:rFonts w:eastAsia="Times New Roman"/>
          <w:color w:val="000000" w:themeColor="text1"/>
          <w:lang w:val="en-US"/>
        </w:rPr>
        <w:t>he approved rates for UNDP and UNFPA, as per Executive Board decision 2020/12</w:t>
      </w:r>
      <w:r w:rsidR="00C138FE">
        <w:rPr>
          <w:rFonts w:eastAsia="Times New Roman"/>
          <w:color w:val="000000" w:themeColor="text1"/>
          <w:lang w:val="en-US"/>
        </w:rPr>
        <w:t>,</w:t>
      </w:r>
      <w:r w:rsidR="6EB94F0D" w:rsidRPr="00131FD7">
        <w:rPr>
          <w:rFonts w:eastAsia="Times New Roman"/>
          <w:color w:val="000000" w:themeColor="text1"/>
          <w:lang w:val="en-US"/>
        </w:rPr>
        <w:t xml:space="preserve"> the joint cost-recovery policy paper </w:t>
      </w:r>
      <w:hyperlink r:id="rId19" w:history="1">
        <w:r w:rsidR="00C138FE" w:rsidRPr="00412940">
          <w:rPr>
            <w:rStyle w:val="Hyperlink"/>
            <w:rFonts w:eastAsia="Times New Roman"/>
            <w:lang w:val="en-US"/>
          </w:rPr>
          <w:t>(</w:t>
        </w:r>
        <w:r w:rsidR="6EB94F0D" w:rsidRPr="00412940">
          <w:rPr>
            <w:rStyle w:val="Hyperlink"/>
            <w:rFonts w:eastAsia="Times New Roman"/>
            <w:lang w:val="en-US"/>
          </w:rPr>
          <w:t>DP/FPA-ICEF-UNW/2020/1</w:t>
        </w:r>
      </w:hyperlink>
      <w:r w:rsidR="00412940">
        <w:rPr>
          <w:rFonts w:eastAsia="Times New Roman"/>
          <w:color w:val="000000" w:themeColor="text1"/>
          <w:lang w:val="en-US"/>
        </w:rPr>
        <w:t xml:space="preserve"> and</w:t>
      </w:r>
      <w:r w:rsidR="59D7BA88" w:rsidRPr="00131FD7">
        <w:rPr>
          <w:rFonts w:eastAsia="Times New Roman"/>
          <w:color w:val="000000" w:themeColor="text1"/>
          <w:lang w:val="en-US"/>
        </w:rPr>
        <w:t xml:space="preserve"> the rates for UN-</w:t>
      </w:r>
      <w:r w:rsidR="3673F784" w:rsidRPr="00131FD7">
        <w:rPr>
          <w:rFonts w:eastAsia="Times New Roman"/>
          <w:color w:val="000000" w:themeColor="text1"/>
          <w:lang w:val="en-US"/>
        </w:rPr>
        <w:t>Women</w:t>
      </w:r>
      <w:r w:rsidR="59D7BA88" w:rsidRPr="00131FD7">
        <w:rPr>
          <w:rFonts w:eastAsia="Times New Roman"/>
          <w:color w:val="000000" w:themeColor="text1"/>
          <w:lang w:val="en-US"/>
        </w:rPr>
        <w:t xml:space="preserve"> and UNICEF, </w:t>
      </w:r>
      <w:r w:rsidR="59538866" w:rsidRPr="00131FD7">
        <w:rPr>
          <w:rFonts w:eastAsia="Times New Roman"/>
          <w:color w:val="000000" w:themeColor="text1"/>
          <w:lang w:val="en-US"/>
        </w:rPr>
        <w:t>as follows</w:t>
      </w:r>
      <w:r w:rsidR="603E50EC" w:rsidRPr="00131FD7">
        <w:rPr>
          <w:rFonts w:eastAsia="Times New Roman"/>
          <w:color w:val="000000" w:themeColor="text1"/>
          <w:lang w:val="en-US"/>
        </w:rPr>
        <w:t>:</w:t>
      </w:r>
    </w:p>
    <w:p w14:paraId="3A656251" w14:textId="6BEB9885" w:rsidR="59538866" w:rsidRPr="00131FD7" w:rsidRDefault="59538866" w:rsidP="00131FD7">
      <w:pPr>
        <w:spacing w:line="240" w:lineRule="auto"/>
        <w:ind w:left="1260" w:right="1200"/>
        <w:jc w:val="both"/>
        <w:rPr>
          <w:rFonts w:eastAsia="Times New Roman"/>
          <w:b/>
          <w:bCs/>
          <w:color w:val="000000" w:themeColor="text1"/>
          <w:lang w:val="en-US"/>
        </w:rPr>
      </w:pPr>
      <w:r w:rsidRPr="00131FD7">
        <w:rPr>
          <w:rFonts w:eastAsia="Times New Roman"/>
          <w:b/>
          <w:bCs/>
          <w:color w:val="000000" w:themeColor="text1"/>
          <w:lang w:val="en-US"/>
        </w:rPr>
        <w:t>Table 4</w:t>
      </w:r>
    </w:p>
    <w:p w14:paraId="5B0CEC39" w14:textId="0302CCA8" w:rsidR="00DA291E" w:rsidRDefault="59538866" w:rsidP="00DA291E">
      <w:pPr>
        <w:spacing w:after="240" w:line="240" w:lineRule="auto"/>
        <w:ind w:left="1260" w:right="1200"/>
        <w:jc w:val="both"/>
        <w:rPr>
          <w:rFonts w:eastAsia="Times New Roman"/>
          <w:b/>
          <w:bCs/>
          <w:color w:val="000000" w:themeColor="text1"/>
        </w:rPr>
      </w:pPr>
      <w:r w:rsidRPr="00131FD7">
        <w:rPr>
          <w:rFonts w:eastAsia="Times New Roman"/>
          <w:b/>
          <w:bCs/>
          <w:color w:val="000000" w:themeColor="text1"/>
        </w:rPr>
        <w:t>Approved cost</w:t>
      </w:r>
      <w:r w:rsidR="00412940">
        <w:rPr>
          <w:rFonts w:eastAsia="Times New Roman"/>
          <w:b/>
          <w:bCs/>
          <w:color w:val="000000" w:themeColor="text1"/>
        </w:rPr>
        <w:t>-</w:t>
      </w:r>
      <w:r w:rsidRPr="00131FD7">
        <w:rPr>
          <w:rFonts w:eastAsia="Times New Roman"/>
          <w:b/>
          <w:bCs/>
          <w:color w:val="000000" w:themeColor="text1"/>
        </w:rPr>
        <w:t>recovery rates for UNDP</w:t>
      </w:r>
      <w:r w:rsidR="5EB57233" w:rsidRPr="00131FD7">
        <w:rPr>
          <w:rFonts w:eastAsia="Times New Roman"/>
          <w:b/>
          <w:bCs/>
          <w:color w:val="000000" w:themeColor="text1"/>
        </w:rPr>
        <w:t xml:space="preserve">, </w:t>
      </w:r>
      <w:r w:rsidRPr="00131FD7">
        <w:rPr>
          <w:rFonts w:eastAsia="Times New Roman"/>
          <w:b/>
          <w:bCs/>
          <w:color w:val="000000" w:themeColor="text1"/>
        </w:rPr>
        <w:t>UNFPA</w:t>
      </w:r>
      <w:r w:rsidR="4732C46F" w:rsidRPr="00131FD7">
        <w:rPr>
          <w:rFonts w:eastAsia="Times New Roman"/>
          <w:b/>
          <w:bCs/>
          <w:color w:val="000000" w:themeColor="text1"/>
        </w:rPr>
        <w:t>, UN-Women and UNICEF</w:t>
      </w:r>
    </w:p>
    <w:p w14:paraId="3AB79327" w14:textId="19CF28A4" w:rsidR="749B48A6" w:rsidRPr="008E332F" w:rsidRDefault="00DA291E" w:rsidP="008E332F">
      <w:pPr>
        <w:spacing w:line="240" w:lineRule="auto"/>
        <w:ind w:left="1260" w:right="1200"/>
        <w:jc w:val="both"/>
        <w:rPr>
          <w:rFonts w:eastAsia="Times New Roman"/>
          <w:color w:val="000000" w:themeColor="text1"/>
        </w:rPr>
      </w:pPr>
      <w:r>
        <w:rPr>
          <w:noProof/>
        </w:rPr>
        <w:drawing>
          <wp:inline distT="0" distB="0" distL="0" distR="0" wp14:anchorId="3F6BD452" wp14:editId="26BD24C8">
            <wp:extent cx="5247250" cy="3685462"/>
            <wp:effectExtent l="0" t="0" r="0" b="0"/>
            <wp:docPr id="1072077848" name="Picture 1072077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309682" cy="3729312"/>
                    </a:xfrm>
                    <a:prstGeom prst="rect">
                      <a:avLst/>
                    </a:prstGeom>
                  </pic:spPr>
                </pic:pic>
              </a:graphicData>
            </a:graphic>
          </wp:inline>
        </w:drawing>
      </w:r>
    </w:p>
    <w:p w14:paraId="03F7483E" w14:textId="513DDAC3" w:rsidR="68571DFF" w:rsidRPr="00131FD7" w:rsidRDefault="6940802A" w:rsidP="00412940">
      <w:pPr>
        <w:pStyle w:val="SingleTxt"/>
        <w:tabs>
          <w:tab w:val="left" w:pos="1170"/>
          <w:tab w:val="left" w:pos="1710"/>
        </w:tabs>
        <w:spacing w:line="240" w:lineRule="auto"/>
        <w:ind w:left="1260" w:right="1200"/>
        <w:rPr>
          <w:rFonts w:eastAsia="Times New Roman"/>
          <w:b/>
          <w:bCs/>
        </w:rPr>
      </w:pPr>
      <w:r w:rsidRPr="00131FD7">
        <w:rPr>
          <w:rFonts w:eastAsia="Times New Roman"/>
        </w:rPr>
        <w:t>1</w:t>
      </w:r>
      <w:r w:rsidR="002B1863" w:rsidRPr="00131FD7">
        <w:rPr>
          <w:rFonts w:eastAsia="Times New Roman"/>
        </w:rPr>
        <w:t>3</w:t>
      </w:r>
      <w:r w:rsidR="68571DFF" w:rsidRPr="00131FD7">
        <w:rPr>
          <w:rFonts w:eastAsia="Times New Roman"/>
        </w:rPr>
        <w:t>.</w:t>
      </w:r>
      <w:r w:rsidR="68571DFF" w:rsidRPr="00131FD7">
        <w:tab/>
      </w:r>
      <w:r w:rsidR="2D4FFB25" w:rsidRPr="00131FD7">
        <w:rPr>
          <w:rFonts w:eastAsia="Times New Roman"/>
          <w:b/>
          <w:bCs/>
        </w:rPr>
        <w:t>The Advisory Committee</w:t>
      </w:r>
      <w:r w:rsidR="7D4C46D6" w:rsidRPr="00131FD7">
        <w:rPr>
          <w:rFonts w:eastAsia="Times New Roman"/>
          <w:b/>
          <w:bCs/>
        </w:rPr>
        <w:t xml:space="preserve"> recalls its previous comments that cost</w:t>
      </w:r>
      <w:r w:rsidR="00412940">
        <w:rPr>
          <w:rFonts w:eastAsia="Times New Roman"/>
          <w:b/>
          <w:bCs/>
        </w:rPr>
        <w:t>-</w:t>
      </w:r>
      <w:r w:rsidR="7D4C46D6" w:rsidRPr="00131FD7">
        <w:rPr>
          <w:rFonts w:eastAsia="Times New Roman"/>
          <w:b/>
          <w:bCs/>
        </w:rPr>
        <w:t xml:space="preserve">recovery rates differ among UNDP, UNFPA, </w:t>
      </w:r>
      <w:r w:rsidR="00412940">
        <w:rPr>
          <w:rFonts w:eastAsia="Times New Roman"/>
          <w:b/>
          <w:bCs/>
        </w:rPr>
        <w:t xml:space="preserve">UNICEF and </w:t>
      </w:r>
      <w:r w:rsidR="7D4C46D6" w:rsidRPr="00131FD7">
        <w:rPr>
          <w:rFonts w:eastAsia="Times New Roman"/>
          <w:b/>
          <w:bCs/>
        </w:rPr>
        <w:t>UN-Women</w:t>
      </w:r>
      <w:r w:rsidR="0A0B3A85" w:rsidRPr="00131FD7">
        <w:rPr>
          <w:rFonts w:eastAsia="Times New Roman"/>
          <w:b/>
          <w:bCs/>
        </w:rPr>
        <w:t>,</w:t>
      </w:r>
      <w:r w:rsidR="7D4C46D6" w:rsidRPr="00131FD7">
        <w:rPr>
          <w:rFonts w:eastAsia="Times New Roman"/>
          <w:b/>
          <w:bCs/>
        </w:rPr>
        <w:t xml:space="preserve"> </w:t>
      </w:r>
      <w:r w:rsidR="62EFE65B" w:rsidRPr="00131FD7">
        <w:rPr>
          <w:rFonts w:eastAsia="Times New Roman"/>
          <w:b/>
          <w:bCs/>
        </w:rPr>
        <w:t>in particular as they pertain to national committees and programme countries</w:t>
      </w:r>
      <w:r w:rsidR="06620A1C" w:rsidRPr="00131FD7">
        <w:rPr>
          <w:rFonts w:eastAsia="Times New Roman"/>
          <w:b/>
          <w:bCs/>
        </w:rPr>
        <w:t>.</w:t>
      </w:r>
      <w:r w:rsidR="62EFE65B" w:rsidRPr="00131FD7">
        <w:rPr>
          <w:rFonts w:eastAsia="Times New Roman"/>
          <w:b/>
          <w:bCs/>
        </w:rPr>
        <w:t xml:space="preserve"> </w:t>
      </w:r>
      <w:r w:rsidR="2D4FFB25" w:rsidRPr="00131FD7">
        <w:rPr>
          <w:rFonts w:eastAsia="Times New Roman"/>
          <w:b/>
          <w:bCs/>
        </w:rPr>
        <w:t xml:space="preserve">The Committee </w:t>
      </w:r>
      <w:r w:rsidR="3C755E2A" w:rsidRPr="00131FD7">
        <w:rPr>
          <w:rFonts w:eastAsia="Times New Roman"/>
          <w:b/>
          <w:bCs/>
        </w:rPr>
        <w:t xml:space="preserve">is of the view that </w:t>
      </w:r>
      <w:r w:rsidR="00C75D63" w:rsidRPr="00131FD7">
        <w:rPr>
          <w:rFonts w:eastAsia="Times New Roman"/>
          <w:b/>
          <w:bCs/>
        </w:rPr>
        <w:t xml:space="preserve">a consistent approach to </w:t>
      </w:r>
      <w:r w:rsidR="3C755E2A" w:rsidRPr="00131FD7">
        <w:rPr>
          <w:rFonts w:eastAsia="Times New Roman"/>
          <w:b/>
          <w:bCs/>
        </w:rPr>
        <w:t xml:space="preserve">cost recovery </w:t>
      </w:r>
      <w:r w:rsidR="00586FA1" w:rsidRPr="00131FD7">
        <w:rPr>
          <w:rFonts w:eastAsia="Times New Roman"/>
          <w:b/>
          <w:bCs/>
        </w:rPr>
        <w:t xml:space="preserve">is needed </w:t>
      </w:r>
      <w:r w:rsidR="1AF44F64" w:rsidRPr="00131FD7">
        <w:rPr>
          <w:rFonts w:eastAsia="Times New Roman"/>
          <w:b/>
          <w:bCs/>
        </w:rPr>
        <w:t>for all funds and programmes</w:t>
      </w:r>
      <w:r w:rsidR="1E8A4842" w:rsidRPr="00131FD7">
        <w:rPr>
          <w:rFonts w:eastAsia="Times New Roman"/>
          <w:b/>
          <w:bCs/>
        </w:rPr>
        <w:t>,</w:t>
      </w:r>
      <w:r w:rsidR="1AF44F64" w:rsidRPr="00131FD7">
        <w:rPr>
          <w:rFonts w:eastAsia="Times New Roman"/>
          <w:b/>
          <w:bCs/>
        </w:rPr>
        <w:t xml:space="preserve"> </w:t>
      </w:r>
      <w:r w:rsidR="3C755E2A" w:rsidRPr="00131FD7">
        <w:rPr>
          <w:rFonts w:eastAsia="Times New Roman"/>
          <w:b/>
          <w:bCs/>
        </w:rPr>
        <w:t xml:space="preserve">and </w:t>
      </w:r>
      <w:r w:rsidR="00586FA1" w:rsidRPr="00131FD7">
        <w:rPr>
          <w:rFonts w:eastAsia="Times New Roman"/>
          <w:b/>
          <w:bCs/>
        </w:rPr>
        <w:t xml:space="preserve">that the rates </w:t>
      </w:r>
      <w:r w:rsidR="00CE00D4" w:rsidRPr="00131FD7">
        <w:rPr>
          <w:rFonts w:eastAsia="Times New Roman"/>
          <w:b/>
          <w:bCs/>
        </w:rPr>
        <w:t>should</w:t>
      </w:r>
      <w:r w:rsidR="00586FA1" w:rsidRPr="00131FD7">
        <w:rPr>
          <w:rFonts w:eastAsia="Times New Roman"/>
          <w:b/>
          <w:bCs/>
        </w:rPr>
        <w:t xml:space="preserve"> </w:t>
      </w:r>
      <w:r w:rsidR="6F1AB3E7" w:rsidRPr="00131FD7">
        <w:rPr>
          <w:rFonts w:eastAsia="Times New Roman"/>
          <w:b/>
          <w:bCs/>
        </w:rPr>
        <w:t xml:space="preserve">not </w:t>
      </w:r>
      <w:r w:rsidR="65B47CB4" w:rsidRPr="00131FD7">
        <w:rPr>
          <w:rFonts w:eastAsia="Times New Roman"/>
          <w:b/>
          <w:bCs/>
        </w:rPr>
        <w:t xml:space="preserve">differ among the </w:t>
      </w:r>
      <w:r w:rsidR="6ED148B5" w:rsidRPr="00131FD7">
        <w:rPr>
          <w:rFonts w:eastAsia="Times New Roman"/>
          <w:b/>
          <w:bCs/>
        </w:rPr>
        <w:t>fund</w:t>
      </w:r>
      <w:r w:rsidR="007C4B12" w:rsidRPr="00131FD7">
        <w:rPr>
          <w:rFonts w:eastAsia="Times New Roman"/>
          <w:b/>
          <w:bCs/>
        </w:rPr>
        <w:t>s</w:t>
      </w:r>
      <w:r w:rsidR="6ED148B5" w:rsidRPr="00131FD7">
        <w:rPr>
          <w:rFonts w:eastAsia="Times New Roman"/>
          <w:b/>
          <w:bCs/>
        </w:rPr>
        <w:t xml:space="preserve"> or programme</w:t>
      </w:r>
      <w:r w:rsidR="007C4B12" w:rsidRPr="00131FD7">
        <w:rPr>
          <w:rFonts w:eastAsia="Times New Roman"/>
          <w:b/>
          <w:bCs/>
        </w:rPr>
        <w:t>s</w:t>
      </w:r>
      <w:r w:rsidR="514FE9F3" w:rsidRPr="00131FD7">
        <w:rPr>
          <w:rFonts w:eastAsia="Times New Roman"/>
          <w:b/>
          <w:bCs/>
        </w:rPr>
        <w:t xml:space="preserve"> </w:t>
      </w:r>
      <w:r w:rsidR="4E3CB48F" w:rsidRPr="00131FD7">
        <w:rPr>
          <w:rFonts w:eastAsia="Times New Roman"/>
          <w:b/>
          <w:bCs/>
        </w:rPr>
        <w:t xml:space="preserve">for the same </w:t>
      </w:r>
      <w:r w:rsidR="514FE9F3" w:rsidRPr="00131FD7">
        <w:rPr>
          <w:rFonts w:eastAsia="Times New Roman"/>
          <w:b/>
          <w:bCs/>
        </w:rPr>
        <w:t>countries where their activities take place</w:t>
      </w:r>
      <w:r w:rsidR="678F58E1" w:rsidRPr="00131FD7">
        <w:rPr>
          <w:rFonts w:eastAsia="Times New Roman"/>
          <w:b/>
          <w:bCs/>
        </w:rPr>
        <w:t>.</w:t>
      </w:r>
      <w:r w:rsidR="7A1D74CB" w:rsidRPr="00131FD7">
        <w:rPr>
          <w:rFonts w:eastAsia="Times New Roman"/>
          <w:b/>
          <w:bCs/>
        </w:rPr>
        <w:t xml:space="preserve"> </w:t>
      </w:r>
      <w:r w:rsidR="653459D1" w:rsidRPr="00131FD7">
        <w:rPr>
          <w:rFonts w:eastAsia="Times New Roman"/>
          <w:b/>
          <w:bCs/>
        </w:rPr>
        <w:t>T</w:t>
      </w:r>
      <w:r w:rsidR="7A1D74CB" w:rsidRPr="00131FD7">
        <w:rPr>
          <w:rFonts w:eastAsia="Times New Roman"/>
          <w:b/>
          <w:bCs/>
        </w:rPr>
        <w:t>he Committee reiterates</w:t>
      </w:r>
      <w:r w:rsidR="3D1CB18F" w:rsidRPr="00131FD7">
        <w:rPr>
          <w:rFonts w:eastAsia="Times New Roman"/>
          <w:b/>
          <w:bCs/>
        </w:rPr>
        <w:t xml:space="preserve"> </w:t>
      </w:r>
      <w:r w:rsidR="7A1D74CB" w:rsidRPr="00131FD7">
        <w:rPr>
          <w:rFonts w:eastAsia="Times New Roman"/>
          <w:b/>
          <w:bCs/>
        </w:rPr>
        <w:t>that in accordance with General Assembly resolution 67/226</w:t>
      </w:r>
      <w:r w:rsidR="00412940">
        <w:rPr>
          <w:rFonts w:eastAsia="Times New Roman"/>
          <w:b/>
          <w:bCs/>
        </w:rPr>
        <w:t xml:space="preserve"> of 21 December 2012 on the q</w:t>
      </w:r>
      <w:r w:rsidR="00412940" w:rsidRPr="00412940">
        <w:rPr>
          <w:rFonts w:eastAsia="Times New Roman"/>
          <w:b/>
          <w:bCs/>
        </w:rPr>
        <w:t>uadrennial comprehensive policy review of operational</w:t>
      </w:r>
      <w:r w:rsidR="00412940">
        <w:rPr>
          <w:rFonts w:eastAsia="Times New Roman"/>
          <w:b/>
          <w:bCs/>
        </w:rPr>
        <w:t xml:space="preserve"> </w:t>
      </w:r>
      <w:r w:rsidR="00412940" w:rsidRPr="00412940">
        <w:rPr>
          <w:rFonts w:eastAsia="Times New Roman"/>
          <w:b/>
          <w:bCs/>
        </w:rPr>
        <w:t>activities for development of the United Nations system</w:t>
      </w:r>
      <w:r w:rsidR="7A1D74CB" w:rsidRPr="00131FD7">
        <w:rPr>
          <w:rFonts w:eastAsia="Times New Roman"/>
          <w:b/>
          <w:bCs/>
        </w:rPr>
        <w:t>, the financing of all non-programme costs will be based on full cost recovery, proportionally from core and non-core funding sources</w:t>
      </w:r>
      <w:r w:rsidR="00A22247">
        <w:rPr>
          <w:rFonts w:eastAsia="Times New Roman"/>
          <w:b/>
          <w:bCs/>
        </w:rPr>
        <w:t>,</w:t>
      </w:r>
      <w:r w:rsidR="3C16EEA3" w:rsidRPr="00131FD7">
        <w:rPr>
          <w:rFonts w:eastAsia="Times New Roman"/>
          <w:b/>
          <w:bCs/>
        </w:rPr>
        <w:t xml:space="preserve"> and </w:t>
      </w:r>
      <w:r w:rsidR="7A1D74CB" w:rsidRPr="00131FD7">
        <w:rPr>
          <w:rFonts w:eastAsia="Times New Roman"/>
          <w:b/>
          <w:bCs/>
        </w:rPr>
        <w:t xml:space="preserve">that an update on the alignment of the cost-recovery </w:t>
      </w:r>
      <w:r w:rsidR="7A1D74CB" w:rsidRPr="00131FD7">
        <w:rPr>
          <w:rFonts w:eastAsia="Times New Roman"/>
          <w:b/>
          <w:bCs/>
        </w:rPr>
        <w:lastRenderedPageBreak/>
        <w:t>methodology with resolution 67/226 and the results of the independent and external assessment involving UNDP, UNFPA, UNICEF and UN</w:t>
      </w:r>
      <w:r w:rsidR="4486CC6A" w:rsidRPr="00131FD7">
        <w:rPr>
          <w:rFonts w:eastAsia="Times New Roman"/>
          <w:b/>
          <w:bCs/>
        </w:rPr>
        <w:t>-</w:t>
      </w:r>
      <w:r w:rsidR="7A1D74CB" w:rsidRPr="00131FD7">
        <w:rPr>
          <w:rFonts w:eastAsia="Times New Roman"/>
          <w:b/>
          <w:bCs/>
        </w:rPr>
        <w:t>Women will be provided to the Executive Board</w:t>
      </w:r>
      <w:r w:rsidR="7F9F9286" w:rsidRPr="00131FD7">
        <w:rPr>
          <w:rFonts w:eastAsia="Times New Roman"/>
          <w:b/>
          <w:bCs/>
        </w:rPr>
        <w:t xml:space="preserve">, as well as in </w:t>
      </w:r>
      <w:r w:rsidR="749B4A02" w:rsidRPr="00131FD7">
        <w:rPr>
          <w:rFonts w:eastAsia="Times New Roman"/>
          <w:b/>
          <w:bCs/>
        </w:rPr>
        <w:t>the</w:t>
      </w:r>
      <w:r w:rsidR="7F9F9286" w:rsidRPr="00131FD7">
        <w:rPr>
          <w:rFonts w:eastAsia="Times New Roman"/>
          <w:b/>
          <w:bCs/>
        </w:rPr>
        <w:t xml:space="preserve"> next </w:t>
      </w:r>
      <w:r w:rsidR="05A62813" w:rsidRPr="00131FD7">
        <w:rPr>
          <w:rFonts w:eastAsia="Times New Roman"/>
          <w:b/>
          <w:bCs/>
        </w:rPr>
        <w:t>budget</w:t>
      </w:r>
      <w:r w:rsidR="7F9F9286" w:rsidRPr="00131FD7">
        <w:rPr>
          <w:rFonts w:eastAsia="Times New Roman"/>
          <w:b/>
          <w:bCs/>
        </w:rPr>
        <w:t xml:space="preserve"> report</w:t>
      </w:r>
      <w:r w:rsidR="7A0EE59A" w:rsidRPr="00131FD7">
        <w:rPr>
          <w:rFonts w:eastAsia="Times New Roman"/>
          <w:b/>
          <w:bCs/>
        </w:rPr>
        <w:t xml:space="preserve"> (s</w:t>
      </w:r>
      <w:r w:rsidR="2AD1298D" w:rsidRPr="00131FD7">
        <w:rPr>
          <w:rFonts w:eastAsia="Times New Roman"/>
          <w:b/>
          <w:bCs/>
        </w:rPr>
        <w:t>e</w:t>
      </w:r>
      <w:r w:rsidR="7A0EE59A" w:rsidRPr="00131FD7">
        <w:rPr>
          <w:rFonts w:eastAsia="Times New Roman"/>
          <w:b/>
          <w:bCs/>
        </w:rPr>
        <w:t>e also DP/2017/40, paras.</w:t>
      </w:r>
      <w:r w:rsidR="5C99E579" w:rsidRPr="00131FD7">
        <w:rPr>
          <w:rFonts w:eastAsia="Times New Roman"/>
          <w:b/>
          <w:bCs/>
        </w:rPr>
        <w:t xml:space="preserve"> 13-18)</w:t>
      </w:r>
      <w:r w:rsidR="7F9F9286" w:rsidRPr="00131FD7">
        <w:rPr>
          <w:rFonts w:eastAsia="Times New Roman"/>
          <w:b/>
          <w:bCs/>
        </w:rPr>
        <w:t xml:space="preserve">. </w:t>
      </w:r>
      <w:r w:rsidR="0C3A4483" w:rsidRPr="00131FD7">
        <w:rPr>
          <w:rFonts w:eastAsia="Times New Roman"/>
          <w:b/>
          <w:bCs/>
        </w:rPr>
        <w:t xml:space="preserve"> Furthermore, t</w:t>
      </w:r>
      <w:r w:rsidR="7F9F9286" w:rsidRPr="00131FD7">
        <w:rPr>
          <w:rFonts w:eastAsia="Times New Roman"/>
          <w:b/>
          <w:bCs/>
        </w:rPr>
        <w:t>he Commit</w:t>
      </w:r>
      <w:r w:rsidR="002050FD" w:rsidRPr="00131FD7">
        <w:rPr>
          <w:rFonts w:eastAsia="Times New Roman"/>
          <w:b/>
          <w:bCs/>
        </w:rPr>
        <w:t>t</w:t>
      </w:r>
      <w:r w:rsidR="7F9F9286" w:rsidRPr="00131FD7">
        <w:rPr>
          <w:rFonts w:eastAsia="Times New Roman"/>
          <w:b/>
          <w:bCs/>
        </w:rPr>
        <w:t xml:space="preserve">ee </w:t>
      </w:r>
      <w:r w:rsidR="63E44DC8" w:rsidRPr="00131FD7">
        <w:rPr>
          <w:rFonts w:eastAsia="Times New Roman"/>
          <w:b/>
          <w:bCs/>
        </w:rPr>
        <w:t>is of the view</w:t>
      </w:r>
      <w:r w:rsidR="7F9F9286" w:rsidRPr="00131FD7">
        <w:rPr>
          <w:rFonts w:eastAsia="Times New Roman"/>
          <w:b/>
          <w:bCs/>
        </w:rPr>
        <w:t xml:space="preserve"> that </w:t>
      </w:r>
      <w:r w:rsidR="0F420632" w:rsidRPr="00131FD7">
        <w:rPr>
          <w:rFonts w:eastAsia="Times New Roman"/>
          <w:b/>
          <w:bCs/>
        </w:rPr>
        <w:t>the</w:t>
      </w:r>
      <w:r w:rsidR="7F9F9286" w:rsidRPr="00131FD7">
        <w:rPr>
          <w:rFonts w:eastAsia="Times New Roman"/>
          <w:b/>
          <w:bCs/>
        </w:rPr>
        <w:t xml:space="preserve"> alignment of </w:t>
      </w:r>
      <w:r w:rsidR="5D2DABB8" w:rsidRPr="00131FD7">
        <w:rPr>
          <w:rFonts w:eastAsia="Times New Roman"/>
          <w:b/>
          <w:bCs/>
        </w:rPr>
        <w:t xml:space="preserve">the </w:t>
      </w:r>
      <w:r w:rsidR="7F9F9286" w:rsidRPr="00131FD7">
        <w:rPr>
          <w:rFonts w:eastAsia="Times New Roman"/>
          <w:b/>
          <w:bCs/>
        </w:rPr>
        <w:t>cost</w:t>
      </w:r>
      <w:r w:rsidR="00A22247">
        <w:rPr>
          <w:rFonts w:eastAsia="Times New Roman"/>
          <w:b/>
          <w:bCs/>
        </w:rPr>
        <w:t>-recovery</w:t>
      </w:r>
      <w:r w:rsidR="7F9F9286" w:rsidRPr="00131FD7">
        <w:rPr>
          <w:rFonts w:eastAsia="Times New Roman"/>
          <w:b/>
          <w:bCs/>
        </w:rPr>
        <w:t xml:space="preserve"> methodology </w:t>
      </w:r>
      <w:r w:rsidR="5508208A" w:rsidRPr="00131FD7">
        <w:rPr>
          <w:rFonts w:eastAsia="Times New Roman"/>
          <w:b/>
          <w:bCs/>
        </w:rPr>
        <w:t>among</w:t>
      </w:r>
      <w:r w:rsidR="63B4FB57" w:rsidRPr="00131FD7">
        <w:rPr>
          <w:rFonts w:eastAsia="Times New Roman"/>
          <w:b/>
          <w:bCs/>
        </w:rPr>
        <w:t xml:space="preserve"> </w:t>
      </w:r>
      <w:r w:rsidR="7F9F9286" w:rsidRPr="00131FD7">
        <w:rPr>
          <w:rFonts w:eastAsia="Times New Roman"/>
          <w:b/>
          <w:bCs/>
        </w:rPr>
        <w:t xml:space="preserve">UNDP, UNFPA, </w:t>
      </w:r>
      <w:r w:rsidR="00A22247">
        <w:rPr>
          <w:rFonts w:eastAsia="Times New Roman"/>
          <w:b/>
          <w:bCs/>
        </w:rPr>
        <w:t xml:space="preserve">UNICEF and </w:t>
      </w:r>
      <w:r w:rsidR="7F9F9286" w:rsidRPr="00131FD7">
        <w:rPr>
          <w:rFonts w:eastAsia="Times New Roman"/>
          <w:b/>
          <w:bCs/>
        </w:rPr>
        <w:t>UN-</w:t>
      </w:r>
      <w:r w:rsidR="0743AAAF" w:rsidRPr="00131FD7">
        <w:rPr>
          <w:rFonts w:eastAsia="Times New Roman"/>
          <w:b/>
          <w:bCs/>
        </w:rPr>
        <w:t>Women</w:t>
      </w:r>
      <w:r w:rsidR="7F9F9286" w:rsidRPr="00131FD7">
        <w:rPr>
          <w:rFonts w:eastAsia="Times New Roman"/>
          <w:b/>
          <w:bCs/>
        </w:rPr>
        <w:t xml:space="preserve"> should be coordinated</w:t>
      </w:r>
      <w:r w:rsidR="32D1668A" w:rsidRPr="00131FD7">
        <w:rPr>
          <w:rFonts w:eastAsia="Times New Roman"/>
          <w:b/>
          <w:bCs/>
        </w:rPr>
        <w:t xml:space="preserve"> by the respective Executive Boards</w:t>
      </w:r>
      <w:r w:rsidR="7F9F9286" w:rsidRPr="00131FD7">
        <w:rPr>
          <w:rFonts w:eastAsia="Times New Roman"/>
          <w:b/>
          <w:bCs/>
        </w:rPr>
        <w:t xml:space="preserve"> under </w:t>
      </w:r>
      <w:r w:rsidR="1411C1BF" w:rsidRPr="00131FD7">
        <w:rPr>
          <w:rFonts w:eastAsia="Times New Roman"/>
          <w:b/>
          <w:bCs/>
        </w:rPr>
        <w:t>the</w:t>
      </w:r>
      <w:r w:rsidR="7F9F9286" w:rsidRPr="00131FD7">
        <w:rPr>
          <w:rFonts w:eastAsia="Times New Roman"/>
          <w:b/>
          <w:bCs/>
        </w:rPr>
        <w:t xml:space="preserve"> ausp</w:t>
      </w:r>
      <w:r w:rsidR="54C39815" w:rsidRPr="00131FD7">
        <w:rPr>
          <w:rFonts w:eastAsia="Times New Roman"/>
          <w:b/>
          <w:bCs/>
        </w:rPr>
        <w:t>i</w:t>
      </w:r>
      <w:r w:rsidR="7F9F9286" w:rsidRPr="00131FD7">
        <w:rPr>
          <w:rFonts w:eastAsia="Times New Roman"/>
          <w:b/>
          <w:bCs/>
        </w:rPr>
        <w:t xml:space="preserve">ces </w:t>
      </w:r>
      <w:r w:rsidR="006D0326" w:rsidRPr="00131FD7">
        <w:rPr>
          <w:rFonts w:eastAsia="Times New Roman"/>
          <w:b/>
          <w:bCs/>
        </w:rPr>
        <w:t xml:space="preserve">of the United Nations </w:t>
      </w:r>
      <w:r w:rsidR="00A22247">
        <w:rPr>
          <w:rFonts w:eastAsia="Times New Roman"/>
          <w:b/>
          <w:bCs/>
        </w:rPr>
        <w:t xml:space="preserve">System </w:t>
      </w:r>
      <w:r w:rsidR="006D0326" w:rsidRPr="00131FD7">
        <w:rPr>
          <w:rFonts w:eastAsia="Times New Roman"/>
          <w:b/>
          <w:bCs/>
        </w:rPr>
        <w:t xml:space="preserve">Chief </w:t>
      </w:r>
      <w:r w:rsidR="7F5CA812" w:rsidRPr="00131FD7">
        <w:rPr>
          <w:rFonts w:eastAsia="Times New Roman"/>
          <w:b/>
          <w:bCs/>
        </w:rPr>
        <w:t>Executives</w:t>
      </w:r>
      <w:r w:rsidR="006D0326" w:rsidRPr="00131FD7">
        <w:rPr>
          <w:rFonts w:eastAsia="Times New Roman"/>
          <w:b/>
          <w:bCs/>
        </w:rPr>
        <w:t xml:space="preserve"> Board</w:t>
      </w:r>
      <w:r w:rsidR="00A22247">
        <w:rPr>
          <w:rFonts w:eastAsia="Times New Roman"/>
          <w:b/>
          <w:bCs/>
        </w:rPr>
        <w:t xml:space="preserve"> for Coordination</w:t>
      </w:r>
      <w:r w:rsidR="47B2FB0F" w:rsidRPr="00131FD7">
        <w:rPr>
          <w:rFonts w:eastAsia="Times New Roman"/>
          <w:b/>
          <w:bCs/>
        </w:rPr>
        <w:t xml:space="preserve">. </w:t>
      </w:r>
    </w:p>
    <w:p w14:paraId="64A92C36" w14:textId="5804C58F" w:rsidR="00B115D1" w:rsidRPr="00744DE7" w:rsidRDefault="00744DE7" w:rsidP="00131FD7">
      <w:pPr>
        <w:tabs>
          <w:tab w:val="left" w:pos="1620"/>
          <w:tab w:val="left" w:pos="8820"/>
        </w:tabs>
        <w:suppressAutoHyphens w:val="0"/>
        <w:spacing w:after="120" w:line="240" w:lineRule="auto"/>
        <w:ind w:left="1260" w:right="1200"/>
        <w:jc w:val="both"/>
        <w:rPr>
          <w:b/>
          <w:bCs/>
          <w:sz w:val="24"/>
          <w:szCs w:val="24"/>
        </w:rPr>
      </w:pPr>
      <w:r w:rsidRPr="00744DE7">
        <w:rPr>
          <w:b/>
          <w:bCs/>
          <w:sz w:val="24"/>
          <w:szCs w:val="24"/>
        </w:rPr>
        <w:t xml:space="preserve">C. </w:t>
      </w:r>
      <w:r w:rsidR="4FAFE7A2" w:rsidRPr="00744DE7">
        <w:rPr>
          <w:b/>
          <w:bCs/>
          <w:sz w:val="24"/>
          <w:szCs w:val="24"/>
        </w:rPr>
        <w:t>Staffing</w:t>
      </w:r>
      <w:r w:rsidR="00682286" w:rsidRPr="00744DE7">
        <w:rPr>
          <w:b/>
          <w:bCs/>
          <w:sz w:val="24"/>
          <w:szCs w:val="24"/>
        </w:rPr>
        <w:t xml:space="preserve"> </w:t>
      </w:r>
    </w:p>
    <w:p w14:paraId="61232489" w14:textId="04CFFEA9" w:rsidR="000439D9" w:rsidRPr="00131FD7" w:rsidRDefault="1E9A4C6F" w:rsidP="00DA291E">
      <w:pPr>
        <w:tabs>
          <w:tab w:val="left" w:pos="1620"/>
          <w:tab w:val="left" w:pos="8820"/>
        </w:tabs>
        <w:spacing w:after="120" w:line="240" w:lineRule="auto"/>
        <w:ind w:left="1260" w:right="1200"/>
        <w:jc w:val="both"/>
        <w:rPr>
          <w:b/>
          <w:bCs/>
        </w:rPr>
      </w:pPr>
      <w:r w:rsidRPr="00131FD7">
        <w:t>1</w:t>
      </w:r>
      <w:r w:rsidR="002B1863" w:rsidRPr="00131FD7">
        <w:t>4</w:t>
      </w:r>
      <w:r w:rsidR="63CAE201" w:rsidRPr="00131FD7">
        <w:t>.</w:t>
      </w:r>
      <w:r w:rsidR="000439D9" w:rsidRPr="00131FD7">
        <w:tab/>
      </w:r>
      <w:r w:rsidR="783E52A7" w:rsidRPr="00131FD7">
        <w:t xml:space="preserve">Upon enquiry, the Advisory Committee was provided with a </w:t>
      </w:r>
      <w:r w:rsidR="059B3A1E" w:rsidRPr="00131FD7">
        <w:t xml:space="preserve">table of all UNDP staff, showing that as </w:t>
      </w:r>
      <w:r w:rsidR="059B3A1E" w:rsidRPr="002A2BDC">
        <w:t>at</w:t>
      </w:r>
      <w:r w:rsidR="059B3A1E" w:rsidRPr="00131FD7">
        <w:t xml:space="preserve"> </w:t>
      </w:r>
      <w:r w:rsidR="1D1FBF1D" w:rsidRPr="00131FD7">
        <w:t>31 July 2021</w:t>
      </w:r>
      <w:r w:rsidR="7059E9D8" w:rsidRPr="00131FD7">
        <w:t xml:space="preserve">, </w:t>
      </w:r>
      <w:r w:rsidR="55B44682" w:rsidRPr="00131FD7">
        <w:t xml:space="preserve">the following </w:t>
      </w:r>
      <w:r w:rsidR="54EF1D9E" w:rsidRPr="00131FD7">
        <w:t>incumbency</w:t>
      </w:r>
      <w:r w:rsidR="7C4472EE" w:rsidRPr="00131FD7">
        <w:t xml:space="preserve"> of a total of 20,697 persons</w:t>
      </w:r>
      <w:r w:rsidR="55B44682" w:rsidRPr="00131FD7">
        <w:t xml:space="preserve">: (a) 7,605 international </w:t>
      </w:r>
      <w:r w:rsidR="5C1ADCE6" w:rsidRPr="00131FD7">
        <w:t>and</w:t>
      </w:r>
      <w:r w:rsidR="55B44682" w:rsidRPr="00131FD7">
        <w:t xml:space="preserve"> nation</w:t>
      </w:r>
      <w:r w:rsidR="068B35DB" w:rsidRPr="00131FD7">
        <w:t>al</w:t>
      </w:r>
      <w:r w:rsidR="55B44682" w:rsidRPr="00131FD7">
        <w:t xml:space="preserve"> staff</w:t>
      </w:r>
      <w:r w:rsidR="121FF7DB" w:rsidRPr="00131FD7">
        <w:t>; (b) 10,473 individuals employed under service contract</w:t>
      </w:r>
      <w:r w:rsidR="72CC616F" w:rsidRPr="00131FD7">
        <w:t>s</w:t>
      </w:r>
      <w:r w:rsidR="121FF7DB" w:rsidRPr="00131FD7">
        <w:t xml:space="preserve">; (c) </w:t>
      </w:r>
      <w:r w:rsidR="7DBB6519" w:rsidRPr="00131FD7">
        <w:t xml:space="preserve">2,154 United Nations Volunteers; (d) 268 interns; </w:t>
      </w:r>
      <w:r w:rsidR="0E3684B4" w:rsidRPr="00131FD7">
        <w:t xml:space="preserve">and </w:t>
      </w:r>
      <w:r w:rsidR="002A2BDC" w:rsidRPr="00131FD7">
        <w:t xml:space="preserve">(e) </w:t>
      </w:r>
      <w:r w:rsidR="7DBB6519" w:rsidRPr="00131FD7">
        <w:t xml:space="preserve">197 </w:t>
      </w:r>
      <w:r w:rsidR="65ADA1EF" w:rsidRPr="00131FD7">
        <w:t>individuals</w:t>
      </w:r>
      <w:r w:rsidR="7DBB6519" w:rsidRPr="00131FD7">
        <w:t xml:space="preserve"> emplo</w:t>
      </w:r>
      <w:r w:rsidR="27B892FB" w:rsidRPr="00131FD7">
        <w:t>yed under personnel service agreements</w:t>
      </w:r>
      <w:r w:rsidR="031AE16A" w:rsidRPr="00131FD7">
        <w:t xml:space="preserve"> (see annex to the present report)</w:t>
      </w:r>
      <w:r w:rsidR="5BD6D5BA" w:rsidRPr="00131FD7">
        <w:t>.</w:t>
      </w:r>
      <w:r w:rsidR="059B3A1E" w:rsidRPr="00131FD7">
        <w:t xml:space="preserve"> </w:t>
      </w:r>
      <w:r w:rsidR="2D0D98EF" w:rsidRPr="00131FD7">
        <w:rPr>
          <w:b/>
          <w:bCs/>
        </w:rPr>
        <w:t xml:space="preserve"> The Advisory Committee requests that</w:t>
      </w:r>
      <w:r w:rsidR="391FFC5E" w:rsidRPr="00131FD7">
        <w:rPr>
          <w:b/>
          <w:bCs/>
        </w:rPr>
        <w:t xml:space="preserve"> the aforementioned table be </w:t>
      </w:r>
      <w:r w:rsidR="57971A21" w:rsidRPr="00131FD7">
        <w:rPr>
          <w:b/>
          <w:bCs/>
        </w:rPr>
        <w:t>present</w:t>
      </w:r>
      <w:r w:rsidR="391FFC5E" w:rsidRPr="00131FD7">
        <w:rPr>
          <w:b/>
          <w:bCs/>
        </w:rPr>
        <w:t xml:space="preserve">ed in future budget reports, starting </w:t>
      </w:r>
      <w:r w:rsidR="21123934" w:rsidRPr="00131FD7">
        <w:rPr>
          <w:b/>
          <w:bCs/>
        </w:rPr>
        <w:t>w</w:t>
      </w:r>
      <w:r w:rsidR="391FFC5E" w:rsidRPr="00131FD7">
        <w:rPr>
          <w:b/>
          <w:bCs/>
        </w:rPr>
        <w:t>ith the next midterm review, and will include a column showing comparative data.</w:t>
      </w:r>
    </w:p>
    <w:p w14:paraId="15EE46A7" w14:textId="78871732" w:rsidR="000439D9" w:rsidRPr="00131FD7" w:rsidRDefault="308BB719" w:rsidP="00DA291E">
      <w:pPr>
        <w:tabs>
          <w:tab w:val="left" w:pos="1620"/>
          <w:tab w:val="left" w:pos="8820"/>
        </w:tabs>
        <w:spacing w:after="120" w:line="240" w:lineRule="auto"/>
        <w:ind w:left="1260" w:right="1200"/>
        <w:jc w:val="both"/>
      </w:pPr>
      <w:r w:rsidRPr="00131FD7">
        <w:t>1</w:t>
      </w:r>
      <w:r w:rsidR="002B1863" w:rsidRPr="00131FD7">
        <w:t>5</w:t>
      </w:r>
      <w:r w:rsidR="715E4B2B" w:rsidRPr="00131FD7">
        <w:t>.</w:t>
      </w:r>
      <w:r w:rsidR="000439D9" w:rsidRPr="00131FD7">
        <w:tab/>
      </w:r>
      <w:r w:rsidR="139402D0" w:rsidRPr="00131FD7">
        <w:t>Section D of the budget report indicates that as in the past, the integrated budget for 2022-2025</w:t>
      </w:r>
      <w:r w:rsidR="574B4776" w:rsidRPr="00131FD7">
        <w:t xml:space="preserve"> also</w:t>
      </w:r>
      <w:r w:rsidR="139402D0" w:rsidRPr="00131FD7">
        <w:t xml:space="preserve"> incorporates a strategy for financing personnel costs at grade P-5 and below in a manner that more accurately reflects the results framework</w:t>
      </w:r>
      <w:r w:rsidR="5BCBAD0A" w:rsidRPr="00131FD7">
        <w:t>. T</w:t>
      </w:r>
      <w:r w:rsidR="1486FD9C" w:rsidRPr="00131FD7">
        <w:t xml:space="preserve">he number of </w:t>
      </w:r>
      <w:r w:rsidR="002A2BDC">
        <w:t xml:space="preserve">positions at </w:t>
      </w:r>
      <w:r w:rsidR="1486FD9C" w:rsidRPr="00131FD7">
        <w:t>D-1</w:t>
      </w:r>
      <w:r w:rsidR="002A2BDC">
        <w:t xml:space="preserve"> level</w:t>
      </w:r>
      <w:r w:rsidR="1486FD9C" w:rsidRPr="00131FD7">
        <w:t xml:space="preserve"> and above w</w:t>
      </w:r>
      <w:r w:rsidR="7037D553" w:rsidRPr="00131FD7">
        <w:t>ould</w:t>
      </w:r>
      <w:r w:rsidR="1486FD9C" w:rsidRPr="00131FD7">
        <w:t xml:space="preserve"> </w:t>
      </w:r>
      <w:r w:rsidR="139402D0" w:rsidRPr="00131FD7">
        <w:t xml:space="preserve">remain </w:t>
      </w:r>
      <w:r w:rsidR="3B9418AB" w:rsidRPr="00131FD7">
        <w:t>below those</w:t>
      </w:r>
      <w:r w:rsidR="31FA2344" w:rsidRPr="00131FD7">
        <w:t xml:space="preserve"> of</w:t>
      </w:r>
      <w:r w:rsidR="139402D0" w:rsidRPr="00131FD7">
        <w:t xml:space="preserve"> the approved integrated budget for 2018-2021</w:t>
      </w:r>
      <w:r w:rsidR="1FA4822C" w:rsidRPr="00131FD7">
        <w:t xml:space="preserve">, as also indicated in </w:t>
      </w:r>
      <w:r w:rsidR="139402D0" w:rsidRPr="00131FD7">
        <w:t>annex I</w:t>
      </w:r>
      <w:r w:rsidR="70303FCB" w:rsidRPr="00131FD7">
        <w:t>, table 4d to the budget report</w:t>
      </w:r>
      <w:r w:rsidR="202D3B91" w:rsidRPr="00131FD7">
        <w:t xml:space="preserve">, </w:t>
      </w:r>
      <w:r w:rsidR="196F5E56" w:rsidRPr="00131FD7">
        <w:t xml:space="preserve">for a total of 234 positions (258 positions in 2018-2021), </w:t>
      </w:r>
      <w:r w:rsidR="202D3B91" w:rsidRPr="00131FD7">
        <w:t xml:space="preserve">as follows: (a) 10 </w:t>
      </w:r>
      <w:r w:rsidR="002A2BDC">
        <w:t xml:space="preserve">Under-Secretary-General </w:t>
      </w:r>
      <w:r w:rsidR="202D3B91" w:rsidRPr="00131FD7">
        <w:t xml:space="preserve">and </w:t>
      </w:r>
      <w:r w:rsidR="002A2BDC">
        <w:t xml:space="preserve">Assistant Secretary-General </w:t>
      </w:r>
      <w:r w:rsidR="202D3B91" w:rsidRPr="00131FD7">
        <w:t xml:space="preserve">positions (unchanged from 2018-2021); (b) </w:t>
      </w:r>
      <w:r w:rsidR="0E279796" w:rsidRPr="00131FD7">
        <w:t>5</w:t>
      </w:r>
      <w:r w:rsidR="202D3B91" w:rsidRPr="00131FD7">
        <w:t>9 D-2 posi</w:t>
      </w:r>
      <w:r w:rsidR="1FA7FF86" w:rsidRPr="00131FD7">
        <w:t>tions (</w:t>
      </w:r>
      <w:r w:rsidR="4665E663" w:rsidRPr="00131FD7">
        <w:t>71 D-2 positions in 2018-2021);</w:t>
      </w:r>
      <w:r w:rsidR="716B78C1" w:rsidRPr="00131FD7">
        <w:t xml:space="preserve"> and </w:t>
      </w:r>
      <w:r w:rsidR="4665E663" w:rsidRPr="00131FD7">
        <w:t xml:space="preserve">(c) 164 D-1 positions (177 D-1 </w:t>
      </w:r>
      <w:r w:rsidR="00665D79" w:rsidRPr="00131FD7">
        <w:t>positions</w:t>
      </w:r>
      <w:r w:rsidR="00687198" w:rsidRPr="00131FD7">
        <w:t xml:space="preserve"> </w:t>
      </w:r>
      <w:r w:rsidR="4665E663" w:rsidRPr="00131FD7">
        <w:t>in 2018-2021)</w:t>
      </w:r>
      <w:r w:rsidR="1FD5F4BA" w:rsidRPr="00131FD7">
        <w:t>.</w:t>
      </w:r>
    </w:p>
    <w:p w14:paraId="318D6BB5" w14:textId="1438FD9A" w:rsidR="000439D9" w:rsidRPr="00131FD7" w:rsidRDefault="00B4A98B" w:rsidP="00131FD7">
      <w:pPr>
        <w:tabs>
          <w:tab w:val="left" w:pos="1620"/>
          <w:tab w:val="left" w:pos="8820"/>
        </w:tabs>
        <w:spacing w:after="120" w:line="240" w:lineRule="auto"/>
        <w:ind w:left="1260" w:right="1200"/>
        <w:jc w:val="both"/>
      </w:pPr>
      <w:r w:rsidRPr="00131FD7">
        <w:t>1</w:t>
      </w:r>
      <w:r w:rsidR="002B1863" w:rsidRPr="00131FD7">
        <w:t>6</w:t>
      </w:r>
      <w:r w:rsidR="1FD5F4BA" w:rsidRPr="00131FD7">
        <w:t>.</w:t>
      </w:r>
      <w:r w:rsidR="000439D9" w:rsidRPr="00131FD7">
        <w:tab/>
      </w:r>
      <w:r w:rsidR="6AB59B77" w:rsidRPr="00131FD7">
        <w:t>Upon enquiry, the Advisory Committee was informed that b</w:t>
      </w:r>
      <w:r w:rsidR="2A850496" w:rsidRPr="00131FD7">
        <w:t xml:space="preserve">etween 2012 and 2021, </w:t>
      </w:r>
      <w:r w:rsidR="32FB7ECC" w:rsidRPr="00131FD7">
        <w:t xml:space="preserve">the number of </w:t>
      </w:r>
      <w:r w:rsidR="2A850496" w:rsidRPr="00131FD7">
        <w:t>UNDP</w:t>
      </w:r>
      <w:r w:rsidR="50DD41DF" w:rsidRPr="00131FD7">
        <w:t xml:space="preserve"> international and national</w:t>
      </w:r>
      <w:r w:rsidR="2A850496" w:rsidRPr="00131FD7">
        <w:t xml:space="preserve"> staff </w:t>
      </w:r>
      <w:r w:rsidR="002A2BDC">
        <w:t>has</w:t>
      </w:r>
      <w:r w:rsidR="002A2BDC" w:rsidRPr="00131FD7">
        <w:t xml:space="preserve"> </w:t>
      </w:r>
      <w:r w:rsidR="2A850496" w:rsidRPr="00131FD7">
        <w:t>decreased from 8,088 to 7,611</w:t>
      </w:r>
      <w:r w:rsidR="49A2EEDF" w:rsidRPr="00131FD7">
        <w:t>,</w:t>
      </w:r>
      <w:r w:rsidR="2A850496" w:rsidRPr="00131FD7">
        <w:t xml:space="preserve"> while </w:t>
      </w:r>
      <w:r w:rsidR="3602BDF1" w:rsidRPr="00131FD7">
        <w:t xml:space="preserve">the number of individuals employed under </w:t>
      </w:r>
      <w:r w:rsidR="2A850496" w:rsidRPr="00131FD7">
        <w:t>service contracts increased from 8</w:t>
      </w:r>
      <w:r w:rsidR="00E31903">
        <w:t>,</w:t>
      </w:r>
      <w:r w:rsidR="2A850496" w:rsidRPr="00131FD7">
        <w:t>695 to 10,473, and</w:t>
      </w:r>
      <w:r w:rsidR="7782C83F" w:rsidRPr="00131FD7">
        <w:t xml:space="preserve"> the number of United Nations Volunteers </w:t>
      </w:r>
      <w:r w:rsidR="2A850496" w:rsidRPr="00131FD7">
        <w:t>increased from 1,149 to 2,154, as follows:</w:t>
      </w:r>
    </w:p>
    <w:p w14:paraId="0189ABB6" w14:textId="1F6E3D1F" w:rsidR="000439D9" w:rsidRPr="00131FD7" w:rsidRDefault="31FA4AE6" w:rsidP="00131FD7">
      <w:pPr>
        <w:tabs>
          <w:tab w:val="left" w:pos="1620"/>
          <w:tab w:val="left" w:pos="8820"/>
        </w:tabs>
        <w:spacing w:line="240" w:lineRule="auto"/>
        <w:ind w:left="1260" w:right="1200"/>
        <w:jc w:val="both"/>
        <w:rPr>
          <w:b/>
          <w:bCs/>
        </w:rPr>
      </w:pPr>
      <w:r w:rsidRPr="00131FD7">
        <w:rPr>
          <w:b/>
          <w:bCs/>
        </w:rPr>
        <w:t>Table 5</w:t>
      </w:r>
    </w:p>
    <w:p w14:paraId="1A9C1B5E" w14:textId="6965AA80" w:rsidR="000439D9" w:rsidRPr="00131FD7" w:rsidRDefault="65C63201" w:rsidP="00131FD7">
      <w:pPr>
        <w:tabs>
          <w:tab w:val="left" w:pos="1620"/>
          <w:tab w:val="left" w:pos="8820"/>
        </w:tabs>
        <w:spacing w:line="240" w:lineRule="auto"/>
        <w:ind w:left="1260" w:right="1200"/>
        <w:jc w:val="both"/>
        <w:rPr>
          <w:b/>
          <w:bCs/>
        </w:rPr>
      </w:pPr>
      <w:r w:rsidRPr="00131FD7">
        <w:rPr>
          <w:b/>
          <w:bCs/>
        </w:rPr>
        <w:t>Evolution of incumbency</w:t>
      </w:r>
      <w:r w:rsidR="00E31903">
        <w:rPr>
          <w:b/>
          <w:bCs/>
        </w:rPr>
        <w:t>,</w:t>
      </w:r>
      <w:r w:rsidRPr="00131FD7">
        <w:rPr>
          <w:b/>
          <w:bCs/>
        </w:rPr>
        <w:t xml:space="preserve"> 2012 to 2021</w:t>
      </w:r>
    </w:p>
    <w:tbl>
      <w:tblPr>
        <w:tblStyle w:val="TableGrid"/>
        <w:tblW w:w="0" w:type="auto"/>
        <w:tblInd w:w="1385" w:type="dxa"/>
        <w:tblLayout w:type="fixed"/>
        <w:tblLook w:val="06A0" w:firstRow="1" w:lastRow="0" w:firstColumn="1" w:lastColumn="0" w:noHBand="1" w:noVBand="1"/>
      </w:tblPr>
      <w:tblGrid>
        <w:gridCol w:w="945"/>
        <w:gridCol w:w="945"/>
        <w:gridCol w:w="945"/>
        <w:gridCol w:w="1605"/>
        <w:gridCol w:w="1395"/>
        <w:gridCol w:w="1245"/>
      </w:tblGrid>
      <w:tr w:rsidR="56BAB897" w:rsidRPr="00131FD7" w14:paraId="6E35EBEA" w14:textId="77777777" w:rsidTr="00131FD7">
        <w:trPr>
          <w:trHeight w:val="300"/>
        </w:trPr>
        <w:tc>
          <w:tcPr>
            <w:tcW w:w="945" w:type="dxa"/>
            <w:tcBorders>
              <w:top w:val="nil"/>
              <w:left w:val="nil"/>
              <w:bottom w:val="nil"/>
              <w:right w:val="nil"/>
            </w:tcBorders>
            <w:vAlign w:val="bottom"/>
          </w:tcPr>
          <w:p w14:paraId="6FF6C9A0" w14:textId="1B3777BC" w:rsidR="56BAB897" w:rsidRPr="00131FD7" w:rsidRDefault="56BAB897" w:rsidP="00914946">
            <w:pPr>
              <w:spacing w:line="240" w:lineRule="auto"/>
            </w:pPr>
          </w:p>
        </w:tc>
        <w:tc>
          <w:tcPr>
            <w:tcW w:w="945" w:type="dxa"/>
            <w:tcBorders>
              <w:top w:val="nil"/>
              <w:left w:val="nil"/>
              <w:bottom w:val="nil"/>
              <w:right w:val="nil"/>
            </w:tcBorders>
            <w:vAlign w:val="bottom"/>
          </w:tcPr>
          <w:p w14:paraId="51109E31" w14:textId="463E07CD" w:rsidR="56BAB897" w:rsidRPr="00131FD7" w:rsidRDefault="56BAB897" w:rsidP="00914946">
            <w:pPr>
              <w:spacing w:line="240" w:lineRule="auto"/>
            </w:pPr>
          </w:p>
        </w:tc>
        <w:tc>
          <w:tcPr>
            <w:tcW w:w="945" w:type="dxa"/>
            <w:tcBorders>
              <w:top w:val="nil"/>
              <w:left w:val="nil"/>
              <w:bottom w:val="nil"/>
              <w:right w:val="nil"/>
            </w:tcBorders>
            <w:vAlign w:val="bottom"/>
          </w:tcPr>
          <w:p w14:paraId="337D9D09" w14:textId="4809E6B1" w:rsidR="56BAB897" w:rsidRPr="00131FD7" w:rsidRDefault="56BAB897" w:rsidP="00914946">
            <w:pPr>
              <w:spacing w:line="240" w:lineRule="auto"/>
            </w:pPr>
          </w:p>
        </w:tc>
        <w:tc>
          <w:tcPr>
            <w:tcW w:w="1605" w:type="dxa"/>
            <w:tcBorders>
              <w:top w:val="nil"/>
              <w:left w:val="nil"/>
              <w:bottom w:val="nil"/>
              <w:right w:val="nil"/>
            </w:tcBorders>
            <w:vAlign w:val="bottom"/>
          </w:tcPr>
          <w:p w14:paraId="03427246" w14:textId="6AEE8126" w:rsidR="56BAB897" w:rsidRPr="00131FD7" w:rsidRDefault="56BAB897" w:rsidP="00914946">
            <w:pPr>
              <w:spacing w:line="240" w:lineRule="auto"/>
            </w:pPr>
          </w:p>
        </w:tc>
        <w:tc>
          <w:tcPr>
            <w:tcW w:w="1395" w:type="dxa"/>
            <w:tcBorders>
              <w:top w:val="nil"/>
              <w:left w:val="nil"/>
              <w:bottom w:val="nil"/>
              <w:right w:val="nil"/>
            </w:tcBorders>
            <w:vAlign w:val="bottom"/>
          </w:tcPr>
          <w:p w14:paraId="056F0112" w14:textId="3C3B7F1E" w:rsidR="56BAB897" w:rsidRPr="00131FD7" w:rsidRDefault="56BAB897" w:rsidP="00914946">
            <w:pPr>
              <w:spacing w:line="240" w:lineRule="auto"/>
            </w:pPr>
          </w:p>
        </w:tc>
        <w:tc>
          <w:tcPr>
            <w:tcW w:w="1245" w:type="dxa"/>
            <w:tcBorders>
              <w:top w:val="nil"/>
              <w:left w:val="nil"/>
              <w:bottom w:val="nil"/>
              <w:right w:val="nil"/>
            </w:tcBorders>
            <w:vAlign w:val="bottom"/>
          </w:tcPr>
          <w:p w14:paraId="1856223D" w14:textId="715D29B0" w:rsidR="56BAB897" w:rsidRPr="00131FD7" w:rsidRDefault="56BAB897" w:rsidP="00914946">
            <w:pPr>
              <w:spacing w:line="240" w:lineRule="auto"/>
            </w:pPr>
          </w:p>
        </w:tc>
      </w:tr>
      <w:tr w:rsidR="56BAB897" w:rsidRPr="00131FD7" w14:paraId="4A16F106" w14:textId="77777777" w:rsidTr="00131FD7">
        <w:trPr>
          <w:trHeight w:val="300"/>
        </w:trPr>
        <w:tc>
          <w:tcPr>
            <w:tcW w:w="945" w:type="dxa"/>
            <w:tcBorders>
              <w:top w:val="nil"/>
              <w:left w:val="nil"/>
              <w:bottom w:val="nil"/>
              <w:right w:val="nil"/>
            </w:tcBorders>
            <w:vAlign w:val="bottom"/>
          </w:tcPr>
          <w:p w14:paraId="3C4A463F" w14:textId="2B5D3EEF" w:rsidR="56BAB897" w:rsidRPr="00131FD7" w:rsidRDefault="56BAB897" w:rsidP="00914946">
            <w:pPr>
              <w:spacing w:line="240" w:lineRule="auto"/>
              <w:rPr>
                <w:rFonts w:eastAsia="Calibri"/>
                <w:color w:val="000000" w:themeColor="text1"/>
              </w:rPr>
            </w:pPr>
            <w:r w:rsidRPr="00131FD7">
              <w:rPr>
                <w:rFonts w:eastAsia="Calibri"/>
                <w:b/>
                <w:bCs/>
                <w:color w:val="000000" w:themeColor="text1"/>
              </w:rPr>
              <w:t>Year</w:t>
            </w:r>
          </w:p>
        </w:tc>
        <w:tc>
          <w:tcPr>
            <w:tcW w:w="945" w:type="dxa"/>
            <w:tcBorders>
              <w:top w:val="nil"/>
              <w:left w:val="nil"/>
              <w:bottom w:val="nil"/>
              <w:right w:val="nil"/>
            </w:tcBorders>
            <w:vAlign w:val="bottom"/>
          </w:tcPr>
          <w:p w14:paraId="27293223" w14:textId="7004BA68" w:rsidR="56BAB897" w:rsidRPr="00131FD7" w:rsidRDefault="56BAB897" w:rsidP="00914946">
            <w:pPr>
              <w:spacing w:line="240" w:lineRule="auto"/>
              <w:rPr>
                <w:rFonts w:eastAsia="Calibri"/>
                <w:color w:val="000000" w:themeColor="text1"/>
              </w:rPr>
            </w:pPr>
          </w:p>
        </w:tc>
        <w:tc>
          <w:tcPr>
            <w:tcW w:w="945" w:type="dxa"/>
            <w:tcBorders>
              <w:top w:val="nil"/>
              <w:left w:val="nil"/>
              <w:bottom w:val="nil"/>
              <w:right w:val="nil"/>
            </w:tcBorders>
            <w:vAlign w:val="bottom"/>
          </w:tcPr>
          <w:p w14:paraId="20EB63F0" w14:textId="63993D8B" w:rsidR="56BAB897" w:rsidRPr="00131FD7" w:rsidRDefault="56BAB897" w:rsidP="00914946">
            <w:pPr>
              <w:spacing w:line="240" w:lineRule="auto"/>
              <w:rPr>
                <w:rFonts w:eastAsia="Calibri"/>
                <w:color w:val="000000" w:themeColor="text1"/>
              </w:rPr>
            </w:pPr>
            <w:r w:rsidRPr="00131FD7">
              <w:rPr>
                <w:rFonts w:eastAsia="Calibri"/>
                <w:b/>
                <w:bCs/>
                <w:color w:val="000000" w:themeColor="text1"/>
              </w:rPr>
              <w:t>Staff</w:t>
            </w:r>
          </w:p>
        </w:tc>
        <w:tc>
          <w:tcPr>
            <w:tcW w:w="1605" w:type="dxa"/>
            <w:tcBorders>
              <w:top w:val="nil"/>
              <w:left w:val="nil"/>
              <w:bottom w:val="nil"/>
              <w:right w:val="nil"/>
            </w:tcBorders>
            <w:vAlign w:val="bottom"/>
          </w:tcPr>
          <w:p w14:paraId="4DB67B6D" w14:textId="7C4ADB1F" w:rsidR="56BAB897" w:rsidRPr="00131FD7" w:rsidRDefault="56BAB897" w:rsidP="00914946">
            <w:pPr>
              <w:spacing w:line="240" w:lineRule="auto"/>
              <w:rPr>
                <w:rFonts w:eastAsia="Calibri"/>
                <w:color w:val="000000" w:themeColor="text1"/>
              </w:rPr>
            </w:pPr>
            <w:r w:rsidRPr="00131FD7">
              <w:rPr>
                <w:rFonts w:eastAsia="Calibri"/>
                <w:b/>
                <w:bCs/>
                <w:color w:val="000000" w:themeColor="text1"/>
              </w:rPr>
              <w:t xml:space="preserve">Service </w:t>
            </w:r>
            <w:r w:rsidR="00E31903">
              <w:rPr>
                <w:rFonts w:eastAsia="Calibri"/>
                <w:b/>
                <w:bCs/>
                <w:color w:val="000000" w:themeColor="text1"/>
              </w:rPr>
              <w:t>c</w:t>
            </w:r>
            <w:r w:rsidRPr="00131FD7">
              <w:rPr>
                <w:rFonts w:eastAsia="Calibri"/>
                <w:b/>
                <w:bCs/>
                <w:color w:val="000000" w:themeColor="text1"/>
              </w:rPr>
              <w:t>ontract</w:t>
            </w:r>
          </w:p>
        </w:tc>
        <w:tc>
          <w:tcPr>
            <w:tcW w:w="1395" w:type="dxa"/>
            <w:tcBorders>
              <w:top w:val="nil"/>
              <w:left w:val="nil"/>
              <w:bottom w:val="nil"/>
              <w:right w:val="nil"/>
            </w:tcBorders>
            <w:vAlign w:val="bottom"/>
          </w:tcPr>
          <w:p w14:paraId="4EF902FF" w14:textId="798B9AEC" w:rsidR="56BAB897" w:rsidRPr="00131FD7" w:rsidRDefault="56BAB897" w:rsidP="00914946">
            <w:pPr>
              <w:spacing w:line="240" w:lineRule="auto"/>
              <w:rPr>
                <w:rFonts w:eastAsia="Calibri"/>
                <w:color w:val="000000" w:themeColor="text1"/>
              </w:rPr>
            </w:pPr>
            <w:r w:rsidRPr="00131FD7">
              <w:rPr>
                <w:rFonts w:eastAsia="Calibri"/>
                <w:b/>
                <w:bCs/>
                <w:color w:val="000000" w:themeColor="text1"/>
              </w:rPr>
              <w:t>U</w:t>
            </w:r>
            <w:r w:rsidR="00E31903">
              <w:rPr>
                <w:rFonts w:eastAsia="Calibri"/>
                <w:b/>
                <w:bCs/>
                <w:color w:val="000000" w:themeColor="text1"/>
              </w:rPr>
              <w:t xml:space="preserve">nited </w:t>
            </w:r>
            <w:r w:rsidRPr="00131FD7">
              <w:rPr>
                <w:rFonts w:eastAsia="Calibri"/>
                <w:b/>
                <w:bCs/>
                <w:color w:val="000000" w:themeColor="text1"/>
              </w:rPr>
              <w:t>N</w:t>
            </w:r>
            <w:r w:rsidR="00E31903">
              <w:rPr>
                <w:rFonts w:eastAsia="Calibri"/>
                <w:b/>
                <w:bCs/>
                <w:color w:val="000000" w:themeColor="text1"/>
              </w:rPr>
              <w:t>ations</w:t>
            </w:r>
            <w:r w:rsidRPr="00131FD7">
              <w:rPr>
                <w:rFonts w:eastAsia="Calibri"/>
                <w:b/>
                <w:bCs/>
                <w:color w:val="000000" w:themeColor="text1"/>
              </w:rPr>
              <w:t xml:space="preserve"> Volunteer</w:t>
            </w:r>
          </w:p>
        </w:tc>
        <w:tc>
          <w:tcPr>
            <w:tcW w:w="1245" w:type="dxa"/>
            <w:tcBorders>
              <w:top w:val="nil"/>
              <w:left w:val="nil"/>
              <w:bottom w:val="nil"/>
              <w:right w:val="nil"/>
            </w:tcBorders>
            <w:vAlign w:val="bottom"/>
          </w:tcPr>
          <w:p w14:paraId="45934A4A" w14:textId="5EC5204F" w:rsidR="56BAB897" w:rsidRPr="00131FD7" w:rsidRDefault="56BAB897" w:rsidP="00914946">
            <w:pPr>
              <w:spacing w:line="240" w:lineRule="auto"/>
              <w:rPr>
                <w:rFonts w:eastAsia="Calibri"/>
                <w:color w:val="000000" w:themeColor="text1"/>
              </w:rPr>
            </w:pPr>
            <w:r w:rsidRPr="00131FD7">
              <w:rPr>
                <w:rFonts w:eastAsia="Calibri"/>
                <w:b/>
                <w:bCs/>
                <w:color w:val="000000" w:themeColor="text1"/>
              </w:rPr>
              <w:t xml:space="preserve">Grand </w:t>
            </w:r>
            <w:r w:rsidR="00E31903">
              <w:rPr>
                <w:rFonts w:eastAsia="Calibri"/>
                <w:b/>
                <w:bCs/>
                <w:color w:val="000000" w:themeColor="text1"/>
              </w:rPr>
              <w:t>t</w:t>
            </w:r>
            <w:r w:rsidRPr="00131FD7">
              <w:rPr>
                <w:rFonts w:eastAsia="Calibri"/>
                <w:b/>
                <w:bCs/>
                <w:color w:val="000000" w:themeColor="text1"/>
              </w:rPr>
              <w:t>otal</w:t>
            </w:r>
          </w:p>
        </w:tc>
      </w:tr>
      <w:tr w:rsidR="56BAB897" w:rsidRPr="00131FD7" w14:paraId="39766B3B" w14:textId="77777777" w:rsidTr="00131FD7">
        <w:trPr>
          <w:trHeight w:val="300"/>
        </w:trPr>
        <w:tc>
          <w:tcPr>
            <w:tcW w:w="945" w:type="dxa"/>
            <w:tcBorders>
              <w:top w:val="nil"/>
              <w:left w:val="nil"/>
              <w:bottom w:val="nil"/>
              <w:right w:val="nil"/>
            </w:tcBorders>
            <w:shd w:val="clear" w:color="auto" w:fill="D9D9D9" w:themeFill="background1" w:themeFillShade="D9"/>
            <w:vAlign w:val="bottom"/>
          </w:tcPr>
          <w:p w14:paraId="183C76D0" w14:textId="5E7A6220" w:rsidR="56BAB897" w:rsidRPr="00131FD7" w:rsidRDefault="56BAB897" w:rsidP="00914946">
            <w:pPr>
              <w:spacing w:line="240" w:lineRule="auto"/>
              <w:rPr>
                <w:rFonts w:eastAsia="Calibri"/>
                <w:color w:val="000000" w:themeColor="text1"/>
              </w:rPr>
            </w:pPr>
            <w:r w:rsidRPr="00131FD7">
              <w:rPr>
                <w:rFonts w:eastAsia="Calibri"/>
                <w:color w:val="000000" w:themeColor="text1"/>
              </w:rPr>
              <w:t>2012</w:t>
            </w:r>
          </w:p>
        </w:tc>
        <w:tc>
          <w:tcPr>
            <w:tcW w:w="945" w:type="dxa"/>
            <w:tcBorders>
              <w:top w:val="nil"/>
              <w:left w:val="nil"/>
              <w:bottom w:val="nil"/>
              <w:right w:val="nil"/>
            </w:tcBorders>
            <w:shd w:val="clear" w:color="auto" w:fill="D9D9D9" w:themeFill="background1" w:themeFillShade="D9"/>
            <w:vAlign w:val="bottom"/>
          </w:tcPr>
          <w:p w14:paraId="6760EE6F" w14:textId="58C2C316" w:rsidR="56BAB897" w:rsidRPr="00131FD7" w:rsidRDefault="56BAB897" w:rsidP="00914946">
            <w:pPr>
              <w:spacing w:line="240" w:lineRule="auto"/>
              <w:rPr>
                <w:rFonts w:eastAsia="Calibri"/>
                <w:color w:val="000000" w:themeColor="text1"/>
              </w:rPr>
            </w:pPr>
          </w:p>
        </w:tc>
        <w:tc>
          <w:tcPr>
            <w:tcW w:w="945" w:type="dxa"/>
            <w:tcBorders>
              <w:top w:val="nil"/>
              <w:left w:val="nil"/>
              <w:bottom w:val="nil"/>
              <w:right w:val="nil"/>
            </w:tcBorders>
            <w:shd w:val="clear" w:color="auto" w:fill="D9D9D9" w:themeFill="background1" w:themeFillShade="D9"/>
            <w:vAlign w:val="bottom"/>
          </w:tcPr>
          <w:p w14:paraId="786AADCD" w14:textId="7891CB51" w:rsidR="56BAB897" w:rsidRPr="00131FD7" w:rsidRDefault="56BAB897" w:rsidP="00914946">
            <w:pPr>
              <w:spacing w:line="240" w:lineRule="auto"/>
              <w:rPr>
                <w:rFonts w:eastAsia="Calibri"/>
                <w:color w:val="000000" w:themeColor="text1"/>
              </w:rPr>
            </w:pPr>
            <w:r w:rsidRPr="00131FD7">
              <w:rPr>
                <w:rFonts w:eastAsia="Calibri"/>
                <w:color w:val="000000" w:themeColor="text1"/>
              </w:rPr>
              <w:t>8</w:t>
            </w:r>
            <w:r w:rsidR="00E31903">
              <w:rPr>
                <w:rFonts w:eastAsia="Calibri"/>
                <w:color w:val="000000" w:themeColor="text1"/>
              </w:rPr>
              <w:t xml:space="preserve"> </w:t>
            </w:r>
            <w:r w:rsidRPr="00131FD7">
              <w:rPr>
                <w:rFonts w:eastAsia="Calibri"/>
                <w:color w:val="000000" w:themeColor="text1"/>
              </w:rPr>
              <w:t>088</w:t>
            </w:r>
          </w:p>
        </w:tc>
        <w:tc>
          <w:tcPr>
            <w:tcW w:w="1605" w:type="dxa"/>
            <w:tcBorders>
              <w:top w:val="nil"/>
              <w:left w:val="nil"/>
              <w:bottom w:val="nil"/>
              <w:right w:val="nil"/>
            </w:tcBorders>
            <w:shd w:val="clear" w:color="auto" w:fill="D9D9D9" w:themeFill="background1" w:themeFillShade="D9"/>
            <w:vAlign w:val="bottom"/>
          </w:tcPr>
          <w:p w14:paraId="2D83A320" w14:textId="0C31CF60" w:rsidR="56BAB897" w:rsidRPr="00131FD7" w:rsidRDefault="56BAB897" w:rsidP="00914946">
            <w:pPr>
              <w:spacing w:line="240" w:lineRule="auto"/>
              <w:rPr>
                <w:rFonts w:eastAsia="Calibri"/>
                <w:color w:val="000000" w:themeColor="text1"/>
              </w:rPr>
            </w:pPr>
            <w:r w:rsidRPr="00131FD7">
              <w:rPr>
                <w:rFonts w:eastAsia="Calibri"/>
                <w:color w:val="000000" w:themeColor="text1"/>
              </w:rPr>
              <w:t>8</w:t>
            </w:r>
            <w:r w:rsidR="00E31903">
              <w:rPr>
                <w:rFonts w:eastAsia="Calibri"/>
                <w:color w:val="000000" w:themeColor="text1"/>
              </w:rPr>
              <w:t xml:space="preserve"> </w:t>
            </w:r>
            <w:r w:rsidRPr="00131FD7">
              <w:rPr>
                <w:rFonts w:eastAsia="Calibri"/>
                <w:color w:val="000000" w:themeColor="text1"/>
              </w:rPr>
              <w:t>695</w:t>
            </w:r>
          </w:p>
        </w:tc>
        <w:tc>
          <w:tcPr>
            <w:tcW w:w="1395" w:type="dxa"/>
            <w:tcBorders>
              <w:top w:val="nil"/>
              <w:left w:val="nil"/>
              <w:bottom w:val="nil"/>
              <w:right w:val="nil"/>
            </w:tcBorders>
            <w:shd w:val="clear" w:color="auto" w:fill="D9D9D9" w:themeFill="background1" w:themeFillShade="D9"/>
            <w:vAlign w:val="bottom"/>
          </w:tcPr>
          <w:p w14:paraId="4AD0B4FC" w14:textId="6DED4D8B" w:rsidR="56BAB897" w:rsidRPr="00131FD7" w:rsidRDefault="56BAB897" w:rsidP="00914946">
            <w:pPr>
              <w:spacing w:line="240" w:lineRule="auto"/>
              <w:rPr>
                <w:rFonts w:eastAsia="Calibri"/>
                <w:color w:val="000000" w:themeColor="text1"/>
              </w:rPr>
            </w:pPr>
            <w:r w:rsidRPr="00131FD7">
              <w:rPr>
                <w:rFonts w:eastAsia="Calibri"/>
                <w:color w:val="000000" w:themeColor="text1"/>
              </w:rPr>
              <w:t>1</w:t>
            </w:r>
            <w:r w:rsidR="00E31903">
              <w:rPr>
                <w:rFonts w:eastAsia="Calibri"/>
                <w:color w:val="000000" w:themeColor="text1"/>
              </w:rPr>
              <w:t xml:space="preserve"> </w:t>
            </w:r>
            <w:r w:rsidRPr="00131FD7">
              <w:rPr>
                <w:rFonts w:eastAsia="Calibri"/>
                <w:color w:val="000000" w:themeColor="text1"/>
              </w:rPr>
              <w:t>149</w:t>
            </w:r>
          </w:p>
        </w:tc>
        <w:tc>
          <w:tcPr>
            <w:tcW w:w="1245" w:type="dxa"/>
            <w:tcBorders>
              <w:top w:val="nil"/>
              <w:left w:val="nil"/>
              <w:bottom w:val="nil"/>
              <w:right w:val="nil"/>
            </w:tcBorders>
            <w:shd w:val="clear" w:color="auto" w:fill="D9D9D9" w:themeFill="background1" w:themeFillShade="D9"/>
            <w:vAlign w:val="bottom"/>
          </w:tcPr>
          <w:p w14:paraId="7381BFDD" w14:textId="43C4CC20" w:rsidR="56BAB897" w:rsidRPr="00131FD7" w:rsidRDefault="56BAB897" w:rsidP="00914946">
            <w:pPr>
              <w:spacing w:line="240" w:lineRule="auto"/>
              <w:rPr>
                <w:rFonts w:eastAsia="Calibri"/>
                <w:color w:val="000000" w:themeColor="text1"/>
              </w:rPr>
            </w:pPr>
            <w:r w:rsidRPr="00131FD7">
              <w:rPr>
                <w:rFonts w:eastAsia="Calibri"/>
                <w:color w:val="000000" w:themeColor="text1"/>
              </w:rPr>
              <w:t>17</w:t>
            </w:r>
            <w:r w:rsidR="00E31903">
              <w:rPr>
                <w:rFonts w:eastAsia="Calibri"/>
                <w:color w:val="000000" w:themeColor="text1"/>
              </w:rPr>
              <w:t xml:space="preserve"> </w:t>
            </w:r>
            <w:r w:rsidRPr="00131FD7">
              <w:rPr>
                <w:rFonts w:eastAsia="Calibri"/>
                <w:color w:val="000000" w:themeColor="text1"/>
              </w:rPr>
              <w:t>932</w:t>
            </w:r>
          </w:p>
        </w:tc>
      </w:tr>
      <w:tr w:rsidR="56BAB897" w:rsidRPr="00131FD7" w14:paraId="43AC3762" w14:textId="77777777" w:rsidTr="00131FD7">
        <w:trPr>
          <w:trHeight w:val="300"/>
        </w:trPr>
        <w:tc>
          <w:tcPr>
            <w:tcW w:w="945" w:type="dxa"/>
            <w:tcBorders>
              <w:top w:val="nil"/>
              <w:left w:val="nil"/>
              <w:bottom w:val="nil"/>
              <w:right w:val="nil"/>
            </w:tcBorders>
            <w:vAlign w:val="bottom"/>
          </w:tcPr>
          <w:p w14:paraId="03A97B45" w14:textId="112022D4" w:rsidR="56BAB897" w:rsidRPr="00131FD7" w:rsidRDefault="56BAB897" w:rsidP="00914946">
            <w:pPr>
              <w:spacing w:line="240" w:lineRule="auto"/>
              <w:rPr>
                <w:rFonts w:eastAsia="Calibri"/>
                <w:color w:val="000000" w:themeColor="text1"/>
              </w:rPr>
            </w:pPr>
            <w:r w:rsidRPr="00131FD7">
              <w:rPr>
                <w:rFonts w:eastAsia="Calibri"/>
                <w:color w:val="000000" w:themeColor="text1"/>
              </w:rPr>
              <w:t>2013</w:t>
            </w:r>
          </w:p>
        </w:tc>
        <w:tc>
          <w:tcPr>
            <w:tcW w:w="945" w:type="dxa"/>
            <w:tcBorders>
              <w:top w:val="nil"/>
              <w:left w:val="nil"/>
              <w:bottom w:val="nil"/>
              <w:right w:val="nil"/>
            </w:tcBorders>
            <w:vAlign w:val="bottom"/>
          </w:tcPr>
          <w:p w14:paraId="360C279E" w14:textId="2052EFA0" w:rsidR="56BAB897" w:rsidRPr="00131FD7" w:rsidRDefault="56BAB897" w:rsidP="00914946">
            <w:pPr>
              <w:spacing w:line="240" w:lineRule="auto"/>
              <w:rPr>
                <w:rFonts w:eastAsia="Calibri"/>
                <w:color w:val="000000" w:themeColor="text1"/>
              </w:rPr>
            </w:pPr>
          </w:p>
        </w:tc>
        <w:tc>
          <w:tcPr>
            <w:tcW w:w="945" w:type="dxa"/>
            <w:tcBorders>
              <w:top w:val="nil"/>
              <w:left w:val="nil"/>
              <w:bottom w:val="nil"/>
              <w:right w:val="nil"/>
            </w:tcBorders>
            <w:vAlign w:val="bottom"/>
          </w:tcPr>
          <w:p w14:paraId="2DEB0E0E" w14:textId="6FD7C090" w:rsidR="56BAB897" w:rsidRPr="00131FD7" w:rsidRDefault="56BAB897" w:rsidP="00914946">
            <w:pPr>
              <w:spacing w:line="240" w:lineRule="auto"/>
              <w:rPr>
                <w:rFonts w:eastAsia="Calibri"/>
                <w:color w:val="000000" w:themeColor="text1"/>
              </w:rPr>
            </w:pPr>
            <w:r w:rsidRPr="00131FD7">
              <w:rPr>
                <w:rFonts w:eastAsia="Calibri"/>
                <w:color w:val="000000" w:themeColor="text1"/>
              </w:rPr>
              <w:t>7</w:t>
            </w:r>
            <w:r w:rsidR="00E31903">
              <w:rPr>
                <w:rFonts w:eastAsia="Calibri"/>
                <w:color w:val="000000" w:themeColor="text1"/>
              </w:rPr>
              <w:t xml:space="preserve"> </w:t>
            </w:r>
            <w:r w:rsidRPr="00131FD7">
              <w:rPr>
                <w:rFonts w:eastAsia="Calibri"/>
                <w:color w:val="000000" w:themeColor="text1"/>
              </w:rPr>
              <w:t>904</w:t>
            </w:r>
          </w:p>
        </w:tc>
        <w:tc>
          <w:tcPr>
            <w:tcW w:w="1605" w:type="dxa"/>
            <w:tcBorders>
              <w:top w:val="nil"/>
              <w:left w:val="nil"/>
              <w:bottom w:val="nil"/>
              <w:right w:val="nil"/>
            </w:tcBorders>
            <w:vAlign w:val="bottom"/>
          </w:tcPr>
          <w:p w14:paraId="0C8741BE" w14:textId="66C63A33" w:rsidR="56BAB897" w:rsidRPr="00131FD7" w:rsidRDefault="56BAB897" w:rsidP="00914946">
            <w:pPr>
              <w:spacing w:line="240" w:lineRule="auto"/>
              <w:rPr>
                <w:rFonts w:eastAsia="Calibri"/>
                <w:color w:val="000000" w:themeColor="text1"/>
              </w:rPr>
            </w:pPr>
            <w:r w:rsidRPr="00131FD7">
              <w:rPr>
                <w:rFonts w:eastAsia="Calibri"/>
                <w:color w:val="000000" w:themeColor="text1"/>
              </w:rPr>
              <w:t>8</w:t>
            </w:r>
            <w:r w:rsidR="00E31903">
              <w:rPr>
                <w:rFonts w:eastAsia="Calibri"/>
                <w:color w:val="000000" w:themeColor="text1"/>
              </w:rPr>
              <w:t xml:space="preserve"> </w:t>
            </w:r>
            <w:r w:rsidRPr="00131FD7">
              <w:rPr>
                <w:rFonts w:eastAsia="Calibri"/>
                <w:color w:val="000000" w:themeColor="text1"/>
              </w:rPr>
              <w:t>618</w:t>
            </w:r>
          </w:p>
        </w:tc>
        <w:tc>
          <w:tcPr>
            <w:tcW w:w="1395" w:type="dxa"/>
            <w:tcBorders>
              <w:top w:val="nil"/>
              <w:left w:val="nil"/>
              <w:bottom w:val="nil"/>
              <w:right w:val="nil"/>
            </w:tcBorders>
            <w:vAlign w:val="bottom"/>
          </w:tcPr>
          <w:p w14:paraId="23773BB9" w14:textId="5DB391F0" w:rsidR="56BAB897" w:rsidRPr="00131FD7" w:rsidRDefault="56BAB897" w:rsidP="00914946">
            <w:pPr>
              <w:spacing w:line="240" w:lineRule="auto"/>
              <w:rPr>
                <w:rFonts w:eastAsia="Calibri"/>
                <w:color w:val="000000" w:themeColor="text1"/>
              </w:rPr>
            </w:pPr>
            <w:r w:rsidRPr="00131FD7">
              <w:rPr>
                <w:rFonts w:eastAsia="Calibri"/>
                <w:color w:val="000000" w:themeColor="text1"/>
              </w:rPr>
              <w:t>1</w:t>
            </w:r>
            <w:r w:rsidR="00E31903">
              <w:rPr>
                <w:rFonts w:eastAsia="Calibri"/>
                <w:color w:val="000000" w:themeColor="text1"/>
              </w:rPr>
              <w:t xml:space="preserve"> </w:t>
            </w:r>
            <w:r w:rsidRPr="00131FD7">
              <w:rPr>
                <w:rFonts w:eastAsia="Calibri"/>
                <w:color w:val="000000" w:themeColor="text1"/>
              </w:rPr>
              <w:t>135</w:t>
            </w:r>
          </w:p>
        </w:tc>
        <w:tc>
          <w:tcPr>
            <w:tcW w:w="1245" w:type="dxa"/>
            <w:tcBorders>
              <w:top w:val="nil"/>
              <w:left w:val="nil"/>
              <w:bottom w:val="nil"/>
              <w:right w:val="nil"/>
            </w:tcBorders>
            <w:vAlign w:val="bottom"/>
          </w:tcPr>
          <w:p w14:paraId="056BDADF" w14:textId="4CF2951B" w:rsidR="56BAB897" w:rsidRPr="00131FD7" w:rsidRDefault="56BAB897" w:rsidP="00914946">
            <w:pPr>
              <w:spacing w:line="240" w:lineRule="auto"/>
              <w:rPr>
                <w:rFonts w:eastAsia="Calibri"/>
                <w:color w:val="000000" w:themeColor="text1"/>
              </w:rPr>
            </w:pPr>
            <w:r w:rsidRPr="00131FD7">
              <w:rPr>
                <w:rFonts w:eastAsia="Calibri"/>
                <w:color w:val="000000" w:themeColor="text1"/>
              </w:rPr>
              <w:t>17</w:t>
            </w:r>
            <w:r w:rsidR="00E31903">
              <w:rPr>
                <w:rFonts w:eastAsia="Calibri"/>
                <w:color w:val="000000" w:themeColor="text1"/>
              </w:rPr>
              <w:t xml:space="preserve"> </w:t>
            </w:r>
            <w:r w:rsidRPr="00131FD7">
              <w:rPr>
                <w:rFonts w:eastAsia="Calibri"/>
                <w:color w:val="000000" w:themeColor="text1"/>
              </w:rPr>
              <w:t>657</w:t>
            </w:r>
          </w:p>
        </w:tc>
      </w:tr>
      <w:tr w:rsidR="56BAB897" w:rsidRPr="00131FD7" w14:paraId="59FBD946" w14:textId="77777777" w:rsidTr="00131FD7">
        <w:trPr>
          <w:trHeight w:val="300"/>
        </w:trPr>
        <w:tc>
          <w:tcPr>
            <w:tcW w:w="945" w:type="dxa"/>
            <w:tcBorders>
              <w:top w:val="nil"/>
              <w:left w:val="nil"/>
              <w:bottom w:val="nil"/>
              <w:right w:val="nil"/>
            </w:tcBorders>
            <w:shd w:val="clear" w:color="auto" w:fill="D9D9D9" w:themeFill="background1" w:themeFillShade="D9"/>
            <w:vAlign w:val="bottom"/>
          </w:tcPr>
          <w:p w14:paraId="759366C0" w14:textId="6174758E" w:rsidR="56BAB897" w:rsidRPr="00131FD7" w:rsidRDefault="56BAB897" w:rsidP="00914946">
            <w:pPr>
              <w:spacing w:line="240" w:lineRule="auto"/>
              <w:rPr>
                <w:rFonts w:eastAsia="Calibri"/>
                <w:color w:val="000000" w:themeColor="text1"/>
              </w:rPr>
            </w:pPr>
            <w:r w:rsidRPr="00131FD7">
              <w:rPr>
                <w:rFonts w:eastAsia="Calibri"/>
                <w:color w:val="000000" w:themeColor="text1"/>
              </w:rPr>
              <w:t>2014</w:t>
            </w:r>
          </w:p>
        </w:tc>
        <w:tc>
          <w:tcPr>
            <w:tcW w:w="945" w:type="dxa"/>
            <w:tcBorders>
              <w:top w:val="nil"/>
              <w:left w:val="nil"/>
              <w:bottom w:val="nil"/>
              <w:right w:val="nil"/>
            </w:tcBorders>
            <w:shd w:val="clear" w:color="auto" w:fill="D9D9D9" w:themeFill="background1" w:themeFillShade="D9"/>
            <w:vAlign w:val="bottom"/>
          </w:tcPr>
          <w:p w14:paraId="2BF8ED0A" w14:textId="20A0CE85" w:rsidR="56BAB897" w:rsidRPr="00131FD7" w:rsidRDefault="56BAB897" w:rsidP="00914946">
            <w:pPr>
              <w:spacing w:line="240" w:lineRule="auto"/>
              <w:rPr>
                <w:rFonts w:eastAsia="Calibri"/>
                <w:color w:val="000000" w:themeColor="text1"/>
              </w:rPr>
            </w:pPr>
          </w:p>
        </w:tc>
        <w:tc>
          <w:tcPr>
            <w:tcW w:w="945" w:type="dxa"/>
            <w:tcBorders>
              <w:top w:val="nil"/>
              <w:left w:val="nil"/>
              <w:bottom w:val="nil"/>
              <w:right w:val="nil"/>
            </w:tcBorders>
            <w:shd w:val="clear" w:color="auto" w:fill="D9D9D9" w:themeFill="background1" w:themeFillShade="D9"/>
            <w:vAlign w:val="bottom"/>
          </w:tcPr>
          <w:p w14:paraId="0A81F832" w14:textId="393244BF" w:rsidR="56BAB897" w:rsidRPr="00131FD7" w:rsidRDefault="56BAB897" w:rsidP="00914946">
            <w:pPr>
              <w:spacing w:line="240" w:lineRule="auto"/>
              <w:rPr>
                <w:rFonts w:eastAsia="Calibri"/>
                <w:color w:val="000000" w:themeColor="text1"/>
              </w:rPr>
            </w:pPr>
            <w:r w:rsidRPr="00131FD7">
              <w:rPr>
                <w:rFonts w:eastAsia="Calibri"/>
                <w:color w:val="000000" w:themeColor="text1"/>
              </w:rPr>
              <w:t>7</w:t>
            </w:r>
            <w:r w:rsidR="00E31903">
              <w:rPr>
                <w:rFonts w:eastAsia="Calibri"/>
                <w:color w:val="000000" w:themeColor="text1"/>
              </w:rPr>
              <w:t xml:space="preserve"> </w:t>
            </w:r>
            <w:r w:rsidRPr="00131FD7">
              <w:rPr>
                <w:rFonts w:eastAsia="Calibri"/>
                <w:color w:val="000000" w:themeColor="text1"/>
              </w:rPr>
              <w:t>597</w:t>
            </w:r>
          </w:p>
        </w:tc>
        <w:tc>
          <w:tcPr>
            <w:tcW w:w="1605" w:type="dxa"/>
            <w:tcBorders>
              <w:top w:val="nil"/>
              <w:left w:val="nil"/>
              <w:bottom w:val="nil"/>
              <w:right w:val="nil"/>
            </w:tcBorders>
            <w:shd w:val="clear" w:color="auto" w:fill="D9D9D9" w:themeFill="background1" w:themeFillShade="D9"/>
            <w:vAlign w:val="bottom"/>
          </w:tcPr>
          <w:p w14:paraId="518C65E1" w14:textId="5884165F" w:rsidR="56BAB897" w:rsidRPr="00131FD7" w:rsidRDefault="56BAB897" w:rsidP="00914946">
            <w:pPr>
              <w:spacing w:line="240" w:lineRule="auto"/>
              <w:rPr>
                <w:rFonts w:eastAsia="Calibri"/>
                <w:color w:val="000000" w:themeColor="text1"/>
              </w:rPr>
            </w:pPr>
            <w:r w:rsidRPr="00131FD7">
              <w:rPr>
                <w:rFonts w:eastAsia="Calibri"/>
                <w:color w:val="000000" w:themeColor="text1"/>
              </w:rPr>
              <w:t>9</w:t>
            </w:r>
            <w:r w:rsidR="00E31903">
              <w:rPr>
                <w:rFonts w:eastAsia="Calibri"/>
                <w:color w:val="000000" w:themeColor="text1"/>
              </w:rPr>
              <w:t xml:space="preserve"> </w:t>
            </w:r>
            <w:r w:rsidRPr="00131FD7">
              <w:rPr>
                <w:rFonts w:eastAsia="Calibri"/>
                <w:color w:val="000000" w:themeColor="text1"/>
              </w:rPr>
              <w:t>755</w:t>
            </w:r>
          </w:p>
        </w:tc>
        <w:tc>
          <w:tcPr>
            <w:tcW w:w="1395" w:type="dxa"/>
            <w:tcBorders>
              <w:top w:val="nil"/>
              <w:left w:val="nil"/>
              <w:bottom w:val="nil"/>
              <w:right w:val="nil"/>
            </w:tcBorders>
            <w:shd w:val="clear" w:color="auto" w:fill="D9D9D9" w:themeFill="background1" w:themeFillShade="D9"/>
            <w:vAlign w:val="bottom"/>
          </w:tcPr>
          <w:p w14:paraId="05B3BAB0" w14:textId="5E5B232F" w:rsidR="56BAB897" w:rsidRPr="00131FD7" w:rsidRDefault="56BAB897" w:rsidP="00914946">
            <w:pPr>
              <w:spacing w:line="240" w:lineRule="auto"/>
              <w:rPr>
                <w:rFonts w:eastAsia="Calibri"/>
                <w:color w:val="000000" w:themeColor="text1"/>
              </w:rPr>
            </w:pPr>
            <w:r w:rsidRPr="00131FD7">
              <w:rPr>
                <w:rFonts w:eastAsia="Calibri"/>
                <w:color w:val="000000" w:themeColor="text1"/>
              </w:rPr>
              <w:t>1</w:t>
            </w:r>
            <w:r w:rsidR="00E31903">
              <w:rPr>
                <w:rFonts w:eastAsia="Calibri"/>
                <w:color w:val="000000" w:themeColor="text1"/>
              </w:rPr>
              <w:t xml:space="preserve"> </w:t>
            </w:r>
            <w:r w:rsidRPr="00131FD7">
              <w:rPr>
                <w:rFonts w:eastAsia="Calibri"/>
                <w:color w:val="000000" w:themeColor="text1"/>
              </w:rPr>
              <w:t>194</w:t>
            </w:r>
          </w:p>
        </w:tc>
        <w:tc>
          <w:tcPr>
            <w:tcW w:w="1245" w:type="dxa"/>
            <w:tcBorders>
              <w:top w:val="nil"/>
              <w:left w:val="nil"/>
              <w:bottom w:val="nil"/>
              <w:right w:val="nil"/>
            </w:tcBorders>
            <w:shd w:val="clear" w:color="auto" w:fill="D9D9D9" w:themeFill="background1" w:themeFillShade="D9"/>
            <w:vAlign w:val="bottom"/>
          </w:tcPr>
          <w:p w14:paraId="42CDE2B8" w14:textId="6961B8C2" w:rsidR="56BAB897" w:rsidRPr="00131FD7" w:rsidRDefault="56BAB897" w:rsidP="00914946">
            <w:pPr>
              <w:spacing w:line="240" w:lineRule="auto"/>
              <w:rPr>
                <w:rFonts w:eastAsia="Calibri"/>
                <w:color w:val="000000" w:themeColor="text1"/>
              </w:rPr>
            </w:pPr>
            <w:r w:rsidRPr="00131FD7">
              <w:rPr>
                <w:rFonts w:eastAsia="Calibri"/>
                <w:color w:val="000000" w:themeColor="text1"/>
              </w:rPr>
              <w:t>18</w:t>
            </w:r>
            <w:r w:rsidR="00E31903">
              <w:rPr>
                <w:rFonts w:eastAsia="Calibri"/>
                <w:color w:val="000000" w:themeColor="text1"/>
              </w:rPr>
              <w:t xml:space="preserve"> </w:t>
            </w:r>
            <w:r w:rsidRPr="00131FD7">
              <w:rPr>
                <w:rFonts w:eastAsia="Calibri"/>
                <w:color w:val="000000" w:themeColor="text1"/>
              </w:rPr>
              <w:t>546</w:t>
            </w:r>
          </w:p>
        </w:tc>
      </w:tr>
      <w:tr w:rsidR="56BAB897" w:rsidRPr="00131FD7" w14:paraId="0849B225" w14:textId="77777777" w:rsidTr="00131FD7">
        <w:trPr>
          <w:trHeight w:val="300"/>
        </w:trPr>
        <w:tc>
          <w:tcPr>
            <w:tcW w:w="945" w:type="dxa"/>
            <w:tcBorders>
              <w:top w:val="nil"/>
              <w:left w:val="nil"/>
              <w:bottom w:val="nil"/>
              <w:right w:val="nil"/>
            </w:tcBorders>
            <w:vAlign w:val="bottom"/>
          </w:tcPr>
          <w:p w14:paraId="440EC531" w14:textId="49636FEC" w:rsidR="56BAB897" w:rsidRPr="00131FD7" w:rsidRDefault="56BAB897" w:rsidP="00914946">
            <w:pPr>
              <w:spacing w:line="240" w:lineRule="auto"/>
              <w:rPr>
                <w:rFonts w:eastAsia="Calibri"/>
                <w:color w:val="000000" w:themeColor="text1"/>
              </w:rPr>
            </w:pPr>
            <w:r w:rsidRPr="00131FD7">
              <w:rPr>
                <w:rFonts w:eastAsia="Calibri"/>
                <w:color w:val="000000" w:themeColor="text1"/>
              </w:rPr>
              <w:t>2015</w:t>
            </w:r>
          </w:p>
        </w:tc>
        <w:tc>
          <w:tcPr>
            <w:tcW w:w="945" w:type="dxa"/>
            <w:tcBorders>
              <w:top w:val="nil"/>
              <w:left w:val="nil"/>
              <w:bottom w:val="nil"/>
              <w:right w:val="nil"/>
            </w:tcBorders>
            <w:vAlign w:val="bottom"/>
          </w:tcPr>
          <w:p w14:paraId="056C3164" w14:textId="7B2D7D7C" w:rsidR="56BAB897" w:rsidRPr="00131FD7" w:rsidRDefault="56BAB897" w:rsidP="00914946">
            <w:pPr>
              <w:spacing w:line="240" w:lineRule="auto"/>
              <w:rPr>
                <w:rFonts w:eastAsia="Calibri"/>
                <w:color w:val="000000" w:themeColor="text1"/>
              </w:rPr>
            </w:pPr>
          </w:p>
        </w:tc>
        <w:tc>
          <w:tcPr>
            <w:tcW w:w="945" w:type="dxa"/>
            <w:tcBorders>
              <w:top w:val="nil"/>
              <w:left w:val="nil"/>
              <w:bottom w:val="nil"/>
              <w:right w:val="nil"/>
            </w:tcBorders>
            <w:vAlign w:val="bottom"/>
          </w:tcPr>
          <w:p w14:paraId="3ED14ABB" w14:textId="114EFC63" w:rsidR="56BAB897" w:rsidRPr="00131FD7" w:rsidRDefault="56BAB897" w:rsidP="00914946">
            <w:pPr>
              <w:spacing w:line="240" w:lineRule="auto"/>
              <w:rPr>
                <w:rFonts w:eastAsia="Calibri"/>
                <w:color w:val="000000" w:themeColor="text1"/>
              </w:rPr>
            </w:pPr>
            <w:r w:rsidRPr="00131FD7">
              <w:rPr>
                <w:rFonts w:eastAsia="Calibri"/>
                <w:color w:val="000000" w:themeColor="text1"/>
              </w:rPr>
              <w:t>7</w:t>
            </w:r>
            <w:r w:rsidR="00E31903">
              <w:rPr>
                <w:rFonts w:eastAsia="Calibri"/>
                <w:color w:val="000000" w:themeColor="text1"/>
              </w:rPr>
              <w:t xml:space="preserve"> </w:t>
            </w:r>
            <w:r w:rsidRPr="00131FD7">
              <w:rPr>
                <w:rFonts w:eastAsia="Calibri"/>
                <w:color w:val="000000" w:themeColor="text1"/>
              </w:rPr>
              <w:t>506</w:t>
            </w:r>
          </w:p>
        </w:tc>
        <w:tc>
          <w:tcPr>
            <w:tcW w:w="1605" w:type="dxa"/>
            <w:tcBorders>
              <w:top w:val="nil"/>
              <w:left w:val="nil"/>
              <w:bottom w:val="nil"/>
              <w:right w:val="nil"/>
            </w:tcBorders>
            <w:vAlign w:val="bottom"/>
          </w:tcPr>
          <w:p w14:paraId="05DB68E5" w14:textId="68E52110" w:rsidR="56BAB897" w:rsidRPr="00131FD7" w:rsidRDefault="56BAB897" w:rsidP="00914946">
            <w:pPr>
              <w:spacing w:line="240" w:lineRule="auto"/>
              <w:rPr>
                <w:rFonts w:eastAsia="Calibri"/>
                <w:color w:val="000000" w:themeColor="text1"/>
              </w:rPr>
            </w:pPr>
            <w:r w:rsidRPr="00131FD7">
              <w:rPr>
                <w:rFonts w:eastAsia="Calibri"/>
                <w:color w:val="000000" w:themeColor="text1"/>
              </w:rPr>
              <w:t>9</w:t>
            </w:r>
            <w:r w:rsidR="00E31903">
              <w:rPr>
                <w:rFonts w:eastAsia="Calibri"/>
                <w:color w:val="000000" w:themeColor="text1"/>
              </w:rPr>
              <w:t xml:space="preserve"> </w:t>
            </w:r>
            <w:r w:rsidRPr="00131FD7">
              <w:rPr>
                <w:rFonts w:eastAsia="Calibri"/>
                <w:color w:val="000000" w:themeColor="text1"/>
              </w:rPr>
              <w:t>546</w:t>
            </w:r>
          </w:p>
        </w:tc>
        <w:tc>
          <w:tcPr>
            <w:tcW w:w="1395" w:type="dxa"/>
            <w:tcBorders>
              <w:top w:val="nil"/>
              <w:left w:val="nil"/>
              <w:bottom w:val="nil"/>
              <w:right w:val="nil"/>
            </w:tcBorders>
            <w:vAlign w:val="bottom"/>
          </w:tcPr>
          <w:p w14:paraId="436D6A7B" w14:textId="64F9DFE3" w:rsidR="56BAB897" w:rsidRPr="00131FD7" w:rsidRDefault="56BAB897" w:rsidP="00914946">
            <w:pPr>
              <w:spacing w:line="240" w:lineRule="auto"/>
              <w:rPr>
                <w:rFonts w:eastAsia="Calibri"/>
                <w:color w:val="000000" w:themeColor="text1"/>
              </w:rPr>
            </w:pPr>
            <w:r w:rsidRPr="00131FD7">
              <w:rPr>
                <w:rFonts w:eastAsia="Calibri"/>
                <w:color w:val="000000" w:themeColor="text1"/>
              </w:rPr>
              <w:t>1</w:t>
            </w:r>
            <w:r w:rsidR="00E31903">
              <w:rPr>
                <w:rFonts w:eastAsia="Calibri"/>
                <w:color w:val="000000" w:themeColor="text1"/>
              </w:rPr>
              <w:t xml:space="preserve"> </w:t>
            </w:r>
            <w:r w:rsidRPr="00131FD7">
              <w:rPr>
                <w:rFonts w:eastAsia="Calibri"/>
                <w:color w:val="000000" w:themeColor="text1"/>
              </w:rPr>
              <w:t>290</w:t>
            </w:r>
          </w:p>
        </w:tc>
        <w:tc>
          <w:tcPr>
            <w:tcW w:w="1245" w:type="dxa"/>
            <w:tcBorders>
              <w:top w:val="nil"/>
              <w:left w:val="nil"/>
              <w:bottom w:val="nil"/>
              <w:right w:val="nil"/>
            </w:tcBorders>
            <w:vAlign w:val="bottom"/>
          </w:tcPr>
          <w:p w14:paraId="2287CA0A" w14:textId="610EF981" w:rsidR="56BAB897" w:rsidRPr="00131FD7" w:rsidRDefault="56BAB897" w:rsidP="00914946">
            <w:pPr>
              <w:spacing w:line="240" w:lineRule="auto"/>
              <w:rPr>
                <w:rFonts w:eastAsia="Calibri"/>
                <w:color w:val="000000" w:themeColor="text1"/>
              </w:rPr>
            </w:pPr>
            <w:r w:rsidRPr="00131FD7">
              <w:rPr>
                <w:rFonts w:eastAsia="Calibri"/>
                <w:color w:val="000000" w:themeColor="text1"/>
              </w:rPr>
              <w:t>18</w:t>
            </w:r>
            <w:r w:rsidR="00E31903">
              <w:rPr>
                <w:rFonts w:eastAsia="Calibri"/>
                <w:color w:val="000000" w:themeColor="text1"/>
              </w:rPr>
              <w:t xml:space="preserve"> </w:t>
            </w:r>
            <w:r w:rsidRPr="00131FD7">
              <w:rPr>
                <w:rFonts w:eastAsia="Calibri"/>
                <w:color w:val="000000" w:themeColor="text1"/>
              </w:rPr>
              <w:t>342</w:t>
            </w:r>
          </w:p>
        </w:tc>
      </w:tr>
      <w:tr w:rsidR="56BAB897" w:rsidRPr="00131FD7" w14:paraId="29BAB2F0" w14:textId="77777777" w:rsidTr="00131FD7">
        <w:trPr>
          <w:trHeight w:val="300"/>
        </w:trPr>
        <w:tc>
          <w:tcPr>
            <w:tcW w:w="945" w:type="dxa"/>
            <w:tcBorders>
              <w:top w:val="nil"/>
              <w:left w:val="nil"/>
              <w:bottom w:val="nil"/>
              <w:right w:val="nil"/>
            </w:tcBorders>
            <w:shd w:val="clear" w:color="auto" w:fill="D9D9D9" w:themeFill="background1" w:themeFillShade="D9"/>
            <w:vAlign w:val="bottom"/>
          </w:tcPr>
          <w:p w14:paraId="5956C288" w14:textId="42CE5B09" w:rsidR="56BAB897" w:rsidRPr="00131FD7" w:rsidRDefault="56BAB897" w:rsidP="00914946">
            <w:pPr>
              <w:spacing w:line="240" w:lineRule="auto"/>
              <w:rPr>
                <w:rFonts w:eastAsia="Calibri"/>
                <w:color w:val="000000" w:themeColor="text1"/>
              </w:rPr>
            </w:pPr>
            <w:r w:rsidRPr="00131FD7">
              <w:rPr>
                <w:rFonts w:eastAsia="Calibri"/>
                <w:color w:val="000000" w:themeColor="text1"/>
              </w:rPr>
              <w:t>2016</w:t>
            </w:r>
          </w:p>
        </w:tc>
        <w:tc>
          <w:tcPr>
            <w:tcW w:w="945" w:type="dxa"/>
            <w:tcBorders>
              <w:top w:val="nil"/>
              <w:left w:val="nil"/>
              <w:bottom w:val="nil"/>
              <w:right w:val="nil"/>
            </w:tcBorders>
            <w:shd w:val="clear" w:color="auto" w:fill="D9D9D9" w:themeFill="background1" w:themeFillShade="D9"/>
            <w:vAlign w:val="bottom"/>
          </w:tcPr>
          <w:p w14:paraId="1B6A9A7C" w14:textId="0424FBE3" w:rsidR="56BAB897" w:rsidRPr="00131FD7" w:rsidRDefault="56BAB897" w:rsidP="00914946">
            <w:pPr>
              <w:spacing w:line="240" w:lineRule="auto"/>
              <w:rPr>
                <w:rFonts w:eastAsia="Calibri"/>
                <w:color w:val="000000" w:themeColor="text1"/>
              </w:rPr>
            </w:pPr>
          </w:p>
        </w:tc>
        <w:tc>
          <w:tcPr>
            <w:tcW w:w="945" w:type="dxa"/>
            <w:tcBorders>
              <w:top w:val="nil"/>
              <w:left w:val="nil"/>
              <w:bottom w:val="nil"/>
              <w:right w:val="nil"/>
            </w:tcBorders>
            <w:shd w:val="clear" w:color="auto" w:fill="D9D9D9" w:themeFill="background1" w:themeFillShade="D9"/>
            <w:vAlign w:val="bottom"/>
          </w:tcPr>
          <w:p w14:paraId="3EF7B82C" w14:textId="48E3A3CD" w:rsidR="56BAB897" w:rsidRPr="00131FD7" w:rsidRDefault="56BAB897" w:rsidP="00914946">
            <w:pPr>
              <w:spacing w:line="240" w:lineRule="auto"/>
              <w:rPr>
                <w:rFonts w:eastAsia="Calibri"/>
                <w:color w:val="000000" w:themeColor="text1"/>
              </w:rPr>
            </w:pPr>
            <w:r w:rsidRPr="00131FD7">
              <w:rPr>
                <w:rFonts w:eastAsia="Calibri"/>
                <w:color w:val="000000" w:themeColor="text1"/>
              </w:rPr>
              <w:t>7</w:t>
            </w:r>
            <w:r w:rsidR="00E31903">
              <w:rPr>
                <w:rFonts w:eastAsia="Calibri"/>
                <w:color w:val="000000" w:themeColor="text1"/>
              </w:rPr>
              <w:t xml:space="preserve"> </w:t>
            </w:r>
            <w:r w:rsidRPr="00131FD7">
              <w:rPr>
                <w:rFonts w:eastAsia="Calibri"/>
                <w:color w:val="000000" w:themeColor="text1"/>
              </w:rPr>
              <w:t>341</w:t>
            </w:r>
          </w:p>
        </w:tc>
        <w:tc>
          <w:tcPr>
            <w:tcW w:w="1605" w:type="dxa"/>
            <w:tcBorders>
              <w:top w:val="nil"/>
              <w:left w:val="nil"/>
              <w:bottom w:val="nil"/>
              <w:right w:val="nil"/>
            </w:tcBorders>
            <w:shd w:val="clear" w:color="auto" w:fill="D9D9D9" w:themeFill="background1" w:themeFillShade="D9"/>
            <w:vAlign w:val="bottom"/>
          </w:tcPr>
          <w:p w14:paraId="4A396DCB" w14:textId="600FC39E" w:rsidR="56BAB897" w:rsidRPr="00131FD7" w:rsidRDefault="56BAB897" w:rsidP="00914946">
            <w:pPr>
              <w:spacing w:line="240" w:lineRule="auto"/>
              <w:rPr>
                <w:rFonts w:eastAsia="Calibri"/>
                <w:color w:val="000000" w:themeColor="text1"/>
              </w:rPr>
            </w:pPr>
            <w:r w:rsidRPr="00131FD7">
              <w:rPr>
                <w:rFonts w:eastAsia="Calibri"/>
                <w:color w:val="000000" w:themeColor="text1"/>
              </w:rPr>
              <w:t>9</w:t>
            </w:r>
            <w:r w:rsidR="00E31903">
              <w:rPr>
                <w:rFonts w:eastAsia="Calibri"/>
                <w:color w:val="000000" w:themeColor="text1"/>
              </w:rPr>
              <w:t xml:space="preserve"> </w:t>
            </w:r>
            <w:r w:rsidRPr="00131FD7">
              <w:rPr>
                <w:rFonts w:eastAsia="Calibri"/>
                <w:color w:val="000000" w:themeColor="text1"/>
              </w:rPr>
              <w:t>234</w:t>
            </w:r>
          </w:p>
        </w:tc>
        <w:tc>
          <w:tcPr>
            <w:tcW w:w="1395" w:type="dxa"/>
            <w:tcBorders>
              <w:top w:val="nil"/>
              <w:left w:val="nil"/>
              <w:bottom w:val="nil"/>
              <w:right w:val="nil"/>
            </w:tcBorders>
            <w:shd w:val="clear" w:color="auto" w:fill="D9D9D9" w:themeFill="background1" w:themeFillShade="D9"/>
            <w:vAlign w:val="bottom"/>
          </w:tcPr>
          <w:p w14:paraId="1B092DD4" w14:textId="57D05D90" w:rsidR="56BAB897" w:rsidRPr="00131FD7" w:rsidRDefault="56BAB897" w:rsidP="00914946">
            <w:pPr>
              <w:spacing w:line="240" w:lineRule="auto"/>
              <w:rPr>
                <w:rFonts w:eastAsia="Calibri"/>
                <w:color w:val="000000" w:themeColor="text1"/>
              </w:rPr>
            </w:pPr>
            <w:r w:rsidRPr="00131FD7">
              <w:rPr>
                <w:rFonts w:eastAsia="Calibri"/>
                <w:color w:val="000000" w:themeColor="text1"/>
              </w:rPr>
              <w:t>1</w:t>
            </w:r>
            <w:r w:rsidR="00E31903">
              <w:rPr>
                <w:rFonts w:eastAsia="Calibri"/>
                <w:color w:val="000000" w:themeColor="text1"/>
              </w:rPr>
              <w:t xml:space="preserve"> </w:t>
            </w:r>
            <w:r w:rsidRPr="00131FD7">
              <w:rPr>
                <w:rFonts w:eastAsia="Calibri"/>
                <w:color w:val="000000" w:themeColor="text1"/>
              </w:rPr>
              <w:t>239</w:t>
            </w:r>
          </w:p>
        </w:tc>
        <w:tc>
          <w:tcPr>
            <w:tcW w:w="1245" w:type="dxa"/>
            <w:tcBorders>
              <w:top w:val="nil"/>
              <w:left w:val="nil"/>
              <w:bottom w:val="nil"/>
              <w:right w:val="nil"/>
            </w:tcBorders>
            <w:shd w:val="clear" w:color="auto" w:fill="D9D9D9" w:themeFill="background1" w:themeFillShade="D9"/>
            <w:vAlign w:val="bottom"/>
          </w:tcPr>
          <w:p w14:paraId="037748BC" w14:textId="6FA23CFE" w:rsidR="56BAB897" w:rsidRPr="00131FD7" w:rsidRDefault="56BAB897" w:rsidP="00914946">
            <w:pPr>
              <w:spacing w:line="240" w:lineRule="auto"/>
              <w:rPr>
                <w:rFonts w:eastAsia="Calibri"/>
                <w:color w:val="000000" w:themeColor="text1"/>
              </w:rPr>
            </w:pPr>
            <w:r w:rsidRPr="00131FD7">
              <w:rPr>
                <w:rFonts w:eastAsia="Calibri"/>
                <w:color w:val="000000" w:themeColor="text1"/>
              </w:rPr>
              <w:t>17</w:t>
            </w:r>
            <w:r w:rsidR="00E31903">
              <w:rPr>
                <w:rFonts w:eastAsia="Calibri"/>
                <w:color w:val="000000" w:themeColor="text1"/>
              </w:rPr>
              <w:t xml:space="preserve"> </w:t>
            </w:r>
            <w:r w:rsidRPr="00131FD7">
              <w:rPr>
                <w:rFonts w:eastAsia="Calibri"/>
                <w:color w:val="000000" w:themeColor="text1"/>
              </w:rPr>
              <w:t>814</w:t>
            </w:r>
          </w:p>
        </w:tc>
      </w:tr>
      <w:tr w:rsidR="56BAB897" w:rsidRPr="00131FD7" w14:paraId="5FF20FFC" w14:textId="77777777" w:rsidTr="00131FD7">
        <w:trPr>
          <w:trHeight w:val="300"/>
        </w:trPr>
        <w:tc>
          <w:tcPr>
            <w:tcW w:w="945" w:type="dxa"/>
            <w:tcBorders>
              <w:top w:val="nil"/>
              <w:left w:val="nil"/>
              <w:bottom w:val="nil"/>
              <w:right w:val="nil"/>
            </w:tcBorders>
            <w:vAlign w:val="bottom"/>
          </w:tcPr>
          <w:p w14:paraId="091C42E9" w14:textId="7BA6EC42" w:rsidR="56BAB897" w:rsidRPr="00131FD7" w:rsidRDefault="56BAB897" w:rsidP="00914946">
            <w:pPr>
              <w:spacing w:line="240" w:lineRule="auto"/>
              <w:rPr>
                <w:rFonts w:eastAsia="Calibri"/>
                <w:color w:val="000000" w:themeColor="text1"/>
              </w:rPr>
            </w:pPr>
            <w:r w:rsidRPr="00131FD7">
              <w:rPr>
                <w:rFonts w:eastAsia="Calibri"/>
                <w:color w:val="000000" w:themeColor="text1"/>
              </w:rPr>
              <w:t>2017</w:t>
            </w:r>
          </w:p>
        </w:tc>
        <w:tc>
          <w:tcPr>
            <w:tcW w:w="945" w:type="dxa"/>
            <w:tcBorders>
              <w:top w:val="nil"/>
              <w:left w:val="nil"/>
              <w:bottom w:val="nil"/>
              <w:right w:val="nil"/>
            </w:tcBorders>
            <w:vAlign w:val="bottom"/>
          </w:tcPr>
          <w:p w14:paraId="48DFBA8A" w14:textId="6EBB797A" w:rsidR="56BAB897" w:rsidRPr="00131FD7" w:rsidRDefault="56BAB897" w:rsidP="00914946">
            <w:pPr>
              <w:spacing w:line="240" w:lineRule="auto"/>
              <w:rPr>
                <w:rFonts w:eastAsia="Calibri"/>
                <w:color w:val="000000" w:themeColor="text1"/>
              </w:rPr>
            </w:pPr>
          </w:p>
        </w:tc>
        <w:tc>
          <w:tcPr>
            <w:tcW w:w="945" w:type="dxa"/>
            <w:tcBorders>
              <w:top w:val="nil"/>
              <w:left w:val="nil"/>
              <w:bottom w:val="nil"/>
              <w:right w:val="nil"/>
            </w:tcBorders>
            <w:vAlign w:val="bottom"/>
          </w:tcPr>
          <w:p w14:paraId="73EFCEA9" w14:textId="1686B53D" w:rsidR="56BAB897" w:rsidRPr="00131FD7" w:rsidRDefault="56BAB897" w:rsidP="00914946">
            <w:pPr>
              <w:spacing w:line="240" w:lineRule="auto"/>
              <w:rPr>
                <w:rFonts w:eastAsia="Calibri"/>
                <w:color w:val="000000" w:themeColor="text1"/>
              </w:rPr>
            </w:pPr>
            <w:r w:rsidRPr="00131FD7">
              <w:rPr>
                <w:rFonts w:eastAsia="Calibri"/>
                <w:color w:val="000000" w:themeColor="text1"/>
              </w:rPr>
              <w:t>7</w:t>
            </w:r>
            <w:r w:rsidR="00E31903">
              <w:rPr>
                <w:rFonts w:eastAsia="Calibri"/>
                <w:color w:val="000000" w:themeColor="text1"/>
              </w:rPr>
              <w:t xml:space="preserve"> </w:t>
            </w:r>
            <w:r w:rsidRPr="00131FD7">
              <w:rPr>
                <w:rFonts w:eastAsia="Calibri"/>
                <w:color w:val="000000" w:themeColor="text1"/>
              </w:rPr>
              <w:t>339</w:t>
            </w:r>
          </w:p>
        </w:tc>
        <w:tc>
          <w:tcPr>
            <w:tcW w:w="1605" w:type="dxa"/>
            <w:tcBorders>
              <w:top w:val="nil"/>
              <w:left w:val="nil"/>
              <w:bottom w:val="nil"/>
              <w:right w:val="nil"/>
            </w:tcBorders>
            <w:vAlign w:val="bottom"/>
          </w:tcPr>
          <w:p w14:paraId="773464D2" w14:textId="3E0ADAC1" w:rsidR="56BAB897" w:rsidRPr="00131FD7" w:rsidRDefault="56BAB897" w:rsidP="00914946">
            <w:pPr>
              <w:spacing w:line="240" w:lineRule="auto"/>
              <w:rPr>
                <w:rFonts w:eastAsia="Calibri"/>
                <w:color w:val="000000" w:themeColor="text1"/>
              </w:rPr>
            </w:pPr>
            <w:r w:rsidRPr="00131FD7">
              <w:rPr>
                <w:rFonts w:eastAsia="Calibri"/>
                <w:color w:val="000000" w:themeColor="text1"/>
              </w:rPr>
              <w:t>9</w:t>
            </w:r>
            <w:r w:rsidR="00E31903">
              <w:rPr>
                <w:rFonts w:eastAsia="Calibri"/>
                <w:color w:val="000000" w:themeColor="text1"/>
              </w:rPr>
              <w:t xml:space="preserve"> </w:t>
            </w:r>
            <w:r w:rsidRPr="00131FD7">
              <w:rPr>
                <w:rFonts w:eastAsia="Calibri"/>
                <w:color w:val="000000" w:themeColor="text1"/>
              </w:rPr>
              <w:t>287</w:t>
            </w:r>
          </w:p>
        </w:tc>
        <w:tc>
          <w:tcPr>
            <w:tcW w:w="1395" w:type="dxa"/>
            <w:tcBorders>
              <w:top w:val="nil"/>
              <w:left w:val="nil"/>
              <w:bottom w:val="nil"/>
              <w:right w:val="nil"/>
            </w:tcBorders>
            <w:vAlign w:val="bottom"/>
          </w:tcPr>
          <w:p w14:paraId="51C03112" w14:textId="4176E8F8" w:rsidR="56BAB897" w:rsidRPr="00131FD7" w:rsidRDefault="56BAB897" w:rsidP="00914946">
            <w:pPr>
              <w:spacing w:line="240" w:lineRule="auto"/>
              <w:rPr>
                <w:rFonts w:eastAsia="Calibri"/>
                <w:color w:val="000000" w:themeColor="text1"/>
              </w:rPr>
            </w:pPr>
            <w:r w:rsidRPr="00131FD7">
              <w:rPr>
                <w:rFonts w:eastAsia="Calibri"/>
                <w:color w:val="000000" w:themeColor="text1"/>
              </w:rPr>
              <w:t>1</w:t>
            </w:r>
            <w:r w:rsidR="00E31903">
              <w:rPr>
                <w:rFonts w:eastAsia="Calibri"/>
                <w:color w:val="000000" w:themeColor="text1"/>
              </w:rPr>
              <w:t xml:space="preserve"> </w:t>
            </w:r>
            <w:r w:rsidRPr="00131FD7">
              <w:rPr>
                <w:rFonts w:eastAsia="Calibri"/>
                <w:color w:val="000000" w:themeColor="text1"/>
              </w:rPr>
              <w:t>318</w:t>
            </w:r>
          </w:p>
        </w:tc>
        <w:tc>
          <w:tcPr>
            <w:tcW w:w="1245" w:type="dxa"/>
            <w:tcBorders>
              <w:top w:val="nil"/>
              <w:left w:val="nil"/>
              <w:bottom w:val="nil"/>
              <w:right w:val="nil"/>
            </w:tcBorders>
            <w:vAlign w:val="bottom"/>
          </w:tcPr>
          <w:p w14:paraId="3FD4E6B6" w14:textId="09D4372E" w:rsidR="56BAB897" w:rsidRPr="00131FD7" w:rsidRDefault="56BAB897" w:rsidP="00914946">
            <w:pPr>
              <w:spacing w:line="240" w:lineRule="auto"/>
              <w:rPr>
                <w:rFonts w:eastAsia="Calibri"/>
                <w:color w:val="000000" w:themeColor="text1"/>
              </w:rPr>
            </w:pPr>
            <w:r w:rsidRPr="00131FD7">
              <w:rPr>
                <w:rFonts w:eastAsia="Calibri"/>
                <w:color w:val="000000" w:themeColor="text1"/>
              </w:rPr>
              <w:t>17</w:t>
            </w:r>
            <w:r w:rsidR="00E31903">
              <w:rPr>
                <w:rFonts w:eastAsia="Calibri"/>
                <w:color w:val="000000" w:themeColor="text1"/>
              </w:rPr>
              <w:t xml:space="preserve"> </w:t>
            </w:r>
            <w:r w:rsidRPr="00131FD7">
              <w:rPr>
                <w:rFonts w:eastAsia="Calibri"/>
                <w:color w:val="000000" w:themeColor="text1"/>
              </w:rPr>
              <w:t>944</w:t>
            </w:r>
          </w:p>
        </w:tc>
      </w:tr>
      <w:tr w:rsidR="56BAB897" w:rsidRPr="00131FD7" w14:paraId="2A9C86BA" w14:textId="77777777" w:rsidTr="00131FD7">
        <w:trPr>
          <w:trHeight w:val="300"/>
        </w:trPr>
        <w:tc>
          <w:tcPr>
            <w:tcW w:w="945" w:type="dxa"/>
            <w:tcBorders>
              <w:top w:val="nil"/>
              <w:left w:val="nil"/>
              <w:bottom w:val="nil"/>
              <w:right w:val="nil"/>
            </w:tcBorders>
            <w:shd w:val="clear" w:color="auto" w:fill="D9D9D9" w:themeFill="background1" w:themeFillShade="D9"/>
            <w:vAlign w:val="bottom"/>
          </w:tcPr>
          <w:p w14:paraId="4FE869F1" w14:textId="37B34693" w:rsidR="56BAB897" w:rsidRPr="00131FD7" w:rsidRDefault="56BAB897" w:rsidP="00914946">
            <w:pPr>
              <w:spacing w:line="240" w:lineRule="auto"/>
              <w:rPr>
                <w:rFonts w:eastAsia="Calibri"/>
                <w:color w:val="000000" w:themeColor="text1"/>
              </w:rPr>
            </w:pPr>
            <w:r w:rsidRPr="00131FD7">
              <w:rPr>
                <w:rFonts w:eastAsia="Calibri"/>
                <w:color w:val="000000" w:themeColor="text1"/>
              </w:rPr>
              <w:t>2018</w:t>
            </w:r>
          </w:p>
        </w:tc>
        <w:tc>
          <w:tcPr>
            <w:tcW w:w="945" w:type="dxa"/>
            <w:tcBorders>
              <w:top w:val="nil"/>
              <w:left w:val="nil"/>
              <w:bottom w:val="nil"/>
              <w:right w:val="nil"/>
            </w:tcBorders>
            <w:shd w:val="clear" w:color="auto" w:fill="D9D9D9" w:themeFill="background1" w:themeFillShade="D9"/>
            <w:vAlign w:val="bottom"/>
          </w:tcPr>
          <w:p w14:paraId="54459E27" w14:textId="79BD88AE" w:rsidR="56BAB897" w:rsidRPr="00131FD7" w:rsidRDefault="56BAB897" w:rsidP="00914946">
            <w:pPr>
              <w:spacing w:line="240" w:lineRule="auto"/>
              <w:rPr>
                <w:rFonts w:eastAsia="Calibri"/>
                <w:color w:val="000000" w:themeColor="text1"/>
              </w:rPr>
            </w:pPr>
          </w:p>
        </w:tc>
        <w:tc>
          <w:tcPr>
            <w:tcW w:w="945" w:type="dxa"/>
            <w:tcBorders>
              <w:top w:val="nil"/>
              <w:left w:val="nil"/>
              <w:bottom w:val="nil"/>
              <w:right w:val="nil"/>
            </w:tcBorders>
            <w:shd w:val="clear" w:color="auto" w:fill="D9D9D9" w:themeFill="background1" w:themeFillShade="D9"/>
            <w:vAlign w:val="bottom"/>
          </w:tcPr>
          <w:p w14:paraId="23CE16D8" w14:textId="2D55A552" w:rsidR="56BAB897" w:rsidRPr="00131FD7" w:rsidRDefault="56BAB897" w:rsidP="00914946">
            <w:pPr>
              <w:spacing w:line="240" w:lineRule="auto"/>
              <w:rPr>
                <w:rFonts w:eastAsia="Calibri"/>
                <w:color w:val="000000" w:themeColor="text1"/>
              </w:rPr>
            </w:pPr>
            <w:r w:rsidRPr="00131FD7">
              <w:rPr>
                <w:rFonts w:eastAsia="Calibri"/>
                <w:color w:val="000000" w:themeColor="text1"/>
              </w:rPr>
              <w:t>7</w:t>
            </w:r>
            <w:r w:rsidR="00E31903">
              <w:rPr>
                <w:rFonts w:eastAsia="Calibri"/>
                <w:color w:val="000000" w:themeColor="text1"/>
              </w:rPr>
              <w:t xml:space="preserve"> </w:t>
            </w:r>
            <w:r w:rsidRPr="00131FD7">
              <w:rPr>
                <w:rFonts w:eastAsia="Calibri"/>
                <w:color w:val="000000" w:themeColor="text1"/>
              </w:rPr>
              <w:t>173</w:t>
            </w:r>
          </w:p>
        </w:tc>
        <w:tc>
          <w:tcPr>
            <w:tcW w:w="1605" w:type="dxa"/>
            <w:tcBorders>
              <w:top w:val="nil"/>
              <w:left w:val="nil"/>
              <w:bottom w:val="nil"/>
              <w:right w:val="nil"/>
            </w:tcBorders>
            <w:shd w:val="clear" w:color="auto" w:fill="D9D9D9" w:themeFill="background1" w:themeFillShade="D9"/>
            <w:vAlign w:val="bottom"/>
          </w:tcPr>
          <w:p w14:paraId="60E5AA59" w14:textId="49B40AD0" w:rsidR="56BAB897" w:rsidRPr="00131FD7" w:rsidRDefault="56BAB897" w:rsidP="00914946">
            <w:pPr>
              <w:spacing w:line="240" w:lineRule="auto"/>
              <w:rPr>
                <w:rFonts w:eastAsia="Calibri"/>
                <w:color w:val="000000" w:themeColor="text1"/>
              </w:rPr>
            </w:pPr>
            <w:r w:rsidRPr="00131FD7">
              <w:rPr>
                <w:rFonts w:eastAsia="Calibri"/>
                <w:color w:val="000000" w:themeColor="text1"/>
              </w:rPr>
              <w:t>9</w:t>
            </w:r>
            <w:r w:rsidR="00E31903">
              <w:rPr>
                <w:rFonts w:eastAsia="Calibri"/>
                <w:color w:val="000000" w:themeColor="text1"/>
              </w:rPr>
              <w:t xml:space="preserve"> </w:t>
            </w:r>
            <w:r w:rsidRPr="00131FD7">
              <w:rPr>
                <w:rFonts w:eastAsia="Calibri"/>
                <w:color w:val="000000" w:themeColor="text1"/>
              </w:rPr>
              <w:t>458</w:t>
            </w:r>
          </w:p>
        </w:tc>
        <w:tc>
          <w:tcPr>
            <w:tcW w:w="1395" w:type="dxa"/>
            <w:tcBorders>
              <w:top w:val="nil"/>
              <w:left w:val="nil"/>
              <w:bottom w:val="nil"/>
              <w:right w:val="nil"/>
            </w:tcBorders>
            <w:shd w:val="clear" w:color="auto" w:fill="D9D9D9" w:themeFill="background1" w:themeFillShade="D9"/>
            <w:vAlign w:val="bottom"/>
          </w:tcPr>
          <w:p w14:paraId="2EB37AE9" w14:textId="1B0FA71B" w:rsidR="56BAB897" w:rsidRPr="00131FD7" w:rsidRDefault="56BAB897" w:rsidP="00914946">
            <w:pPr>
              <w:spacing w:line="240" w:lineRule="auto"/>
              <w:rPr>
                <w:rFonts w:eastAsia="Calibri"/>
                <w:color w:val="000000" w:themeColor="text1"/>
              </w:rPr>
            </w:pPr>
            <w:r w:rsidRPr="00131FD7">
              <w:rPr>
                <w:rFonts w:eastAsia="Calibri"/>
                <w:color w:val="000000" w:themeColor="text1"/>
              </w:rPr>
              <w:t>1</w:t>
            </w:r>
            <w:r w:rsidR="00E31903">
              <w:rPr>
                <w:rFonts w:eastAsia="Calibri"/>
                <w:color w:val="000000" w:themeColor="text1"/>
              </w:rPr>
              <w:t xml:space="preserve"> </w:t>
            </w:r>
            <w:r w:rsidRPr="00131FD7">
              <w:rPr>
                <w:rFonts w:eastAsia="Calibri"/>
                <w:color w:val="000000" w:themeColor="text1"/>
              </w:rPr>
              <w:t>496</w:t>
            </w:r>
          </w:p>
        </w:tc>
        <w:tc>
          <w:tcPr>
            <w:tcW w:w="1245" w:type="dxa"/>
            <w:tcBorders>
              <w:top w:val="nil"/>
              <w:left w:val="nil"/>
              <w:bottom w:val="nil"/>
              <w:right w:val="nil"/>
            </w:tcBorders>
            <w:shd w:val="clear" w:color="auto" w:fill="D9D9D9" w:themeFill="background1" w:themeFillShade="D9"/>
            <w:vAlign w:val="bottom"/>
          </w:tcPr>
          <w:p w14:paraId="2785331D" w14:textId="428A6C9B" w:rsidR="56BAB897" w:rsidRPr="00131FD7" w:rsidRDefault="56BAB897" w:rsidP="00914946">
            <w:pPr>
              <w:spacing w:line="240" w:lineRule="auto"/>
              <w:rPr>
                <w:rFonts w:eastAsia="Calibri"/>
                <w:color w:val="000000" w:themeColor="text1"/>
              </w:rPr>
            </w:pPr>
            <w:r w:rsidRPr="00131FD7">
              <w:rPr>
                <w:rFonts w:eastAsia="Calibri"/>
                <w:color w:val="000000" w:themeColor="text1"/>
              </w:rPr>
              <w:t>18</w:t>
            </w:r>
            <w:r w:rsidR="00E31903">
              <w:rPr>
                <w:rFonts w:eastAsia="Calibri"/>
                <w:color w:val="000000" w:themeColor="text1"/>
              </w:rPr>
              <w:t xml:space="preserve"> </w:t>
            </w:r>
            <w:r w:rsidRPr="00131FD7">
              <w:rPr>
                <w:rFonts w:eastAsia="Calibri"/>
                <w:color w:val="000000" w:themeColor="text1"/>
              </w:rPr>
              <w:t>127</w:t>
            </w:r>
          </w:p>
        </w:tc>
      </w:tr>
      <w:tr w:rsidR="56BAB897" w:rsidRPr="00131FD7" w14:paraId="46A4E268" w14:textId="77777777" w:rsidTr="00131FD7">
        <w:trPr>
          <w:trHeight w:val="300"/>
        </w:trPr>
        <w:tc>
          <w:tcPr>
            <w:tcW w:w="945" w:type="dxa"/>
            <w:tcBorders>
              <w:top w:val="nil"/>
              <w:left w:val="nil"/>
              <w:bottom w:val="nil"/>
              <w:right w:val="nil"/>
            </w:tcBorders>
            <w:vAlign w:val="bottom"/>
          </w:tcPr>
          <w:p w14:paraId="6F6999CE" w14:textId="7E451DD3" w:rsidR="56BAB897" w:rsidRPr="00131FD7" w:rsidRDefault="56BAB897" w:rsidP="00914946">
            <w:pPr>
              <w:spacing w:line="240" w:lineRule="auto"/>
              <w:rPr>
                <w:rFonts w:eastAsia="Calibri"/>
                <w:color w:val="000000" w:themeColor="text1"/>
              </w:rPr>
            </w:pPr>
            <w:r w:rsidRPr="00131FD7">
              <w:rPr>
                <w:rFonts w:eastAsia="Calibri"/>
                <w:color w:val="000000" w:themeColor="text1"/>
              </w:rPr>
              <w:t>2019</w:t>
            </w:r>
          </w:p>
        </w:tc>
        <w:tc>
          <w:tcPr>
            <w:tcW w:w="945" w:type="dxa"/>
            <w:tcBorders>
              <w:top w:val="nil"/>
              <w:left w:val="nil"/>
              <w:bottom w:val="nil"/>
              <w:right w:val="nil"/>
            </w:tcBorders>
            <w:vAlign w:val="bottom"/>
          </w:tcPr>
          <w:p w14:paraId="2ED458C6" w14:textId="0050839E" w:rsidR="56BAB897" w:rsidRPr="00131FD7" w:rsidRDefault="56BAB897" w:rsidP="00914946">
            <w:pPr>
              <w:spacing w:line="240" w:lineRule="auto"/>
              <w:rPr>
                <w:rFonts w:eastAsia="Calibri"/>
                <w:color w:val="000000" w:themeColor="text1"/>
              </w:rPr>
            </w:pPr>
          </w:p>
        </w:tc>
        <w:tc>
          <w:tcPr>
            <w:tcW w:w="945" w:type="dxa"/>
            <w:tcBorders>
              <w:top w:val="nil"/>
              <w:left w:val="nil"/>
              <w:bottom w:val="nil"/>
              <w:right w:val="nil"/>
            </w:tcBorders>
            <w:vAlign w:val="bottom"/>
          </w:tcPr>
          <w:p w14:paraId="0A645C92" w14:textId="5375602E" w:rsidR="56BAB897" w:rsidRPr="00131FD7" w:rsidRDefault="56BAB897" w:rsidP="00914946">
            <w:pPr>
              <w:spacing w:line="240" w:lineRule="auto"/>
              <w:rPr>
                <w:rFonts w:eastAsia="Calibri"/>
                <w:color w:val="000000" w:themeColor="text1"/>
              </w:rPr>
            </w:pPr>
            <w:r w:rsidRPr="00131FD7">
              <w:rPr>
                <w:rFonts w:eastAsia="Calibri"/>
                <w:color w:val="000000" w:themeColor="text1"/>
              </w:rPr>
              <w:t>7</w:t>
            </w:r>
            <w:r w:rsidR="00E31903">
              <w:rPr>
                <w:rFonts w:eastAsia="Calibri"/>
                <w:color w:val="000000" w:themeColor="text1"/>
              </w:rPr>
              <w:t xml:space="preserve"> </w:t>
            </w:r>
            <w:r w:rsidRPr="00131FD7">
              <w:rPr>
                <w:rFonts w:eastAsia="Calibri"/>
                <w:color w:val="000000" w:themeColor="text1"/>
              </w:rPr>
              <w:t>163</w:t>
            </w:r>
          </w:p>
        </w:tc>
        <w:tc>
          <w:tcPr>
            <w:tcW w:w="1605" w:type="dxa"/>
            <w:tcBorders>
              <w:top w:val="nil"/>
              <w:left w:val="nil"/>
              <w:bottom w:val="nil"/>
              <w:right w:val="nil"/>
            </w:tcBorders>
            <w:vAlign w:val="bottom"/>
          </w:tcPr>
          <w:p w14:paraId="376610BC" w14:textId="58F7B7CD" w:rsidR="56BAB897" w:rsidRPr="00131FD7" w:rsidRDefault="56BAB897" w:rsidP="00914946">
            <w:pPr>
              <w:spacing w:line="240" w:lineRule="auto"/>
              <w:rPr>
                <w:rFonts w:eastAsia="Calibri"/>
                <w:color w:val="000000" w:themeColor="text1"/>
              </w:rPr>
            </w:pPr>
            <w:r w:rsidRPr="00131FD7">
              <w:rPr>
                <w:rFonts w:eastAsia="Calibri"/>
                <w:color w:val="000000" w:themeColor="text1"/>
              </w:rPr>
              <w:t>9</w:t>
            </w:r>
            <w:r w:rsidR="00E31903">
              <w:rPr>
                <w:rFonts w:eastAsia="Calibri"/>
                <w:color w:val="000000" w:themeColor="text1"/>
              </w:rPr>
              <w:t xml:space="preserve"> </w:t>
            </w:r>
            <w:r w:rsidRPr="00131FD7">
              <w:rPr>
                <w:rFonts w:eastAsia="Calibri"/>
                <w:color w:val="000000" w:themeColor="text1"/>
              </w:rPr>
              <w:t>638</w:t>
            </w:r>
          </w:p>
        </w:tc>
        <w:tc>
          <w:tcPr>
            <w:tcW w:w="1395" w:type="dxa"/>
            <w:tcBorders>
              <w:top w:val="nil"/>
              <w:left w:val="nil"/>
              <w:bottom w:val="nil"/>
              <w:right w:val="nil"/>
            </w:tcBorders>
            <w:vAlign w:val="bottom"/>
          </w:tcPr>
          <w:p w14:paraId="2E9841A5" w14:textId="32530D50" w:rsidR="56BAB897" w:rsidRPr="00131FD7" w:rsidRDefault="56BAB897" w:rsidP="00914946">
            <w:pPr>
              <w:spacing w:line="240" w:lineRule="auto"/>
              <w:rPr>
                <w:rFonts w:eastAsia="Calibri"/>
                <w:color w:val="000000" w:themeColor="text1"/>
              </w:rPr>
            </w:pPr>
            <w:r w:rsidRPr="00131FD7">
              <w:rPr>
                <w:rFonts w:eastAsia="Calibri"/>
                <w:color w:val="000000" w:themeColor="text1"/>
              </w:rPr>
              <w:t>1</w:t>
            </w:r>
            <w:r w:rsidR="00E31903">
              <w:rPr>
                <w:rFonts w:eastAsia="Calibri"/>
                <w:color w:val="000000" w:themeColor="text1"/>
              </w:rPr>
              <w:t xml:space="preserve"> </w:t>
            </w:r>
            <w:r w:rsidRPr="00131FD7">
              <w:rPr>
                <w:rFonts w:eastAsia="Calibri"/>
                <w:color w:val="000000" w:themeColor="text1"/>
              </w:rPr>
              <w:t>891</w:t>
            </w:r>
          </w:p>
        </w:tc>
        <w:tc>
          <w:tcPr>
            <w:tcW w:w="1245" w:type="dxa"/>
            <w:tcBorders>
              <w:top w:val="nil"/>
              <w:left w:val="nil"/>
              <w:bottom w:val="nil"/>
              <w:right w:val="nil"/>
            </w:tcBorders>
            <w:vAlign w:val="bottom"/>
          </w:tcPr>
          <w:p w14:paraId="473DC428" w14:textId="373287BC" w:rsidR="56BAB897" w:rsidRPr="00131FD7" w:rsidRDefault="56BAB897" w:rsidP="00914946">
            <w:pPr>
              <w:spacing w:line="240" w:lineRule="auto"/>
              <w:rPr>
                <w:rFonts w:eastAsia="Calibri"/>
                <w:color w:val="000000" w:themeColor="text1"/>
              </w:rPr>
            </w:pPr>
            <w:r w:rsidRPr="00131FD7">
              <w:rPr>
                <w:rFonts w:eastAsia="Calibri"/>
                <w:color w:val="000000" w:themeColor="text1"/>
              </w:rPr>
              <w:t>18</w:t>
            </w:r>
            <w:r w:rsidR="00E31903">
              <w:rPr>
                <w:rFonts w:eastAsia="Calibri"/>
                <w:color w:val="000000" w:themeColor="text1"/>
              </w:rPr>
              <w:t xml:space="preserve"> </w:t>
            </w:r>
            <w:r w:rsidRPr="00131FD7">
              <w:rPr>
                <w:rFonts w:eastAsia="Calibri"/>
                <w:color w:val="000000" w:themeColor="text1"/>
              </w:rPr>
              <w:t>692</w:t>
            </w:r>
          </w:p>
        </w:tc>
      </w:tr>
      <w:tr w:rsidR="56BAB897" w:rsidRPr="00131FD7" w14:paraId="58E30B6A" w14:textId="77777777" w:rsidTr="00131FD7">
        <w:trPr>
          <w:trHeight w:val="300"/>
        </w:trPr>
        <w:tc>
          <w:tcPr>
            <w:tcW w:w="945" w:type="dxa"/>
            <w:tcBorders>
              <w:top w:val="nil"/>
              <w:left w:val="nil"/>
              <w:bottom w:val="nil"/>
              <w:right w:val="nil"/>
            </w:tcBorders>
            <w:shd w:val="clear" w:color="auto" w:fill="D9D9D9" w:themeFill="background1" w:themeFillShade="D9"/>
            <w:vAlign w:val="bottom"/>
          </w:tcPr>
          <w:p w14:paraId="3F5E9A1A" w14:textId="37E2D6CB" w:rsidR="56BAB897" w:rsidRPr="00131FD7" w:rsidRDefault="56BAB897" w:rsidP="00914946">
            <w:pPr>
              <w:spacing w:line="240" w:lineRule="auto"/>
              <w:rPr>
                <w:rFonts w:eastAsia="Calibri"/>
                <w:color w:val="000000" w:themeColor="text1"/>
              </w:rPr>
            </w:pPr>
            <w:r w:rsidRPr="00131FD7">
              <w:rPr>
                <w:rFonts w:eastAsia="Calibri"/>
                <w:color w:val="000000" w:themeColor="text1"/>
              </w:rPr>
              <w:t>2020</w:t>
            </w:r>
          </w:p>
        </w:tc>
        <w:tc>
          <w:tcPr>
            <w:tcW w:w="945" w:type="dxa"/>
            <w:tcBorders>
              <w:top w:val="nil"/>
              <w:left w:val="nil"/>
              <w:bottom w:val="nil"/>
              <w:right w:val="nil"/>
            </w:tcBorders>
            <w:shd w:val="clear" w:color="auto" w:fill="D9D9D9" w:themeFill="background1" w:themeFillShade="D9"/>
            <w:vAlign w:val="bottom"/>
          </w:tcPr>
          <w:p w14:paraId="07970692" w14:textId="00778E89" w:rsidR="56BAB897" w:rsidRPr="00131FD7" w:rsidRDefault="56BAB897" w:rsidP="00914946">
            <w:pPr>
              <w:spacing w:line="240" w:lineRule="auto"/>
              <w:rPr>
                <w:rFonts w:eastAsia="Calibri"/>
                <w:color w:val="000000" w:themeColor="text1"/>
              </w:rPr>
            </w:pPr>
          </w:p>
        </w:tc>
        <w:tc>
          <w:tcPr>
            <w:tcW w:w="945" w:type="dxa"/>
            <w:tcBorders>
              <w:top w:val="nil"/>
              <w:left w:val="nil"/>
              <w:bottom w:val="nil"/>
              <w:right w:val="nil"/>
            </w:tcBorders>
            <w:shd w:val="clear" w:color="auto" w:fill="D9D9D9" w:themeFill="background1" w:themeFillShade="D9"/>
            <w:vAlign w:val="bottom"/>
          </w:tcPr>
          <w:p w14:paraId="710333B3" w14:textId="288E10B0" w:rsidR="56BAB897" w:rsidRPr="00131FD7" w:rsidRDefault="56BAB897" w:rsidP="00914946">
            <w:pPr>
              <w:spacing w:line="240" w:lineRule="auto"/>
              <w:rPr>
                <w:rFonts w:eastAsia="Calibri"/>
                <w:color w:val="000000" w:themeColor="text1"/>
              </w:rPr>
            </w:pPr>
            <w:r w:rsidRPr="00131FD7">
              <w:rPr>
                <w:rFonts w:eastAsia="Calibri"/>
                <w:color w:val="000000" w:themeColor="text1"/>
              </w:rPr>
              <w:t>7</w:t>
            </w:r>
            <w:r w:rsidR="00E31903">
              <w:rPr>
                <w:rFonts w:eastAsia="Calibri"/>
                <w:color w:val="000000" w:themeColor="text1"/>
              </w:rPr>
              <w:t xml:space="preserve"> </w:t>
            </w:r>
            <w:r w:rsidRPr="00131FD7">
              <w:rPr>
                <w:rFonts w:eastAsia="Calibri"/>
                <w:color w:val="000000" w:themeColor="text1"/>
              </w:rPr>
              <w:t>730</w:t>
            </w:r>
          </w:p>
        </w:tc>
        <w:tc>
          <w:tcPr>
            <w:tcW w:w="1605" w:type="dxa"/>
            <w:tcBorders>
              <w:top w:val="nil"/>
              <w:left w:val="nil"/>
              <w:bottom w:val="nil"/>
              <w:right w:val="nil"/>
            </w:tcBorders>
            <w:shd w:val="clear" w:color="auto" w:fill="D9D9D9" w:themeFill="background1" w:themeFillShade="D9"/>
            <w:vAlign w:val="bottom"/>
          </w:tcPr>
          <w:p w14:paraId="34D873E9" w14:textId="6D22FE29" w:rsidR="56BAB897" w:rsidRPr="00131FD7" w:rsidRDefault="56BAB897" w:rsidP="00914946">
            <w:pPr>
              <w:spacing w:line="240" w:lineRule="auto"/>
              <w:rPr>
                <w:rFonts w:eastAsia="Calibri"/>
                <w:color w:val="000000" w:themeColor="text1"/>
              </w:rPr>
            </w:pPr>
            <w:r w:rsidRPr="00131FD7">
              <w:rPr>
                <w:rFonts w:eastAsia="Calibri"/>
                <w:color w:val="000000" w:themeColor="text1"/>
              </w:rPr>
              <w:t>10</w:t>
            </w:r>
            <w:r w:rsidR="00E31903">
              <w:rPr>
                <w:rFonts w:eastAsia="Calibri"/>
                <w:color w:val="000000" w:themeColor="text1"/>
              </w:rPr>
              <w:t xml:space="preserve"> </w:t>
            </w:r>
            <w:r w:rsidRPr="00131FD7">
              <w:rPr>
                <w:rFonts w:eastAsia="Calibri"/>
                <w:color w:val="000000" w:themeColor="text1"/>
              </w:rPr>
              <w:t>135</w:t>
            </w:r>
          </w:p>
        </w:tc>
        <w:tc>
          <w:tcPr>
            <w:tcW w:w="1395" w:type="dxa"/>
            <w:tcBorders>
              <w:top w:val="nil"/>
              <w:left w:val="nil"/>
              <w:bottom w:val="nil"/>
              <w:right w:val="nil"/>
            </w:tcBorders>
            <w:shd w:val="clear" w:color="auto" w:fill="D9D9D9" w:themeFill="background1" w:themeFillShade="D9"/>
            <w:vAlign w:val="bottom"/>
          </w:tcPr>
          <w:p w14:paraId="4F3EC7DD" w14:textId="727D5D02" w:rsidR="56BAB897" w:rsidRPr="00131FD7" w:rsidRDefault="56BAB897" w:rsidP="00914946">
            <w:pPr>
              <w:spacing w:line="240" w:lineRule="auto"/>
              <w:rPr>
                <w:rFonts w:eastAsia="Calibri"/>
                <w:color w:val="000000" w:themeColor="text1"/>
              </w:rPr>
            </w:pPr>
            <w:r w:rsidRPr="00131FD7">
              <w:rPr>
                <w:rFonts w:eastAsia="Calibri"/>
                <w:color w:val="000000" w:themeColor="text1"/>
              </w:rPr>
              <w:t>2</w:t>
            </w:r>
            <w:r w:rsidR="00E31903">
              <w:rPr>
                <w:rFonts w:eastAsia="Calibri"/>
                <w:color w:val="000000" w:themeColor="text1"/>
              </w:rPr>
              <w:t xml:space="preserve"> </w:t>
            </w:r>
            <w:r w:rsidRPr="00131FD7">
              <w:rPr>
                <w:rFonts w:eastAsia="Calibri"/>
                <w:color w:val="000000" w:themeColor="text1"/>
              </w:rPr>
              <w:t>284</w:t>
            </w:r>
          </w:p>
        </w:tc>
        <w:tc>
          <w:tcPr>
            <w:tcW w:w="1245" w:type="dxa"/>
            <w:tcBorders>
              <w:top w:val="nil"/>
              <w:left w:val="nil"/>
              <w:bottom w:val="nil"/>
              <w:right w:val="nil"/>
            </w:tcBorders>
            <w:shd w:val="clear" w:color="auto" w:fill="D9D9D9" w:themeFill="background1" w:themeFillShade="D9"/>
            <w:vAlign w:val="bottom"/>
          </w:tcPr>
          <w:p w14:paraId="1E672DFF" w14:textId="4E660824" w:rsidR="56BAB897" w:rsidRPr="00131FD7" w:rsidRDefault="56BAB897" w:rsidP="00914946">
            <w:pPr>
              <w:spacing w:line="240" w:lineRule="auto"/>
              <w:rPr>
                <w:rFonts w:eastAsia="Calibri"/>
                <w:color w:val="000000" w:themeColor="text1"/>
              </w:rPr>
            </w:pPr>
            <w:r w:rsidRPr="00131FD7">
              <w:rPr>
                <w:rFonts w:eastAsia="Calibri"/>
                <w:color w:val="000000" w:themeColor="text1"/>
              </w:rPr>
              <w:t>20</w:t>
            </w:r>
            <w:r w:rsidR="00E31903">
              <w:rPr>
                <w:rFonts w:eastAsia="Calibri"/>
                <w:color w:val="000000" w:themeColor="text1"/>
              </w:rPr>
              <w:t xml:space="preserve"> </w:t>
            </w:r>
            <w:r w:rsidRPr="00131FD7">
              <w:rPr>
                <w:rFonts w:eastAsia="Calibri"/>
                <w:color w:val="000000" w:themeColor="text1"/>
              </w:rPr>
              <w:t>329</w:t>
            </w:r>
          </w:p>
        </w:tc>
      </w:tr>
      <w:tr w:rsidR="56BAB897" w:rsidRPr="00131FD7" w14:paraId="5AF48189" w14:textId="77777777" w:rsidTr="00131FD7">
        <w:trPr>
          <w:trHeight w:val="300"/>
        </w:trPr>
        <w:tc>
          <w:tcPr>
            <w:tcW w:w="945" w:type="dxa"/>
            <w:tcBorders>
              <w:top w:val="nil"/>
              <w:left w:val="nil"/>
              <w:bottom w:val="nil"/>
              <w:right w:val="nil"/>
            </w:tcBorders>
            <w:vAlign w:val="bottom"/>
          </w:tcPr>
          <w:p w14:paraId="2826CD75" w14:textId="0FC1986A" w:rsidR="56BAB897" w:rsidRPr="00131FD7" w:rsidRDefault="56BAB897" w:rsidP="00914946">
            <w:pPr>
              <w:spacing w:line="240" w:lineRule="auto"/>
              <w:rPr>
                <w:rFonts w:eastAsia="Calibri"/>
                <w:color w:val="000000" w:themeColor="text1"/>
              </w:rPr>
            </w:pPr>
            <w:r w:rsidRPr="00131FD7">
              <w:rPr>
                <w:rFonts w:eastAsia="Calibri"/>
                <w:color w:val="000000" w:themeColor="text1"/>
              </w:rPr>
              <w:t>2021</w:t>
            </w:r>
          </w:p>
        </w:tc>
        <w:tc>
          <w:tcPr>
            <w:tcW w:w="945" w:type="dxa"/>
            <w:tcBorders>
              <w:top w:val="nil"/>
              <w:left w:val="nil"/>
              <w:bottom w:val="nil"/>
              <w:right w:val="nil"/>
            </w:tcBorders>
            <w:vAlign w:val="bottom"/>
          </w:tcPr>
          <w:p w14:paraId="12A43157" w14:textId="13C4BA12" w:rsidR="56BAB897" w:rsidRPr="00131FD7" w:rsidRDefault="56BAB897" w:rsidP="00914946">
            <w:pPr>
              <w:spacing w:line="240" w:lineRule="auto"/>
              <w:rPr>
                <w:rFonts w:eastAsia="Calibri"/>
                <w:color w:val="000000" w:themeColor="text1"/>
              </w:rPr>
            </w:pPr>
          </w:p>
        </w:tc>
        <w:tc>
          <w:tcPr>
            <w:tcW w:w="945" w:type="dxa"/>
            <w:tcBorders>
              <w:top w:val="nil"/>
              <w:left w:val="nil"/>
              <w:bottom w:val="nil"/>
              <w:right w:val="nil"/>
            </w:tcBorders>
            <w:vAlign w:val="bottom"/>
          </w:tcPr>
          <w:p w14:paraId="27B29FEA" w14:textId="3B533501" w:rsidR="56BAB897" w:rsidRPr="00131FD7" w:rsidRDefault="56BAB897" w:rsidP="00914946">
            <w:pPr>
              <w:spacing w:line="240" w:lineRule="auto"/>
              <w:rPr>
                <w:rFonts w:eastAsia="Calibri"/>
                <w:color w:val="000000" w:themeColor="text1"/>
              </w:rPr>
            </w:pPr>
            <w:r w:rsidRPr="00131FD7">
              <w:rPr>
                <w:rFonts w:eastAsia="Calibri"/>
                <w:color w:val="000000" w:themeColor="text1"/>
              </w:rPr>
              <w:t>7</w:t>
            </w:r>
            <w:r w:rsidR="00E31903">
              <w:rPr>
                <w:rFonts w:eastAsia="Calibri"/>
                <w:color w:val="000000" w:themeColor="text1"/>
              </w:rPr>
              <w:t xml:space="preserve"> </w:t>
            </w:r>
            <w:r w:rsidRPr="00131FD7">
              <w:rPr>
                <w:rFonts w:eastAsia="Calibri"/>
                <w:color w:val="000000" w:themeColor="text1"/>
              </w:rPr>
              <w:t>611</w:t>
            </w:r>
          </w:p>
        </w:tc>
        <w:tc>
          <w:tcPr>
            <w:tcW w:w="1605" w:type="dxa"/>
            <w:tcBorders>
              <w:top w:val="nil"/>
              <w:left w:val="nil"/>
              <w:bottom w:val="nil"/>
              <w:right w:val="nil"/>
            </w:tcBorders>
            <w:vAlign w:val="bottom"/>
          </w:tcPr>
          <w:p w14:paraId="721ADA01" w14:textId="02253EBC" w:rsidR="56BAB897" w:rsidRPr="00131FD7" w:rsidRDefault="56BAB897" w:rsidP="00914946">
            <w:pPr>
              <w:spacing w:line="240" w:lineRule="auto"/>
              <w:rPr>
                <w:rFonts w:eastAsia="Calibri"/>
                <w:color w:val="000000" w:themeColor="text1"/>
              </w:rPr>
            </w:pPr>
            <w:r w:rsidRPr="00131FD7">
              <w:rPr>
                <w:rFonts w:eastAsia="Calibri"/>
                <w:color w:val="000000" w:themeColor="text1"/>
              </w:rPr>
              <w:t>10</w:t>
            </w:r>
            <w:r w:rsidR="00E31903">
              <w:rPr>
                <w:rFonts w:eastAsia="Calibri"/>
                <w:color w:val="000000" w:themeColor="text1"/>
              </w:rPr>
              <w:t xml:space="preserve"> </w:t>
            </w:r>
            <w:r w:rsidRPr="00131FD7">
              <w:rPr>
                <w:rFonts w:eastAsia="Calibri"/>
                <w:color w:val="000000" w:themeColor="text1"/>
              </w:rPr>
              <w:t>473</w:t>
            </w:r>
          </w:p>
        </w:tc>
        <w:tc>
          <w:tcPr>
            <w:tcW w:w="1395" w:type="dxa"/>
            <w:tcBorders>
              <w:top w:val="nil"/>
              <w:left w:val="nil"/>
              <w:bottom w:val="nil"/>
              <w:right w:val="nil"/>
            </w:tcBorders>
            <w:vAlign w:val="bottom"/>
          </w:tcPr>
          <w:p w14:paraId="479CDCE1" w14:textId="69E45DD4" w:rsidR="56BAB897" w:rsidRPr="00131FD7" w:rsidRDefault="56BAB897" w:rsidP="00914946">
            <w:pPr>
              <w:spacing w:line="240" w:lineRule="auto"/>
              <w:rPr>
                <w:rFonts w:eastAsia="Calibri"/>
                <w:color w:val="000000" w:themeColor="text1"/>
              </w:rPr>
            </w:pPr>
            <w:r w:rsidRPr="00131FD7">
              <w:rPr>
                <w:rFonts w:eastAsia="Calibri"/>
                <w:color w:val="000000" w:themeColor="text1"/>
              </w:rPr>
              <w:t>2</w:t>
            </w:r>
            <w:r w:rsidR="00E31903">
              <w:rPr>
                <w:rFonts w:eastAsia="Calibri"/>
                <w:color w:val="000000" w:themeColor="text1"/>
              </w:rPr>
              <w:t xml:space="preserve"> </w:t>
            </w:r>
            <w:r w:rsidRPr="00131FD7">
              <w:rPr>
                <w:rFonts w:eastAsia="Calibri"/>
                <w:color w:val="000000" w:themeColor="text1"/>
              </w:rPr>
              <w:t>154</w:t>
            </w:r>
          </w:p>
        </w:tc>
        <w:tc>
          <w:tcPr>
            <w:tcW w:w="1245" w:type="dxa"/>
            <w:tcBorders>
              <w:top w:val="nil"/>
              <w:left w:val="nil"/>
              <w:bottom w:val="nil"/>
              <w:right w:val="nil"/>
            </w:tcBorders>
            <w:vAlign w:val="bottom"/>
          </w:tcPr>
          <w:p w14:paraId="28334736" w14:textId="78F07C4F" w:rsidR="56BAB897" w:rsidRPr="00131FD7" w:rsidRDefault="56BAB897" w:rsidP="00914946">
            <w:pPr>
              <w:spacing w:line="240" w:lineRule="auto"/>
              <w:rPr>
                <w:rFonts w:eastAsia="Calibri"/>
                <w:color w:val="000000" w:themeColor="text1"/>
              </w:rPr>
            </w:pPr>
            <w:r w:rsidRPr="00131FD7">
              <w:rPr>
                <w:rFonts w:eastAsia="Calibri"/>
                <w:color w:val="000000" w:themeColor="text1"/>
              </w:rPr>
              <w:t>20</w:t>
            </w:r>
            <w:r w:rsidR="00E31903">
              <w:rPr>
                <w:rFonts w:eastAsia="Calibri"/>
                <w:color w:val="000000" w:themeColor="text1"/>
              </w:rPr>
              <w:t xml:space="preserve"> </w:t>
            </w:r>
            <w:r w:rsidRPr="00131FD7">
              <w:rPr>
                <w:rFonts w:eastAsia="Calibri"/>
                <w:color w:val="000000" w:themeColor="text1"/>
              </w:rPr>
              <w:t>238</w:t>
            </w:r>
          </w:p>
        </w:tc>
      </w:tr>
    </w:tbl>
    <w:p w14:paraId="663E9A01" w14:textId="594AEB00" w:rsidR="000439D9" w:rsidRPr="00131FD7" w:rsidRDefault="000439D9" w:rsidP="00131FD7">
      <w:pPr>
        <w:tabs>
          <w:tab w:val="left" w:pos="1620"/>
          <w:tab w:val="left" w:pos="8820"/>
        </w:tabs>
        <w:spacing w:line="240" w:lineRule="auto"/>
        <w:ind w:left="1260" w:right="1200"/>
        <w:jc w:val="both"/>
      </w:pPr>
    </w:p>
    <w:p w14:paraId="07FCFDF5" w14:textId="76B7A4C4" w:rsidR="000439D9" w:rsidRPr="00131FD7" w:rsidRDefault="09F4AAD9" w:rsidP="00DA291E">
      <w:pPr>
        <w:tabs>
          <w:tab w:val="left" w:pos="1620"/>
          <w:tab w:val="left" w:pos="8820"/>
        </w:tabs>
        <w:spacing w:after="120" w:line="240" w:lineRule="auto"/>
        <w:ind w:left="1260" w:right="1200"/>
        <w:jc w:val="both"/>
        <w:rPr>
          <w:b/>
          <w:bCs/>
        </w:rPr>
      </w:pPr>
      <w:r w:rsidRPr="00131FD7">
        <w:t>1</w:t>
      </w:r>
      <w:r w:rsidR="002B1863" w:rsidRPr="00131FD7">
        <w:t>7</w:t>
      </w:r>
      <w:r w:rsidR="123FB84B" w:rsidRPr="00131FD7">
        <w:t>.</w:t>
      </w:r>
      <w:r w:rsidR="000439D9" w:rsidRPr="00131FD7">
        <w:tab/>
      </w:r>
      <w:r w:rsidR="14B3DB6B" w:rsidRPr="00131FD7">
        <w:t xml:space="preserve">Upon enquiry, the Advisory Committee was informed that the </w:t>
      </w:r>
      <w:r w:rsidR="46B34C13" w:rsidRPr="00131FD7">
        <w:t>s</w:t>
      </w:r>
      <w:r w:rsidR="26736453" w:rsidRPr="00131FD7">
        <w:t xml:space="preserve">ervice </w:t>
      </w:r>
      <w:r w:rsidR="59E4AB6F" w:rsidRPr="00131FD7">
        <w:t>c</w:t>
      </w:r>
      <w:r w:rsidR="14B3DB6B" w:rsidRPr="00131FD7">
        <w:t xml:space="preserve">ontract modality is used for the procurement of services of an individual to perform </w:t>
      </w:r>
      <w:r w:rsidR="14B3DB6B" w:rsidRPr="00131FD7">
        <w:lastRenderedPageBreak/>
        <w:t xml:space="preserve">deliverable, time-bound and non-staff tasks aimed at delivering clear and quantifiable outputs which must be clearly identified in the contract and directly linked to payment. The Committee </w:t>
      </w:r>
      <w:r w:rsidR="2C55C895" w:rsidRPr="00131FD7">
        <w:t xml:space="preserve">was furthermore informed that UNDP is replacing the </w:t>
      </w:r>
      <w:r w:rsidR="3487ED2B" w:rsidRPr="00131FD7">
        <w:t>s</w:t>
      </w:r>
      <w:r w:rsidR="2C55C895" w:rsidRPr="00131FD7">
        <w:t xml:space="preserve">ervice </w:t>
      </w:r>
      <w:r w:rsidR="59B55904" w:rsidRPr="00131FD7">
        <w:t>c</w:t>
      </w:r>
      <w:r w:rsidR="2C55C895" w:rsidRPr="00131FD7">
        <w:t xml:space="preserve">ontactor modality. </w:t>
      </w:r>
      <w:r w:rsidR="2CD9FAB7" w:rsidRPr="00131FD7">
        <w:rPr>
          <w:b/>
          <w:bCs/>
        </w:rPr>
        <w:t>The Advisory Committe</w:t>
      </w:r>
      <w:r w:rsidR="3E0425B9" w:rsidRPr="00131FD7">
        <w:rPr>
          <w:b/>
          <w:bCs/>
        </w:rPr>
        <w:t xml:space="preserve">e </w:t>
      </w:r>
      <w:r w:rsidR="4F6DA558" w:rsidRPr="00131FD7">
        <w:rPr>
          <w:b/>
          <w:bCs/>
        </w:rPr>
        <w:t>recalls its previous comments with respect to the high percentage of non-staff personnel working for UNDP and that efforts sho</w:t>
      </w:r>
      <w:r w:rsidR="5AB56C18" w:rsidRPr="00131FD7">
        <w:rPr>
          <w:b/>
          <w:bCs/>
        </w:rPr>
        <w:t>u</w:t>
      </w:r>
      <w:r w:rsidR="4F6DA558" w:rsidRPr="00131FD7">
        <w:rPr>
          <w:b/>
          <w:bCs/>
        </w:rPr>
        <w:t xml:space="preserve">ld be </w:t>
      </w:r>
      <w:r w:rsidR="6F19FED9" w:rsidRPr="00131FD7">
        <w:rPr>
          <w:b/>
          <w:bCs/>
        </w:rPr>
        <w:t xml:space="preserve">made </w:t>
      </w:r>
      <w:r w:rsidR="4F6DA558" w:rsidRPr="00131FD7">
        <w:rPr>
          <w:b/>
          <w:bCs/>
        </w:rPr>
        <w:t xml:space="preserve">to reduce </w:t>
      </w:r>
      <w:r w:rsidR="04C8B418" w:rsidRPr="00131FD7">
        <w:rPr>
          <w:b/>
          <w:bCs/>
        </w:rPr>
        <w:t xml:space="preserve">the </w:t>
      </w:r>
      <w:r w:rsidR="4F6DA558" w:rsidRPr="00131FD7">
        <w:rPr>
          <w:b/>
          <w:bCs/>
        </w:rPr>
        <w:t>reliance on such personnel</w:t>
      </w:r>
      <w:r w:rsidR="207BA546" w:rsidRPr="00131FD7">
        <w:rPr>
          <w:b/>
          <w:bCs/>
        </w:rPr>
        <w:t xml:space="preserve"> (DP/2017/</w:t>
      </w:r>
      <w:r w:rsidR="3A07DEB1" w:rsidRPr="00131FD7">
        <w:rPr>
          <w:b/>
          <w:bCs/>
        </w:rPr>
        <w:t>40, p</w:t>
      </w:r>
      <w:r w:rsidR="474B950F" w:rsidRPr="00131FD7">
        <w:rPr>
          <w:b/>
          <w:bCs/>
        </w:rPr>
        <w:t>ara. 11</w:t>
      </w:r>
      <w:r w:rsidR="7C499F5F" w:rsidRPr="00131FD7">
        <w:rPr>
          <w:b/>
          <w:bCs/>
        </w:rPr>
        <w:t xml:space="preserve">). The Committee </w:t>
      </w:r>
      <w:r w:rsidR="3E0425B9" w:rsidRPr="00131FD7">
        <w:rPr>
          <w:b/>
          <w:bCs/>
        </w:rPr>
        <w:t xml:space="preserve">expresses concern </w:t>
      </w:r>
      <w:r w:rsidR="31EC4696" w:rsidRPr="00131FD7">
        <w:rPr>
          <w:b/>
          <w:bCs/>
        </w:rPr>
        <w:t>that</w:t>
      </w:r>
      <w:r w:rsidR="3E0425B9" w:rsidRPr="00131FD7">
        <w:rPr>
          <w:b/>
          <w:bCs/>
        </w:rPr>
        <w:t xml:space="preserve"> </w:t>
      </w:r>
      <w:r w:rsidR="4AD15281" w:rsidRPr="00131FD7">
        <w:rPr>
          <w:b/>
          <w:bCs/>
        </w:rPr>
        <w:t xml:space="preserve">the replacement of the </w:t>
      </w:r>
      <w:r w:rsidR="6AAE272B" w:rsidRPr="00131FD7">
        <w:rPr>
          <w:b/>
          <w:bCs/>
        </w:rPr>
        <w:t>s</w:t>
      </w:r>
      <w:r w:rsidR="4AD15281" w:rsidRPr="00131FD7">
        <w:rPr>
          <w:b/>
          <w:bCs/>
        </w:rPr>
        <w:t xml:space="preserve">ervice </w:t>
      </w:r>
      <w:r w:rsidR="3A998F6E" w:rsidRPr="00131FD7">
        <w:rPr>
          <w:b/>
          <w:bCs/>
        </w:rPr>
        <w:t>c</w:t>
      </w:r>
      <w:r w:rsidR="4AD15281" w:rsidRPr="00131FD7">
        <w:rPr>
          <w:b/>
          <w:bCs/>
        </w:rPr>
        <w:t xml:space="preserve">ontractor modality was only briefly referenced in the additional information provided to it, and that </w:t>
      </w:r>
      <w:r w:rsidR="3E0425B9" w:rsidRPr="00131FD7">
        <w:rPr>
          <w:b/>
          <w:bCs/>
        </w:rPr>
        <w:t xml:space="preserve">no details </w:t>
      </w:r>
      <w:r w:rsidR="481B1CE4" w:rsidRPr="00131FD7">
        <w:rPr>
          <w:b/>
          <w:bCs/>
        </w:rPr>
        <w:t>thereon</w:t>
      </w:r>
      <w:r w:rsidR="2A23C51A" w:rsidRPr="00131FD7">
        <w:rPr>
          <w:b/>
          <w:bCs/>
        </w:rPr>
        <w:t xml:space="preserve"> </w:t>
      </w:r>
      <w:r w:rsidR="3E0425B9" w:rsidRPr="00131FD7">
        <w:rPr>
          <w:b/>
          <w:bCs/>
        </w:rPr>
        <w:t>were provided in the report of the Administrator</w:t>
      </w:r>
      <w:r w:rsidR="34F9A57A" w:rsidRPr="00131FD7">
        <w:rPr>
          <w:b/>
          <w:bCs/>
        </w:rPr>
        <w:t xml:space="preserve"> as to what this new approach might entail</w:t>
      </w:r>
      <w:r w:rsidR="4DEB8114" w:rsidRPr="00131FD7">
        <w:rPr>
          <w:b/>
          <w:bCs/>
        </w:rPr>
        <w:t>.</w:t>
      </w:r>
      <w:r w:rsidR="3B2FEF89" w:rsidRPr="00131FD7">
        <w:rPr>
          <w:b/>
          <w:bCs/>
        </w:rPr>
        <w:t xml:space="preserve"> The Committee considers </w:t>
      </w:r>
      <w:r w:rsidR="3AEE838F" w:rsidRPr="00131FD7">
        <w:rPr>
          <w:b/>
          <w:bCs/>
        </w:rPr>
        <w:t xml:space="preserve">that </w:t>
      </w:r>
      <w:r w:rsidR="007540CE" w:rsidRPr="00131FD7">
        <w:rPr>
          <w:b/>
          <w:bCs/>
        </w:rPr>
        <w:t xml:space="preserve">any </w:t>
      </w:r>
      <w:r w:rsidR="3B2FEF89" w:rsidRPr="00131FD7">
        <w:rPr>
          <w:b/>
          <w:bCs/>
        </w:rPr>
        <w:t xml:space="preserve">replacement </w:t>
      </w:r>
      <w:r w:rsidR="00A3556F" w:rsidRPr="00131FD7">
        <w:rPr>
          <w:b/>
          <w:bCs/>
        </w:rPr>
        <w:t xml:space="preserve">of the service contractor modality </w:t>
      </w:r>
      <w:r w:rsidR="00AD0424" w:rsidRPr="00131FD7">
        <w:rPr>
          <w:b/>
          <w:bCs/>
        </w:rPr>
        <w:t xml:space="preserve">would be </w:t>
      </w:r>
      <w:r w:rsidR="3B2FEF89" w:rsidRPr="00131FD7">
        <w:rPr>
          <w:b/>
          <w:bCs/>
        </w:rPr>
        <w:t xml:space="preserve">a fundamental </w:t>
      </w:r>
      <w:r w:rsidR="000C7B74" w:rsidRPr="00131FD7">
        <w:rPr>
          <w:b/>
          <w:bCs/>
        </w:rPr>
        <w:t xml:space="preserve">structural </w:t>
      </w:r>
      <w:r w:rsidR="3B2FEF89" w:rsidRPr="00131FD7">
        <w:rPr>
          <w:b/>
          <w:bCs/>
        </w:rPr>
        <w:t>change to the staffing modalities of UNDP</w:t>
      </w:r>
      <w:r w:rsidR="00E31903">
        <w:rPr>
          <w:b/>
          <w:bCs/>
        </w:rPr>
        <w:t>,</w:t>
      </w:r>
      <w:r w:rsidR="3A0EE76D" w:rsidRPr="00131FD7">
        <w:rPr>
          <w:b/>
          <w:bCs/>
        </w:rPr>
        <w:t xml:space="preserve"> </w:t>
      </w:r>
      <w:r w:rsidR="00AD0424" w:rsidRPr="00131FD7">
        <w:rPr>
          <w:b/>
          <w:bCs/>
        </w:rPr>
        <w:t xml:space="preserve">which </w:t>
      </w:r>
      <w:r w:rsidR="115A9012" w:rsidRPr="00131FD7">
        <w:rPr>
          <w:b/>
          <w:bCs/>
        </w:rPr>
        <w:t>r</w:t>
      </w:r>
      <w:r w:rsidR="3A0EE76D" w:rsidRPr="00131FD7">
        <w:rPr>
          <w:b/>
          <w:bCs/>
        </w:rPr>
        <w:t xml:space="preserve">equires the approval </w:t>
      </w:r>
      <w:r w:rsidR="54F1D482" w:rsidRPr="00131FD7">
        <w:rPr>
          <w:b/>
          <w:bCs/>
        </w:rPr>
        <w:t>of</w:t>
      </w:r>
      <w:r w:rsidR="3A0EE76D" w:rsidRPr="00131FD7">
        <w:rPr>
          <w:b/>
          <w:bCs/>
        </w:rPr>
        <w:t xml:space="preserve"> the Executive Board</w:t>
      </w:r>
      <w:r w:rsidR="1F7FA7DF" w:rsidRPr="00131FD7">
        <w:rPr>
          <w:b/>
          <w:bCs/>
        </w:rPr>
        <w:t>. The Committee therefore</w:t>
      </w:r>
      <w:r w:rsidR="3B2FEF89" w:rsidRPr="00131FD7">
        <w:rPr>
          <w:b/>
          <w:bCs/>
        </w:rPr>
        <w:t xml:space="preserve"> </w:t>
      </w:r>
      <w:r w:rsidR="0093386E" w:rsidRPr="00131FD7">
        <w:rPr>
          <w:b/>
          <w:bCs/>
        </w:rPr>
        <w:t xml:space="preserve">recommends </w:t>
      </w:r>
      <w:r w:rsidR="3B2FEF89" w:rsidRPr="00131FD7">
        <w:rPr>
          <w:b/>
          <w:bCs/>
        </w:rPr>
        <w:t>tha</w:t>
      </w:r>
      <w:r w:rsidR="45CC7F93" w:rsidRPr="00131FD7">
        <w:rPr>
          <w:b/>
          <w:bCs/>
        </w:rPr>
        <w:t xml:space="preserve">t </w:t>
      </w:r>
      <w:r w:rsidR="15742401" w:rsidRPr="00131FD7">
        <w:rPr>
          <w:b/>
          <w:bCs/>
        </w:rPr>
        <w:t>the</w:t>
      </w:r>
      <w:r w:rsidR="45CC7F93" w:rsidRPr="00131FD7">
        <w:rPr>
          <w:b/>
          <w:bCs/>
        </w:rPr>
        <w:t xml:space="preserve"> </w:t>
      </w:r>
      <w:r w:rsidR="4E99DDD6" w:rsidRPr="00131FD7">
        <w:rPr>
          <w:b/>
          <w:bCs/>
        </w:rPr>
        <w:t>Administrator</w:t>
      </w:r>
      <w:r w:rsidR="45CC7F93" w:rsidRPr="00131FD7">
        <w:rPr>
          <w:b/>
          <w:bCs/>
        </w:rPr>
        <w:t xml:space="preserve"> </w:t>
      </w:r>
      <w:r w:rsidR="1FC0E7AE" w:rsidRPr="00131FD7">
        <w:rPr>
          <w:b/>
          <w:bCs/>
        </w:rPr>
        <w:t>present</w:t>
      </w:r>
      <w:r w:rsidR="2B0FB72A" w:rsidRPr="00131FD7">
        <w:rPr>
          <w:b/>
          <w:bCs/>
        </w:rPr>
        <w:t xml:space="preserve"> for approval</w:t>
      </w:r>
      <w:r w:rsidR="5D252C0C" w:rsidRPr="00131FD7">
        <w:rPr>
          <w:b/>
          <w:bCs/>
        </w:rPr>
        <w:t xml:space="preserve"> to the </w:t>
      </w:r>
      <w:r w:rsidR="661274AE" w:rsidRPr="00131FD7">
        <w:rPr>
          <w:b/>
          <w:bCs/>
        </w:rPr>
        <w:t>Executive</w:t>
      </w:r>
      <w:r w:rsidR="5D252C0C" w:rsidRPr="00131FD7">
        <w:rPr>
          <w:b/>
          <w:bCs/>
        </w:rPr>
        <w:t xml:space="preserve"> Board, at the time of its consideration of the present</w:t>
      </w:r>
      <w:r w:rsidR="5CFCC6E7" w:rsidRPr="00131FD7">
        <w:rPr>
          <w:b/>
          <w:bCs/>
        </w:rPr>
        <w:t xml:space="preserve"> report</w:t>
      </w:r>
      <w:r w:rsidR="5D252C0C" w:rsidRPr="00131FD7">
        <w:rPr>
          <w:b/>
          <w:bCs/>
        </w:rPr>
        <w:t xml:space="preserve"> during </w:t>
      </w:r>
      <w:r w:rsidR="00E31903">
        <w:rPr>
          <w:b/>
          <w:bCs/>
        </w:rPr>
        <w:t xml:space="preserve">the second regular session </w:t>
      </w:r>
      <w:r w:rsidR="4AC31967" w:rsidRPr="00131FD7">
        <w:rPr>
          <w:b/>
          <w:bCs/>
        </w:rPr>
        <w:t>2021,</w:t>
      </w:r>
      <w:r w:rsidR="3B2FEF89" w:rsidRPr="00131FD7">
        <w:rPr>
          <w:b/>
          <w:bCs/>
        </w:rPr>
        <w:t xml:space="preserve"> a </w:t>
      </w:r>
      <w:r w:rsidR="06C00216" w:rsidRPr="00131FD7">
        <w:rPr>
          <w:b/>
          <w:bCs/>
        </w:rPr>
        <w:t>detailed</w:t>
      </w:r>
      <w:r w:rsidR="3B2FEF89" w:rsidRPr="00131FD7">
        <w:rPr>
          <w:b/>
          <w:bCs/>
        </w:rPr>
        <w:t xml:space="preserve"> </w:t>
      </w:r>
      <w:r w:rsidR="53D8DCAC" w:rsidRPr="00131FD7">
        <w:rPr>
          <w:b/>
          <w:bCs/>
        </w:rPr>
        <w:t>analysis and justification</w:t>
      </w:r>
      <w:r w:rsidR="4B4D0601" w:rsidRPr="00131FD7">
        <w:rPr>
          <w:b/>
          <w:bCs/>
        </w:rPr>
        <w:t xml:space="preserve"> of the</w:t>
      </w:r>
      <w:r w:rsidR="53D8DCAC" w:rsidRPr="00131FD7">
        <w:rPr>
          <w:b/>
          <w:bCs/>
        </w:rPr>
        <w:t xml:space="preserve"> </w:t>
      </w:r>
      <w:r w:rsidR="3B2FEF89" w:rsidRPr="00131FD7">
        <w:rPr>
          <w:b/>
          <w:bCs/>
        </w:rPr>
        <w:t>proposal</w:t>
      </w:r>
      <w:r w:rsidR="0635D20A" w:rsidRPr="00131FD7">
        <w:rPr>
          <w:b/>
          <w:bCs/>
        </w:rPr>
        <w:t xml:space="preserve"> </w:t>
      </w:r>
      <w:r w:rsidR="7E192F1C" w:rsidRPr="00131FD7">
        <w:rPr>
          <w:b/>
          <w:bCs/>
        </w:rPr>
        <w:t xml:space="preserve">to </w:t>
      </w:r>
      <w:r w:rsidR="7DA33614" w:rsidRPr="00131FD7">
        <w:rPr>
          <w:b/>
          <w:bCs/>
        </w:rPr>
        <w:t>replace</w:t>
      </w:r>
      <w:r w:rsidR="383A4F48" w:rsidRPr="00131FD7">
        <w:rPr>
          <w:b/>
          <w:bCs/>
        </w:rPr>
        <w:t xml:space="preserve"> </w:t>
      </w:r>
      <w:r w:rsidR="7DA33614" w:rsidRPr="00131FD7">
        <w:rPr>
          <w:b/>
          <w:bCs/>
        </w:rPr>
        <w:t xml:space="preserve">the </w:t>
      </w:r>
      <w:r w:rsidR="314D856C" w:rsidRPr="00131FD7">
        <w:rPr>
          <w:b/>
          <w:bCs/>
        </w:rPr>
        <w:t>s</w:t>
      </w:r>
      <w:r w:rsidR="7DA33614" w:rsidRPr="00131FD7">
        <w:rPr>
          <w:b/>
          <w:bCs/>
        </w:rPr>
        <w:t xml:space="preserve">ervice </w:t>
      </w:r>
      <w:r w:rsidR="635EBA9A" w:rsidRPr="00131FD7">
        <w:rPr>
          <w:b/>
          <w:bCs/>
        </w:rPr>
        <w:t>c</w:t>
      </w:r>
      <w:r w:rsidR="7DA33614" w:rsidRPr="00131FD7">
        <w:rPr>
          <w:b/>
          <w:bCs/>
        </w:rPr>
        <w:t xml:space="preserve">ontractor modality. Furthermore, the </w:t>
      </w:r>
      <w:r w:rsidR="5B7E4719" w:rsidRPr="00131FD7">
        <w:rPr>
          <w:b/>
          <w:bCs/>
        </w:rPr>
        <w:t xml:space="preserve">Advisory </w:t>
      </w:r>
      <w:r w:rsidR="7DA33614" w:rsidRPr="00131FD7">
        <w:rPr>
          <w:b/>
          <w:bCs/>
        </w:rPr>
        <w:t>Committee requests that the related details  be presented in the next midterm report</w:t>
      </w:r>
      <w:r w:rsidR="5575C2C5" w:rsidRPr="00131FD7">
        <w:rPr>
          <w:b/>
          <w:bCs/>
        </w:rPr>
        <w:t xml:space="preserve"> for consideration </w:t>
      </w:r>
      <w:r w:rsidR="00E31903">
        <w:rPr>
          <w:b/>
          <w:bCs/>
        </w:rPr>
        <w:t>by</w:t>
      </w:r>
      <w:r w:rsidR="5575C2C5" w:rsidRPr="00131FD7">
        <w:rPr>
          <w:b/>
          <w:bCs/>
        </w:rPr>
        <w:t xml:space="preserve"> the Committee.</w:t>
      </w:r>
    </w:p>
    <w:p w14:paraId="2FAA1A94" w14:textId="0E613F16" w:rsidR="1B9417C2" w:rsidRPr="00744DE7" w:rsidRDefault="00744DE7" w:rsidP="00DA291E">
      <w:pPr>
        <w:tabs>
          <w:tab w:val="left" w:pos="1620"/>
          <w:tab w:val="left" w:pos="8820"/>
        </w:tabs>
        <w:spacing w:after="120" w:line="240" w:lineRule="auto"/>
        <w:ind w:left="1260" w:right="1200"/>
        <w:jc w:val="both"/>
        <w:rPr>
          <w:b/>
          <w:bCs/>
          <w:sz w:val="24"/>
          <w:szCs w:val="24"/>
        </w:rPr>
      </w:pPr>
      <w:r w:rsidRPr="00744DE7">
        <w:rPr>
          <w:b/>
          <w:bCs/>
          <w:sz w:val="24"/>
          <w:szCs w:val="24"/>
        </w:rPr>
        <w:t xml:space="preserve">D. </w:t>
      </w:r>
      <w:r w:rsidR="1B9417C2" w:rsidRPr="00744DE7">
        <w:rPr>
          <w:b/>
          <w:bCs/>
          <w:sz w:val="24"/>
          <w:szCs w:val="24"/>
        </w:rPr>
        <w:t>Other matters</w:t>
      </w:r>
    </w:p>
    <w:p w14:paraId="6CE230E5" w14:textId="28270584" w:rsidR="310C0BF4" w:rsidRPr="00744DE7" w:rsidRDefault="310C0BF4" w:rsidP="00131FD7">
      <w:pPr>
        <w:tabs>
          <w:tab w:val="left" w:pos="1755"/>
          <w:tab w:val="left" w:pos="8820"/>
        </w:tabs>
        <w:spacing w:after="120" w:line="240" w:lineRule="auto"/>
        <w:ind w:left="1260" w:right="1200"/>
        <w:jc w:val="both"/>
        <w:rPr>
          <w:b/>
          <w:bCs/>
        </w:rPr>
      </w:pPr>
      <w:r w:rsidRPr="00744DE7">
        <w:rPr>
          <w:b/>
          <w:bCs/>
        </w:rPr>
        <w:t>Resident coordinator system</w:t>
      </w:r>
    </w:p>
    <w:p w14:paraId="5C08699C" w14:textId="4FC05BB9" w:rsidR="57A6DEC9" w:rsidRPr="00131FD7" w:rsidRDefault="57A6DEC9" w:rsidP="00DA291E">
      <w:pPr>
        <w:tabs>
          <w:tab w:val="left" w:pos="1755"/>
          <w:tab w:val="left" w:pos="8820"/>
        </w:tabs>
        <w:spacing w:after="120" w:line="240" w:lineRule="auto"/>
        <w:ind w:left="1260" w:right="1200"/>
        <w:jc w:val="both"/>
        <w:rPr>
          <w:b/>
          <w:bCs/>
        </w:rPr>
      </w:pPr>
      <w:r w:rsidRPr="00131FD7">
        <w:t>1</w:t>
      </w:r>
      <w:r w:rsidR="00B3795C" w:rsidRPr="00131FD7">
        <w:t>8</w:t>
      </w:r>
      <w:r w:rsidR="310C0BF4" w:rsidRPr="00131FD7">
        <w:t>.</w:t>
      </w:r>
      <w:r w:rsidRPr="00131FD7">
        <w:tab/>
      </w:r>
      <w:r w:rsidR="36716E72" w:rsidRPr="00131FD7">
        <w:t xml:space="preserve">As indicated in paragraph 28 of the budget report, the </w:t>
      </w:r>
      <w:r w:rsidR="015F4E4A" w:rsidRPr="00131FD7">
        <w:t>integrated resources plan</w:t>
      </w:r>
      <w:r w:rsidR="36716E72" w:rsidRPr="00131FD7">
        <w:t xml:space="preserve"> for 2022-2025 include</w:t>
      </w:r>
      <w:r w:rsidR="67185746" w:rsidRPr="00131FD7">
        <w:t xml:space="preserve"> $48 million </w:t>
      </w:r>
      <w:r w:rsidR="10D47795" w:rsidRPr="00131FD7">
        <w:t>for</w:t>
      </w:r>
      <w:r w:rsidR="5DFB8B45" w:rsidRPr="00131FD7">
        <w:t xml:space="preserve"> </w:t>
      </w:r>
      <w:r w:rsidR="36716E72" w:rsidRPr="00131FD7">
        <w:t>United Nations development coordination activities</w:t>
      </w:r>
      <w:r w:rsidR="0AF21353" w:rsidRPr="00131FD7">
        <w:t>, and f</w:t>
      </w:r>
      <w:r w:rsidR="36716E72" w:rsidRPr="00131FD7">
        <w:t>ollowing the reform of the United Nations resident coordinator system in 2019, the amount allocated for 2022-2025 relates exclusively to the UNDP contribution to the resident coordinator system</w:t>
      </w:r>
      <w:r w:rsidR="768D8A77" w:rsidRPr="00131FD7">
        <w:t>.</w:t>
      </w:r>
      <w:r w:rsidR="083BDDB6" w:rsidRPr="00131FD7">
        <w:t xml:space="preserve"> Upon enquiry, the Advisory Committee was informed that</w:t>
      </w:r>
      <w:r w:rsidR="407A2C83" w:rsidRPr="00131FD7">
        <w:t xml:space="preserve"> UNDP staff were seconded to the Secretariat as resident coordinators during the establishment of the system</w:t>
      </w:r>
      <w:r w:rsidR="0585A819" w:rsidRPr="00131FD7">
        <w:t xml:space="preserve"> </w:t>
      </w:r>
      <w:r w:rsidR="407A2C83" w:rsidRPr="00131FD7">
        <w:t>as of 1 January 2019</w:t>
      </w:r>
      <w:r w:rsidR="1DB748F9" w:rsidRPr="00131FD7">
        <w:t xml:space="preserve">, and that </w:t>
      </w:r>
      <w:r w:rsidR="407A2C83" w:rsidRPr="00131FD7">
        <w:t>UNDP did not replace these but filled the new positions</w:t>
      </w:r>
      <w:r w:rsidR="34A72AE5" w:rsidRPr="00131FD7">
        <w:t xml:space="preserve"> competitively</w:t>
      </w:r>
      <w:r w:rsidR="407A2C83" w:rsidRPr="00131FD7">
        <w:t xml:space="preserve">. </w:t>
      </w:r>
      <w:r w:rsidR="6AE0EC3A" w:rsidRPr="00131FD7">
        <w:t xml:space="preserve">The Committee was furthermore informed that </w:t>
      </w:r>
      <w:r w:rsidR="407A2C83" w:rsidRPr="00131FD7">
        <w:t xml:space="preserve">UNDP has been the principal </w:t>
      </w:r>
      <w:r w:rsidR="00CE0A85">
        <w:t xml:space="preserve">provider of </w:t>
      </w:r>
      <w:r w:rsidR="407A2C83" w:rsidRPr="00131FD7">
        <w:t xml:space="preserve">operational services to the </w:t>
      </w:r>
      <w:r w:rsidR="64D81AB1" w:rsidRPr="00131FD7">
        <w:t xml:space="preserve">resident </w:t>
      </w:r>
      <w:r w:rsidR="2C8B92CA" w:rsidRPr="00131FD7">
        <w:t>coordinator</w:t>
      </w:r>
      <w:r w:rsidR="64D81AB1" w:rsidRPr="00131FD7">
        <w:t xml:space="preserve"> s</w:t>
      </w:r>
      <w:r w:rsidR="407A2C83" w:rsidRPr="00131FD7">
        <w:t xml:space="preserve">ystem, including for human resources, finance, procurement, general operations and administrative services. In 2019, UNDP administered $204 million of the </w:t>
      </w:r>
      <w:r w:rsidR="00CE0A85">
        <w:t xml:space="preserve">resources of the </w:t>
      </w:r>
      <w:r w:rsidR="407A2C83" w:rsidRPr="00131FD7">
        <w:t>U</w:t>
      </w:r>
      <w:r w:rsidR="3E1AB234" w:rsidRPr="00131FD7">
        <w:t>nited</w:t>
      </w:r>
      <w:r w:rsidR="442A8D4A" w:rsidRPr="00131FD7">
        <w:t xml:space="preserve"> Nations</w:t>
      </w:r>
      <w:r w:rsidR="407A2C83" w:rsidRPr="00131FD7">
        <w:t xml:space="preserve"> Special</w:t>
      </w:r>
      <w:r w:rsidR="00CE0A85">
        <w:t>-</w:t>
      </w:r>
      <w:r w:rsidR="407A2C83" w:rsidRPr="00131FD7">
        <w:t xml:space="preserve">Purpose Trust Fund, and in 2020, upon transition of contract management of the </w:t>
      </w:r>
      <w:r w:rsidR="447EE532" w:rsidRPr="00131FD7">
        <w:t>r</w:t>
      </w:r>
      <w:r w:rsidR="407A2C83" w:rsidRPr="00131FD7">
        <w:t xml:space="preserve">esident </w:t>
      </w:r>
      <w:r w:rsidR="00266865" w:rsidRPr="00131FD7">
        <w:t>c</w:t>
      </w:r>
      <w:r w:rsidR="407A2C83" w:rsidRPr="00131FD7">
        <w:t xml:space="preserve">oordinators, UNDP administered a </w:t>
      </w:r>
      <w:r w:rsidR="39567499" w:rsidRPr="00131FD7">
        <w:t xml:space="preserve">related </w:t>
      </w:r>
      <w:r w:rsidR="407A2C83" w:rsidRPr="00131FD7">
        <w:t>budget of $131 million. The Committ</w:t>
      </w:r>
      <w:r w:rsidR="4F44DD36" w:rsidRPr="00131FD7">
        <w:t>e</w:t>
      </w:r>
      <w:r w:rsidR="407A2C83" w:rsidRPr="00131FD7">
        <w:t xml:space="preserve">e was also informed that </w:t>
      </w:r>
      <w:r w:rsidR="00FF7D60">
        <w:t xml:space="preserve">there appears to be </w:t>
      </w:r>
      <w:r w:rsidR="6B3077FB" w:rsidRPr="00131FD7">
        <w:t>some overlap or duplication of the functions of the resident coordinator system and thos</w:t>
      </w:r>
      <w:r w:rsidR="2AE75D81" w:rsidRPr="00131FD7">
        <w:t>e</w:t>
      </w:r>
      <w:r w:rsidR="6B3077FB" w:rsidRPr="00131FD7">
        <w:t xml:space="preserve"> of UNDP</w:t>
      </w:r>
      <w:r w:rsidR="73D04238" w:rsidRPr="00131FD7">
        <w:t xml:space="preserve">. </w:t>
      </w:r>
      <w:r w:rsidR="407A2C83" w:rsidRPr="00131FD7">
        <w:t xml:space="preserve"> </w:t>
      </w:r>
      <w:r w:rsidR="6297DE1C" w:rsidRPr="00131FD7">
        <w:t>The Committ</w:t>
      </w:r>
      <w:r w:rsidR="00A37E94" w:rsidRPr="00131FD7">
        <w:t>e</w:t>
      </w:r>
      <w:r w:rsidR="6297DE1C" w:rsidRPr="00131FD7">
        <w:t xml:space="preserve">e was also </w:t>
      </w:r>
      <w:r w:rsidR="12387AB4" w:rsidRPr="00131FD7">
        <w:t xml:space="preserve">informed that there are currently 123 </w:t>
      </w:r>
      <w:r w:rsidR="6297DE1C" w:rsidRPr="00131FD7">
        <w:t>co-locations</w:t>
      </w:r>
      <w:r w:rsidR="12BA94CF" w:rsidRPr="00131FD7">
        <w:t>, or shar</w:t>
      </w:r>
      <w:r w:rsidR="524CBC50" w:rsidRPr="00131FD7">
        <w:t>ed</w:t>
      </w:r>
      <w:r w:rsidR="12BA94CF" w:rsidRPr="00131FD7">
        <w:t xml:space="preserve"> premises, of t</w:t>
      </w:r>
      <w:r w:rsidR="6297DE1C" w:rsidRPr="00131FD7">
        <w:t xml:space="preserve">he </w:t>
      </w:r>
      <w:r w:rsidR="00CE0A85">
        <w:t xml:space="preserve">UNDP </w:t>
      </w:r>
      <w:r w:rsidR="1B5A5F0C" w:rsidRPr="00131FD7">
        <w:t>r</w:t>
      </w:r>
      <w:r w:rsidR="6297DE1C" w:rsidRPr="00131FD7">
        <w:t xml:space="preserve">epresentatives  and the </w:t>
      </w:r>
      <w:r w:rsidR="03627774" w:rsidRPr="00131FD7">
        <w:t>r</w:t>
      </w:r>
      <w:r w:rsidR="6297DE1C" w:rsidRPr="00131FD7">
        <w:t>esident coordinators</w:t>
      </w:r>
      <w:r w:rsidR="0E0CF858" w:rsidRPr="00131FD7">
        <w:t xml:space="preserve">. </w:t>
      </w:r>
      <w:r w:rsidR="0E0CF858" w:rsidRPr="00131FD7">
        <w:rPr>
          <w:b/>
          <w:bCs/>
        </w:rPr>
        <w:t xml:space="preserve">The Advisory Committee </w:t>
      </w:r>
      <w:r w:rsidR="719005A3" w:rsidRPr="00131FD7">
        <w:rPr>
          <w:b/>
          <w:bCs/>
        </w:rPr>
        <w:t>recalls its com</w:t>
      </w:r>
      <w:r w:rsidR="3C7DE57B" w:rsidRPr="00131FD7">
        <w:rPr>
          <w:b/>
          <w:bCs/>
        </w:rPr>
        <w:t>m</w:t>
      </w:r>
      <w:r w:rsidR="719005A3" w:rsidRPr="00131FD7">
        <w:rPr>
          <w:b/>
          <w:bCs/>
        </w:rPr>
        <w:t xml:space="preserve">ents in the context of its latest report on the midterm review on the period 2018-2021, that the levels of country representatives of UNDP will be closely </w:t>
      </w:r>
      <w:r w:rsidR="7B22CAAC" w:rsidRPr="00131FD7">
        <w:rPr>
          <w:b/>
          <w:bCs/>
        </w:rPr>
        <w:t>monitored,</w:t>
      </w:r>
      <w:r w:rsidR="719005A3" w:rsidRPr="00131FD7">
        <w:rPr>
          <w:b/>
          <w:bCs/>
        </w:rPr>
        <w:t xml:space="preserve"> and </w:t>
      </w:r>
      <w:r w:rsidR="04961AE2" w:rsidRPr="00131FD7">
        <w:rPr>
          <w:b/>
          <w:bCs/>
        </w:rPr>
        <w:t xml:space="preserve">that </w:t>
      </w:r>
      <w:r w:rsidR="719005A3" w:rsidRPr="00131FD7">
        <w:rPr>
          <w:b/>
          <w:bCs/>
        </w:rPr>
        <w:t xml:space="preserve">an update thereon </w:t>
      </w:r>
      <w:r w:rsidR="708F63AC" w:rsidRPr="00131FD7">
        <w:rPr>
          <w:b/>
          <w:bCs/>
        </w:rPr>
        <w:t xml:space="preserve">will </w:t>
      </w:r>
      <w:r w:rsidR="719005A3" w:rsidRPr="00131FD7">
        <w:rPr>
          <w:b/>
          <w:bCs/>
        </w:rPr>
        <w:t xml:space="preserve">be provided in the next budget report. </w:t>
      </w:r>
      <w:r w:rsidR="7F9058F2" w:rsidRPr="00131FD7">
        <w:rPr>
          <w:b/>
          <w:bCs/>
        </w:rPr>
        <w:t>The Committee</w:t>
      </w:r>
      <w:r w:rsidR="719005A3" w:rsidRPr="00131FD7">
        <w:rPr>
          <w:b/>
          <w:bCs/>
        </w:rPr>
        <w:t xml:space="preserve"> </w:t>
      </w:r>
      <w:r w:rsidR="0E0CF858" w:rsidRPr="00131FD7">
        <w:rPr>
          <w:b/>
          <w:bCs/>
        </w:rPr>
        <w:t>trusts that</w:t>
      </w:r>
      <w:r w:rsidR="38F36F79" w:rsidRPr="00131FD7">
        <w:rPr>
          <w:b/>
          <w:bCs/>
        </w:rPr>
        <w:t xml:space="preserve"> the aforementioned</w:t>
      </w:r>
      <w:r w:rsidR="0E0CF858" w:rsidRPr="00131FD7">
        <w:rPr>
          <w:b/>
          <w:bCs/>
        </w:rPr>
        <w:t xml:space="preserve"> information</w:t>
      </w:r>
      <w:r w:rsidR="5D7109E3" w:rsidRPr="00131FD7">
        <w:rPr>
          <w:b/>
          <w:bCs/>
        </w:rPr>
        <w:t>, as well as information</w:t>
      </w:r>
      <w:r w:rsidR="0E0CF858" w:rsidRPr="00131FD7">
        <w:rPr>
          <w:b/>
          <w:bCs/>
        </w:rPr>
        <w:t xml:space="preserve"> on any </w:t>
      </w:r>
      <w:r w:rsidR="181FF74D" w:rsidRPr="00131FD7">
        <w:rPr>
          <w:b/>
          <w:bCs/>
        </w:rPr>
        <w:t>efficiencies</w:t>
      </w:r>
      <w:r w:rsidR="0E0CF858" w:rsidRPr="00131FD7">
        <w:rPr>
          <w:b/>
          <w:bCs/>
        </w:rPr>
        <w:t xml:space="preserve"> with respect to the co-location</w:t>
      </w:r>
      <w:r w:rsidR="0F875D6E" w:rsidRPr="00131FD7">
        <w:rPr>
          <w:b/>
          <w:bCs/>
        </w:rPr>
        <w:t>,</w:t>
      </w:r>
      <w:r w:rsidR="0E0CF858" w:rsidRPr="00131FD7">
        <w:rPr>
          <w:b/>
          <w:bCs/>
        </w:rPr>
        <w:t xml:space="preserve"> will</w:t>
      </w:r>
      <w:r w:rsidR="6C7DA239" w:rsidRPr="00131FD7">
        <w:rPr>
          <w:b/>
          <w:bCs/>
        </w:rPr>
        <w:t xml:space="preserve"> b</w:t>
      </w:r>
      <w:r w:rsidR="0E0CF858" w:rsidRPr="00131FD7">
        <w:rPr>
          <w:b/>
          <w:bCs/>
        </w:rPr>
        <w:t xml:space="preserve">e </w:t>
      </w:r>
      <w:r w:rsidR="0D0BD916" w:rsidRPr="00131FD7">
        <w:rPr>
          <w:b/>
          <w:bCs/>
        </w:rPr>
        <w:t xml:space="preserve">provided to the Executive Board at the time of its consideration of the present report. </w:t>
      </w:r>
    </w:p>
    <w:p w14:paraId="645186E0" w14:textId="451A8F85" w:rsidR="00903CCB" w:rsidRPr="00131FD7" w:rsidRDefault="00EC00DA" w:rsidP="00DA291E">
      <w:pPr>
        <w:spacing w:after="120" w:line="240" w:lineRule="auto"/>
        <w:ind w:left="1260" w:right="1200"/>
        <w:jc w:val="both"/>
        <w:rPr>
          <w:rFonts w:eastAsia="Times New Roman"/>
          <w:spacing w:val="0"/>
          <w:w w:val="100"/>
          <w:kern w:val="0"/>
          <w:lang w:val="en-US"/>
        </w:rPr>
      </w:pPr>
      <w:r w:rsidRPr="00131FD7">
        <w:t>19.</w:t>
      </w:r>
      <w:r w:rsidR="00903CCB" w:rsidRPr="00131FD7">
        <w:rPr>
          <w:rFonts w:eastAsia="Times New Roman"/>
          <w:color w:val="000000"/>
          <w:spacing w:val="0"/>
          <w:w w:val="100"/>
          <w:kern w:val="0"/>
          <w:lang w:val="en-US"/>
        </w:rPr>
        <w:t xml:space="preserve">  Upon en</w:t>
      </w:r>
      <w:r w:rsidR="003F0EDD" w:rsidRPr="00131FD7">
        <w:rPr>
          <w:rFonts w:eastAsia="Times New Roman"/>
          <w:color w:val="000000"/>
          <w:spacing w:val="0"/>
          <w:w w:val="100"/>
          <w:kern w:val="0"/>
          <w:lang w:val="en-US"/>
        </w:rPr>
        <w:t>quiry, the Advisory Committee was informed that t</w:t>
      </w:r>
      <w:r w:rsidR="00903CCB" w:rsidRPr="00131FD7">
        <w:rPr>
          <w:rFonts w:eastAsia="Times New Roman"/>
          <w:color w:val="000000"/>
          <w:spacing w:val="0"/>
          <w:w w:val="100"/>
          <w:kern w:val="0"/>
          <w:lang w:val="en-US"/>
        </w:rPr>
        <w:t xml:space="preserve">he 2019-2020 </w:t>
      </w:r>
      <w:r w:rsidR="00CE0A85">
        <w:rPr>
          <w:rFonts w:eastAsia="Times New Roman"/>
          <w:color w:val="000000"/>
          <w:spacing w:val="0"/>
          <w:w w:val="100"/>
          <w:kern w:val="0"/>
          <w:lang w:val="en-US"/>
        </w:rPr>
        <w:t>e</w:t>
      </w:r>
      <w:r w:rsidR="00903CCB" w:rsidRPr="00131FD7">
        <w:rPr>
          <w:rFonts w:eastAsia="Times New Roman"/>
          <w:color w:val="000000"/>
          <w:spacing w:val="0"/>
          <w:w w:val="100"/>
          <w:kern w:val="0"/>
          <w:lang w:val="en-US"/>
        </w:rPr>
        <w:t xml:space="preserve">fficiency </w:t>
      </w:r>
      <w:r w:rsidR="00CE0A85">
        <w:rPr>
          <w:rFonts w:eastAsia="Times New Roman"/>
          <w:color w:val="000000"/>
          <w:spacing w:val="0"/>
          <w:w w:val="100"/>
          <w:kern w:val="0"/>
          <w:lang w:val="en-US"/>
        </w:rPr>
        <w:t>r</w:t>
      </w:r>
      <w:r w:rsidR="00903CCB" w:rsidRPr="00131FD7">
        <w:rPr>
          <w:rFonts w:eastAsia="Times New Roman"/>
          <w:color w:val="000000"/>
          <w:spacing w:val="0"/>
          <w:w w:val="100"/>
          <w:kern w:val="0"/>
          <w:lang w:val="en-US"/>
        </w:rPr>
        <w:t xml:space="preserve">eport was finalized, and the key results have been incorporated </w:t>
      </w:r>
      <w:r w:rsidR="003F0EDD" w:rsidRPr="00131FD7">
        <w:rPr>
          <w:rFonts w:eastAsia="Times New Roman"/>
          <w:color w:val="000000"/>
          <w:spacing w:val="0"/>
          <w:w w:val="100"/>
          <w:kern w:val="0"/>
          <w:lang w:val="en-US"/>
        </w:rPr>
        <w:t>in</w:t>
      </w:r>
      <w:r w:rsidR="00903CCB" w:rsidRPr="00131FD7">
        <w:rPr>
          <w:rFonts w:eastAsia="Times New Roman"/>
          <w:color w:val="000000"/>
          <w:spacing w:val="0"/>
          <w:w w:val="100"/>
          <w:kern w:val="0"/>
          <w:lang w:val="en-US"/>
        </w:rPr>
        <w:t xml:space="preserve"> </w:t>
      </w:r>
      <w:r w:rsidR="003F0EDD" w:rsidRPr="00131FD7">
        <w:rPr>
          <w:rFonts w:eastAsia="Times New Roman"/>
          <w:color w:val="000000"/>
          <w:spacing w:val="0"/>
          <w:w w:val="100"/>
          <w:kern w:val="0"/>
          <w:lang w:val="en-US"/>
        </w:rPr>
        <w:t>the Secretary-General’s r</w:t>
      </w:r>
      <w:r w:rsidR="00903CCB" w:rsidRPr="00131FD7">
        <w:rPr>
          <w:rFonts w:eastAsia="Times New Roman"/>
          <w:color w:val="000000"/>
          <w:spacing w:val="0"/>
          <w:w w:val="100"/>
          <w:kern w:val="0"/>
          <w:lang w:val="en-US"/>
        </w:rPr>
        <w:t xml:space="preserve">eport on the review of the functioning of the </w:t>
      </w:r>
      <w:r w:rsidR="00CE0A85">
        <w:rPr>
          <w:rFonts w:eastAsia="Times New Roman"/>
          <w:color w:val="000000"/>
          <w:spacing w:val="0"/>
          <w:w w:val="100"/>
          <w:kern w:val="0"/>
          <w:lang w:val="en-US"/>
        </w:rPr>
        <w:t xml:space="preserve">resident coordinator </w:t>
      </w:r>
      <w:r w:rsidR="00903CCB" w:rsidRPr="00131FD7">
        <w:rPr>
          <w:rFonts w:eastAsia="Times New Roman"/>
          <w:color w:val="000000"/>
          <w:spacing w:val="0"/>
          <w:w w:val="100"/>
          <w:kern w:val="0"/>
          <w:lang w:val="en-US"/>
        </w:rPr>
        <w:t xml:space="preserve">system. According to the report, </w:t>
      </w:r>
      <w:r w:rsidR="00CE0A85">
        <w:rPr>
          <w:rFonts w:eastAsia="Times New Roman"/>
          <w:color w:val="000000"/>
          <w:spacing w:val="0"/>
          <w:w w:val="100"/>
          <w:kern w:val="0"/>
          <w:lang w:val="en-US"/>
        </w:rPr>
        <w:t xml:space="preserve">the </w:t>
      </w:r>
      <w:r w:rsidR="00903CCB" w:rsidRPr="00131FD7">
        <w:rPr>
          <w:rFonts w:eastAsia="Times New Roman"/>
          <w:color w:val="000000"/>
          <w:spacing w:val="0"/>
          <w:w w:val="100"/>
          <w:kern w:val="0"/>
          <w:lang w:val="en-US"/>
        </w:rPr>
        <w:t xml:space="preserve">annual efficiency gains </w:t>
      </w:r>
      <w:r w:rsidR="00CE0A85">
        <w:rPr>
          <w:rFonts w:eastAsia="Times New Roman"/>
          <w:color w:val="000000"/>
          <w:spacing w:val="0"/>
          <w:w w:val="100"/>
          <w:kern w:val="0"/>
          <w:lang w:val="en-US"/>
        </w:rPr>
        <w:t xml:space="preserve">of the United Nations system </w:t>
      </w:r>
      <w:r w:rsidR="00903CCB" w:rsidRPr="00131FD7">
        <w:rPr>
          <w:rFonts w:eastAsia="Times New Roman"/>
          <w:color w:val="000000"/>
          <w:spacing w:val="0"/>
          <w:w w:val="100"/>
          <w:kern w:val="0"/>
          <w:lang w:val="en-US"/>
        </w:rPr>
        <w:t>increased by 57</w:t>
      </w:r>
      <w:r w:rsidR="00BA3CE2" w:rsidRPr="00131FD7">
        <w:rPr>
          <w:rFonts w:eastAsia="Times New Roman"/>
          <w:color w:val="000000"/>
          <w:spacing w:val="0"/>
          <w:w w:val="100"/>
          <w:kern w:val="0"/>
          <w:lang w:val="en-US"/>
        </w:rPr>
        <w:t xml:space="preserve"> per cent</w:t>
      </w:r>
      <w:r w:rsidR="00903CCB" w:rsidRPr="00131FD7">
        <w:rPr>
          <w:rFonts w:eastAsia="Times New Roman"/>
          <w:color w:val="000000"/>
          <w:spacing w:val="0"/>
          <w:w w:val="100"/>
          <w:kern w:val="0"/>
          <w:lang w:val="en-US"/>
        </w:rPr>
        <w:t xml:space="preserve"> between 2019 and 2020 to $101 million, representing 32</w:t>
      </w:r>
      <w:r w:rsidR="00BA3CE2" w:rsidRPr="00131FD7">
        <w:rPr>
          <w:rFonts w:eastAsia="Times New Roman"/>
          <w:color w:val="000000"/>
          <w:spacing w:val="0"/>
          <w:w w:val="100"/>
          <w:kern w:val="0"/>
          <w:lang w:val="en-US"/>
        </w:rPr>
        <w:t xml:space="preserve"> per cent </w:t>
      </w:r>
      <w:r w:rsidR="00903CCB" w:rsidRPr="00131FD7">
        <w:rPr>
          <w:rFonts w:eastAsia="Times New Roman"/>
          <w:color w:val="000000"/>
          <w:spacing w:val="0"/>
          <w:w w:val="100"/>
          <w:kern w:val="0"/>
          <w:lang w:val="en-US"/>
        </w:rPr>
        <w:t xml:space="preserve">of the estimated efficiency savings of $310 million by 2020. The Task Team on Efficiency Reporting is due to start meeting to identify a common methodology and the scope of data for the 2021 </w:t>
      </w:r>
      <w:r w:rsidR="001C4A5E">
        <w:rPr>
          <w:rFonts w:eastAsia="Times New Roman"/>
          <w:color w:val="000000"/>
          <w:spacing w:val="0"/>
          <w:w w:val="100"/>
          <w:kern w:val="0"/>
          <w:lang w:val="en-US"/>
        </w:rPr>
        <w:t>e</w:t>
      </w:r>
      <w:r w:rsidR="00903CCB" w:rsidRPr="00131FD7">
        <w:rPr>
          <w:rFonts w:eastAsia="Times New Roman"/>
          <w:color w:val="000000"/>
          <w:spacing w:val="0"/>
          <w:w w:val="100"/>
          <w:kern w:val="0"/>
          <w:lang w:val="en-US"/>
        </w:rPr>
        <w:t xml:space="preserve">fficiency </w:t>
      </w:r>
      <w:r w:rsidR="001C4A5E">
        <w:rPr>
          <w:rFonts w:eastAsia="Times New Roman"/>
          <w:color w:val="000000"/>
          <w:spacing w:val="0"/>
          <w:w w:val="100"/>
          <w:kern w:val="0"/>
          <w:lang w:val="en-US"/>
        </w:rPr>
        <w:t>r</w:t>
      </w:r>
      <w:r w:rsidR="00903CCB" w:rsidRPr="00131FD7">
        <w:rPr>
          <w:rFonts w:eastAsia="Times New Roman"/>
          <w:color w:val="000000"/>
          <w:spacing w:val="0"/>
          <w:w w:val="100"/>
          <w:kern w:val="0"/>
          <w:lang w:val="en-US"/>
        </w:rPr>
        <w:t xml:space="preserve">eport.  </w:t>
      </w:r>
    </w:p>
    <w:p w14:paraId="4B5D9220" w14:textId="0DF46E61" w:rsidR="00721D52" w:rsidRPr="00131FD7" w:rsidRDefault="00EC00DA" w:rsidP="00DA291E">
      <w:pPr>
        <w:tabs>
          <w:tab w:val="left" w:pos="1620"/>
        </w:tabs>
        <w:spacing w:after="120" w:line="240" w:lineRule="auto"/>
        <w:ind w:left="1260" w:right="1200"/>
        <w:jc w:val="both"/>
        <w:rPr>
          <w:rFonts w:eastAsia="Times New Roman"/>
          <w:spacing w:val="0"/>
          <w:w w:val="100"/>
          <w:kern w:val="0"/>
          <w:lang w:val="en-US"/>
        </w:rPr>
      </w:pPr>
      <w:r w:rsidRPr="00131FD7">
        <w:lastRenderedPageBreak/>
        <w:t>20.</w:t>
      </w:r>
      <w:r w:rsidR="00D30D8E" w:rsidRPr="00131FD7">
        <w:tab/>
        <w:t xml:space="preserve">Upon enquiry, the Advisory Committee was informed that </w:t>
      </w:r>
      <w:r w:rsidR="00710373" w:rsidRPr="00131FD7">
        <w:rPr>
          <w:rFonts w:eastAsia="Times New Roman"/>
          <w:spacing w:val="0"/>
          <w:w w:val="100"/>
          <w:kern w:val="0"/>
        </w:rPr>
        <w:t>U</w:t>
      </w:r>
      <w:r w:rsidR="00D30D8E" w:rsidRPr="00131FD7">
        <w:rPr>
          <w:rFonts w:eastAsia="Times New Roman"/>
          <w:spacing w:val="0"/>
          <w:w w:val="100"/>
          <w:kern w:val="0"/>
          <w:lang w:val="en-US"/>
        </w:rPr>
        <w:t xml:space="preserve">NDP has been continuously supporting </w:t>
      </w:r>
      <w:r w:rsidR="001C4A5E">
        <w:rPr>
          <w:rFonts w:eastAsia="Times New Roman"/>
          <w:spacing w:val="0"/>
          <w:w w:val="100"/>
          <w:kern w:val="0"/>
          <w:lang w:val="en-US"/>
        </w:rPr>
        <w:t xml:space="preserve">initiatives related to </w:t>
      </w:r>
      <w:r w:rsidR="00D30D8E" w:rsidRPr="00131FD7">
        <w:rPr>
          <w:rFonts w:eastAsia="Times New Roman"/>
          <w:spacing w:val="0"/>
          <w:w w:val="100"/>
          <w:kern w:val="0"/>
          <w:lang w:val="en-US"/>
        </w:rPr>
        <w:t>the Business Innovations Group</w:t>
      </w:r>
      <w:r w:rsidR="00710373" w:rsidRPr="00131FD7">
        <w:rPr>
          <w:rFonts w:eastAsia="Times New Roman"/>
          <w:spacing w:val="0"/>
          <w:w w:val="100"/>
          <w:kern w:val="0"/>
          <w:lang w:val="en-US"/>
        </w:rPr>
        <w:t xml:space="preserve"> (BIG)</w:t>
      </w:r>
      <w:r w:rsidR="00D30D8E" w:rsidRPr="00131FD7">
        <w:rPr>
          <w:rFonts w:eastAsia="Times New Roman"/>
          <w:spacing w:val="0"/>
          <w:w w:val="100"/>
          <w:kern w:val="0"/>
          <w:lang w:val="en-US"/>
        </w:rPr>
        <w:t xml:space="preserve">with resources and expertise. </w:t>
      </w:r>
      <w:r w:rsidR="00D30D8E" w:rsidRPr="00131FD7">
        <w:rPr>
          <w:rFonts w:eastAsia="Times New Roman"/>
          <w:color w:val="000000"/>
          <w:spacing w:val="0"/>
          <w:w w:val="100"/>
          <w:kern w:val="0"/>
          <w:lang w:val="en-US"/>
        </w:rPr>
        <w:t xml:space="preserve">UNDP developed and launched the online Business Operations Strategy </w:t>
      </w:r>
      <w:r w:rsidR="00D064F8">
        <w:rPr>
          <w:rFonts w:eastAsia="Times New Roman"/>
          <w:color w:val="000000"/>
          <w:spacing w:val="0"/>
          <w:w w:val="100"/>
          <w:kern w:val="0"/>
          <w:lang w:val="en-US"/>
        </w:rPr>
        <w:t xml:space="preserve">(BOS) </w:t>
      </w:r>
      <w:r w:rsidR="00D30D8E" w:rsidRPr="00131FD7">
        <w:rPr>
          <w:rFonts w:eastAsia="Times New Roman"/>
          <w:color w:val="000000"/>
          <w:spacing w:val="0"/>
          <w:w w:val="100"/>
          <w:kern w:val="0"/>
          <w:lang w:val="en-US"/>
        </w:rPr>
        <w:t xml:space="preserve">platform as a contribution to </w:t>
      </w:r>
      <w:r w:rsidR="00D064F8">
        <w:rPr>
          <w:rFonts w:eastAsia="Times New Roman"/>
          <w:color w:val="000000"/>
          <w:spacing w:val="0"/>
          <w:w w:val="100"/>
          <w:kern w:val="0"/>
          <w:lang w:val="en-US"/>
        </w:rPr>
        <w:t xml:space="preserve">the </w:t>
      </w:r>
      <w:r w:rsidR="001C4A5E">
        <w:rPr>
          <w:rFonts w:eastAsia="Times New Roman"/>
          <w:color w:val="000000"/>
          <w:spacing w:val="0"/>
          <w:w w:val="100"/>
          <w:kern w:val="0"/>
          <w:lang w:val="en-US"/>
        </w:rPr>
        <w:t xml:space="preserve">reform of </w:t>
      </w:r>
      <w:r w:rsidR="00D30D8E" w:rsidRPr="00131FD7">
        <w:rPr>
          <w:rFonts w:eastAsia="Times New Roman"/>
          <w:color w:val="000000"/>
          <w:spacing w:val="0"/>
          <w:w w:val="100"/>
          <w:kern w:val="0"/>
          <w:lang w:val="en-US"/>
        </w:rPr>
        <w:t xml:space="preserve">the </w:t>
      </w:r>
      <w:r w:rsidR="001C4A5E">
        <w:rPr>
          <w:rFonts w:eastAsia="Times New Roman"/>
          <w:color w:val="000000"/>
          <w:spacing w:val="0"/>
          <w:w w:val="100"/>
          <w:kern w:val="0"/>
          <w:lang w:val="en-US"/>
        </w:rPr>
        <w:t>United Nations development system</w:t>
      </w:r>
      <w:r w:rsidR="00D064F8">
        <w:rPr>
          <w:rFonts w:eastAsia="Times New Roman"/>
          <w:color w:val="000000"/>
          <w:spacing w:val="0"/>
          <w:w w:val="100"/>
          <w:kern w:val="0"/>
          <w:lang w:val="en-US"/>
        </w:rPr>
        <w:t>,</w:t>
      </w:r>
      <w:r w:rsidR="00D30D8E" w:rsidRPr="00131FD7">
        <w:rPr>
          <w:rFonts w:eastAsia="Times New Roman"/>
          <w:color w:val="000000"/>
          <w:spacing w:val="0"/>
          <w:w w:val="100"/>
          <w:kern w:val="0"/>
          <w:lang w:val="en-US"/>
        </w:rPr>
        <w:t xml:space="preserve"> and </w:t>
      </w:r>
      <w:r w:rsidR="00D30D8E" w:rsidRPr="00131FD7">
        <w:rPr>
          <w:rFonts w:eastAsia="Times New Roman"/>
          <w:spacing w:val="0"/>
          <w:w w:val="100"/>
          <w:kern w:val="0"/>
          <w:lang w:val="en-US"/>
        </w:rPr>
        <w:t xml:space="preserve">seconded a dedicated D1-level staff member to the BIG project team and a staff member to be part </w:t>
      </w:r>
      <w:r w:rsidR="00D30D8E" w:rsidRPr="00131FD7">
        <w:rPr>
          <w:rFonts w:eastAsia="Times New Roman"/>
          <w:color w:val="000000"/>
          <w:spacing w:val="0"/>
          <w:w w:val="100"/>
          <w:kern w:val="0"/>
          <w:lang w:val="en-US"/>
        </w:rPr>
        <w:t xml:space="preserve">of inter-agency support to </w:t>
      </w:r>
      <w:r w:rsidR="00D064F8">
        <w:rPr>
          <w:rFonts w:eastAsia="Times New Roman"/>
          <w:color w:val="000000"/>
          <w:spacing w:val="0"/>
          <w:w w:val="100"/>
          <w:kern w:val="0"/>
          <w:lang w:val="en-US"/>
        </w:rPr>
        <w:t>the Development Coordination Office</w:t>
      </w:r>
      <w:r w:rsidR="00D30D8E" w:rsidRPr="00131FD7">
        <w:rPr>
          <w:rFonts w:eastAsia="Times New Roman"/>
          <w:color w:val="000000"/>
          <w:spacing w:val="0"/>
          <w:w w:val="100"/>
          <w:kern w:val="0"/>
          <w:lang w:val="en-US"/>
        </w:rPr>
        <w:t xml:space="preserve"> </w:t>
      </w:r>
      <w:r w:rsidR="00682A1A">
        <w:rPr>
          <w:rFonts w:eastAsia="Times New Roman"/>
          <w:color w:val="000000"/>
          <w:spacing w:val="0"/>
          <w:w w:val="100"/>
          <w:kern w:val="0"/>
          <w:lang w:val="en-US"/>
        </w:rPr>
        <w:t xml:space="preserve">(DCO) </w:t>
      </w:r>
      <w:r w:rsidR="00D064F8">
        <w:rPr>
          <w:rFonts w:eastAsia="Times New Roman"/>
          <w:color w:val="000000"/>
          <w:spacing w:val="0"/>
          <w:w w:val="100"/>
          <w:kern w:val="0"/>
          <w:lang w:val="en-US"/>
        </w:rPr>
        <w:t>for</w:t>
      </w:r>
      <w:r w:rsidR="00D30D8E" w:rsidRPr="00131FD7">
        <w:rPr>
          <w:rFonts w:eastAsia="Times New Roman"/>
          <w:color w:val="000000"/>
          <w:spacing w:val="0"/>
          <w:w w:val="100"/>
          <w:kern w:val="0"/>
          <w:lang w:val="en-US"/>
        </w:rPr>
        <w:t xml:space="preserve"> the </w:t>
      </w:r>
      <w:r w:rsidR="00D064F8">
        <w:rPr>
          <w:rFonts w:eastAsia="Times New Roman"/>
          <w:color w:val="000000"/>
          <w:spacing w:val="0"/>
          <w:w w:val="100"/>
          <w:kern w:val="0"/>
          <w:lang w:val="en-US"/>
        </w:rPr>
        <w:t>roll-out of the c</w:t>
      </w:r>
      <w:r w:rsidR="00D30D8E" w:rsidRPr="00131FD7">
        <w:rPr>
          <w:rFonts w:eastAsia="Times New Roman"/>
          <w:color w:val="000000"/>
          <w:spacing w:val="0"/>
          <w:w w:val="100"/>
          <w:kern w:val="0"/>
          <w:lang w:val="en-US"/>
        </w:rPr>
        <w:t xml:space="preserve">ommon </w:t>
      </w:r>
      <w:r w:rsidR="00D064F8">
        <w:rPr>
          <w:rFonts w:eastAsia="Times New Roman"/>
          <w:color w:val="000000"/>
          <w:spacing w:val="0"/>
          <w:w w:val="100"/>
          <w:kern w:val="0"/>
          <w:lang w:val="en-US"/>
        </w:rPr>
        <w:t>b</w:t>
      </w:r>
      <w:r w:rsidR="00D30D8E" w:rsidRPr="00131FD7">
        <w:rPr>
          <w:rFonts w:eastAsia="Times New Roman"/>
          <w:color w:val="000000"/>
          <w:spacing w:val="0"/>
          <w:w w:val="100"/>
          <w:kern w:val="0"/>
          <w:lang w:val="en-US"/>
        </w:rPr>
        <w:t xml:space="preserve">ack </w:t>
      </w:r>
      <w:r w:rsidR="00D064F8">
        <w:rPr>
          <w:rFonts w:eastAsia="Times New Roman"/>
          <w:color w:val="000000"/>
          <w:spacing w:val="0"/>
          <w:w w:val="100"/>
          <w:kern w:val="0"/>
          <w:lang w:val="en-US"/>
        </w:rPr>
        <w:t>o</w:t>
      </w:r>
      <w:r w:rsidR="00D30D8E" w:rsidRPr="00131FD7">
        <w:rPr>
          <w:rFonts w:eastAsia="Times New Roman"/>
          <w:color w:val="000000"/>
          <w:spacing w:val="0"/>
          <w:w w:val="100"/>
          <w:kern w:val="0"/>
          <w:lang w:val="en-US"/>
        </w:rPr>
        <w:t xml:space="preserve">ffice. </w:t>
      </w:r>
      <w:r w:rsidR="00D30D8E" w:rsidRPr="00131FD7">
        <w:rPr>
          <w:rFonts w:eastAsia="Times New Roman"/>
          <w:spacing w:val="0"/>
          <w:w w:val="100"/>
          <w:kern w:val="0"/>
          <w:lang w:val="en-US"/>
        </w:rPr>
        <w:t xml:space="preserve">UNDP is actively participating in the BIG reference group and various </w:t>
      </w:r>
      <w:r w:rsidR="00D064F8">
        <w:rPr>
          <w:rFonts w:eastAsia="Times New Roman"/>
          <w:spacing w:val="0"/>
          <w:w w:val="100"/>
          <w:kern w:val="0"/>
          <w:lang w:val="en-US"/>
        </w:rPr>
        <w:t>t</w:t>
      </w:r>
      <w:r w:rsidR="00D30D8E" w:rsidRPr="00131FD7">
        <w:rPr>
          <w:rFonts w:eastAsia="Times New Roman"/>
          <w:spacing w:val="0"/>
          <w:w w:val="100"/>
          <w:kern w:val="0"/>
          <w:lang w:val="en-US"/>
        </w:rPr>
        <w:t xml:space="preserve">ask </w:t>
      </w:r>
      <w:r w:rsidR="00D064F8">
        <w:rPr>
          <w:rFonts w:eastAsia="Times New Roman"/>
          <w:spacing w:val="0"/>
          <w:w w:val="100"/>
          <w:kern w:val="0"/>
          <w:lang w:val="en-US"/>
        </w:rPr>
        <w:t>t</w:t>
      </w:r>
      <w:r w:rsidR="00D30D8E" w:rsidRPr="00131FD7">
        <w:rPr>
          <w:rFonts w:eastAsia="Times New Roman"/>
          <w:spacing w:val="0"/>
          <w:w w:val="100"/>
          <w:kern w:val="0"/>
          <w:lang w:val="en-US"/>
        </w:rPr>
        <w:t>eams (including</w:t>
      </w:r>
      <w:r w:rsidR="00D064F8">
        <w:rPr>
          <w:rFonts w:eastAsia="Times New Roman"/>
          <w:spacing w:val="0"/>
          <w:w w:val="100"/>
          <w:kern w:val="0"/>
          <w:lang w:val="en-US"/>
        </w:rPr>
        <w:t xml:space="preserve"> for the</w:t>
      </w:r>
      <w:r w:rsidR="00D30D8E" w:rsidRPr="00131FD7">
        <w:rPr>
          <w:rFonts w:eastAsia="Times New Roman"/>
          <w:spacing w:val="0"/>
          <w:w w:val="100"/>
          <w:kern w:val="0"/>
          <w:lang w:val="en-US"/>
        </w:rPr>
        <w:t xml:space="preserve"> BOS/</w:t>
      </w:r>
      <w:r w:rsidR="00D064F8">
        <w:rPr>
          <w:rFonts w:eastAsia="Times New Roman"/>
          <w:spacing w:val="0"/>
          <w:w w:val="100"/>
          <w:kern w:val="0"/>
          <w:lang w:val="en-US"/>
        </w:rPr>
        <w:t>common back office</w:t>
      </w:r>
      <w:r w:rsidR="00D30D8E" w:rsidRPr="00131FD7">
        <w:rPr>
          <w:rFonts w:eastAsia="Times New Roman"/>
          <w:spacing w:val="0"/>
          <w:w w:val="100"/>
          <w:kern w:val="0"/>
          <w:lang w:val="en-US"/>
        </w:rPr>
        <w:t xml:space="preserve">, </w:t>
      </w:r>
      <w:r w:rsidR="00D064F8">
        <w:rPr>
          <w:rFonts w:eastAsia="Times New Roman"/>
          <w:spacing w:val="0"/>
          <w:w w:val="100"/>
          <w:kern w:val="0"/>
          <w:lang w:val="en-US"/>
        </w:rPr>
        <w:t>c</w:t>
      </w:r>
      <w:r w:rsidR="00D30D8E" w:rsidRPr="00131FD7">
        <w:rPr>
          <w:rFonts w:eastAsia="Times New Roman"/>
          <w:spacing w:val="0"/>
          <w:w w:val="100"/>
          <w:kern w:val="0"/>
          <w:lang w:val="en-US"/>
        </w:rPr>
        <w:t xml:space="preserve">ommon </w:t>
      </w:r>
      <w:r w:rsidR="00D064F8">
        <w:rPr>
          <w:rFonts w:eastAsia="Times New Roman"/>
          <w:spacing w:val="0"/>
          <w:w w:val="100"/>
          <w:kern w:val="0"/>
          <w:lang w:val="en-US"/>
        </w:rPr>
        <w:t>p</w:t>
      </w:r>
      <w:r w:rsidR="00D30D8E" w:rsidRPr="00131FD7">
        <w:rPr>
          <w:rFonts w:eastAsia="Times New Roman"/>
          <w:spacing w:val="0"/>
          <w:w w:val="100"/>
          <w:kern w:val="0"/>
          <w:lang w:val="en-US"/>
        </w:rPr>
        <w:t xml:space="preserve">remises, </w:t>
      </w:r>
      <w:r w:rsidR="00D064F8">
        <w:rPr>
          <w:rFonts w:eastAsia="Times New Roman"/>
          <w:spacing w:val="0"/>
          <w:w w:val="100"/>
          <w:kern w:val="0"/>
          <w:lang w:val="en-US"/>
        </w:rPr>
        <w:t>e</w:t>
      </w:r>
      <w:r w:rsidR="00D30D8E" w:rsidRPr="00131FD7">
        <w:rPr>
          <w:rFonts w:eastAsia="Times New Roman"/>
          <w:spacing w:val="0"/>
          <w:w w:val="100"/>
          <w:kern w:val="0"/>
          <w:lang w:val="en-US"/>
        </w:rPr>
        <w:t xml:space="preserve">fficiency </w:t>
      </w:r>
      <w:r w:rsidR="00D064F8">
        <w:rPr>
          <w:rFonts w:eastAsia="Times New Roman"/>
          <w:spacing w:val="0"/>
          <w:w w:val="100"/>
          <w:kern w:val="0"/>
          <w:lang w:val="en-US"/>
        </w:rPr>
        <w:t>r</w:t>
      </w:r>
      <w:r w:rsidR="00D30D8E" w:rsidRPr="00131FD7">
        <w:rPr>
          <w:rFonts w:eastAsia="Times New Roman"/>
          <w:spacing w:val="0"/>
          <w:w w:val="100"/>
          <w:kern w:val="0"/>
          <w:lang w:val="en-US"/>
        </w:rPr>
        <w:t xml:space="preserve">eporting, etc.) and is contributing extensively to the key discussions and documents emerging from the BIG. Progress </w:t>
      </w:r>
      <w:r w:rsidR="00D064F8">
        <w:rPr>
          <w:rFonts w:eastAsia="Times New Roman"/>
          <w:spacing w:val="0"/>
          <w:w w:val="100"/>
          <w:kern w:val="0"/>
          <w:lang w:val="en-US"/>
        </w:rPr>
        <w:t xml:space="preserve">to </w:t>
      </w:r>
      <w:r w:rsidR="00D30D8E" w:rsidRPr="00131FD7">
        <w:rPr>
          <w:rFonts w:eastAsia="Times New Roman"/>
          <w:spacing w:val="0"/>
          <w:w w:val="100"/>
          <w:kern w:val="0"/>
          <w:lang w:val="en-US"/>
        </w:rPr>
        <w:t xml:space="preserve">date on the respective initiatives under the BIG and </w:t>
      </w:r>
      <w:r w:rsidR="00D064F8">
        <w:rPr>
          <w:rFonts w:eastAsia="Times New Roman"/>
          <w:spacing w:val="0"/>
          <w:w w:val="100"/>
          <w:kern w:val="0"/>
          <w:lang w:val="en-US"/>
        </w:rPr>
        <w:t xml:space="preserve">the </w:t>
      </w:r>
      <w:r w:rsidR="00D30D8E" w:rsidRPr="00131FD7">
        <w:rPr>
          <w:rFonts w:eastAsia="Times New Roman"/>
          <w:spacing w:val="0"/>
          <w:w w:val="100"/>
          <w:kern w:val="0"/>
          <w:lang w:val="en-US"/>
        </w:rPr>
        <w:t>UNDP contributions are</w:t>
      </w:r>
      <w:r w:rsidR="008D2F62" w:rsidRPr="00131FD7">
        <w:rPr>
          <w:rFonts w:eastAsia="Times New Roman"/>
          <w:spacing w:val="0"/>
          <w:w w:val="100"/>
          <w:kern w:val="0"/>
          <w:lang w:val="en-US"/>
        </w:rPr>
        <w:t>:</w:t>
      </w:r>
      <w:r w:rsidR="00D30D8E" w:rsidRPr="00131FD7">
        <w:rPr>
          <w:rFonts w:eastAsia="Times New Roman"/>
          <w:spacing w:val="0"/>
          <w:w w:val="100"/>
          <w:kern w:val="0"/>
          <w:lang w:val="en-US"/>
        </w:rPr>
        <w:t> </w:t>
      </w:r>
    </w:p>
    <w:p w14:paraId="3D59504A" w14:textId="162E0B85" w:rsidR="00EC00DA" w:rsidRPr="00131FD7" w:rsidRDefault="008D2F62" w:rsidP="00DA291E">
      <w:pPr>
        <w:spacing w:after="120" w:line="240" w:lineRule="auto"/>
        <w:ind w:left="1260" w:right="1200"/>
        <w:jc w:val="both"/>
        <w:rPr>
          <w:rFonts w:eastAsia="Times New Roman"/>
          <w:color w:val="000000"/>
          <w:spacing w:val="0"/>
          <w:w w:val="100"/>
          <w:kern w:val="0"/>
          <w:lang w:val="en-US"/>
        </w:rPr>
      </w:pPr>
      <w:r w:rsidRPr="00131FD7">
        <w:rPr>
          <w:rFonts w:eastAsia="Times New Roman"/>
          <w:spacing w:val="0"/>
          <w:w w:val="100"/>
          <w:kern w:val="0"/>
          <w:lang w:val="en-US"/>
        </w:rPr>
        <w:t xml:space="preserve">(a) </w:t>
      </w:r>
      <w:r w:rsidR="00086081" w:rsidRPr="00086081">
        <w:rPr>
          <w:rFonts w:eastAsia="Times New Roman"/>
          <w:b/>
          <w:bCs/>
          <w:spacing w:val="0"/>
          <w:w w:val="100"/>
          <w:kern w:val="0"/>
          <w:lang w:val="en-US"/>
        </w:rPr>
        <w:t>Business Operations Strategy</w:t>
      </w:r>
      <w:r w:rsidR="00086081">
        <w:rPr>
          <w:rFonts w:eastAsia="Times New Roman"/>
          <w:spacing w:val="0"/>
          <w:w w:val="100"/>
          <w:kern w:val="0"/>
          <w:lang w:val="en-US"/>
        </w:rPr>
        <w:t xml:space="preserve">. </w:t>
      </w:r>
      <w:r w:rsidR="00D064F8">
        <w:rPr>
          <w:rFonts w:eastAsia="Times New Roman"/>
          <w:spacing w:val="0"/>
          <w:w w:val="100"/>
          <w:kern w:val="0"/>
        </w:rPr>
        <w:t xml:space="preserve">Version </w:t>
      </w:r>
      <w:r w:rsidR="00682A1A">
        <w:rPr>
          <w:rFonts w:eastAsia="Times New Roman"/>
          <w:spacing w:val="0"/>
          <w:w w:val="100"/>
          <w:kern w:val="0"/>
        </w:rPr>
        <w:t>2.0 of t</w:t>
      </w:r>
      <w:r w:rsidR="00D30D8E" w:rsidRPr="00131FD7">
        <w:rPr>
          <w:rFonts w:eastAsia="Times New Roman"/>
          <w:spacing w:val="0"/>
          <w:w w:val="100"/>
          <w:kern w:val="0"/>
        </w:rPr>
        <w:t>he BOS is near completion, with 129 of 131 countries having finalized the BOS 2.0. UNDP has made great contributions to this progress by leading 55 countries in developing the BOS 2.0. UNDP developed and is still maintaining a dedicated BOS digital platform as a contribution to the</w:t>
      </w:r>
      <w:r w:rsidR="00682A1A">
        <w:rPr>
          <w:rFonts w:eastAsia="Times New Roman"/>
          <w:spacing w:val="0"/>
          <w:w w:val="100"/>
          <w:kern w:val="0"/>
        </w:rPr>
        <w:t xml:space="preserve"> reform of the United Nations development system</w:t>
      </w:r>
      <w:r w:rsidR="00D30D8E" w:rsidRPr="00131FD7">
        <w:rPr>
          <w:rFonts w:eastAsia="Times New Roman"/>
          <w:spacing w:val="0"/>
          <w:w w:val="100"/>
          <w:kern w:val="0"/>
        </w:rPr>
        <w:t>, which has enabled</w:t>
      </w:r>
      <w:r w:rsidR="00682A1A">
        <w:rPr>
          <w:rFonts w:eastAsia="Times New Roman"/>
          <w:spacing w:val="0"/>
          <w:w w:val="100"/>
          <w:kern w:val="0"/>
        </w:rPr>
        <w:t xml:space="preserve"> a reduction of the time needed for development of the BOS by </w:t>
      </w:r>
      <w:r w:rsidR="00D30D8E" w:rsidRPr="00131FD7">
        <w:rPr>
          <w:rFonts w:eastAsia="Times New Roman"/>
          <w:spacing w:val="0"/>
          <w:w w:val="100"/>
          <w:kern w:val="0"/>
        </w:rPr>
        <w:t xml:space="preserve"> </w:t>
      </w:r>
      <w:r w:rsidR="00682A1A">
        <w:rPr>
          <w:rFonts w:eastAsia="Times New Roman"/>
          <w:spacing w:val="0"/>
          <w:w w:val="100"/>
          <w:kern w:val="0"/>
        </w:rPr>
        <w:t>c</w:t>
      </w:r>
      <w:r w:rsidR="00D30D8E" w:rsidRPr="00131FD7">
        <w:rPr>
          <w:rFonts w:eastAsia="Times New Roman"/>
          <w:spacing w:val="0"/>
          <w:w w:val="100"/>
          <w:kern w:val="0"/>
        </w:rPr>
        <w:t>ountry</w:t>
      </w:r>
      <w:r w:rsidR="00682A1A">
        <w:rPr>
          <w:rFonts w:eastAsia="Times New Roman"/>
          <w:spacing w:val="0"/>
          <w:w w:val="100"/>
          <w:kern w:val="0"/>
        </w:rPr>
        <w:t xml:space="preserve"> o</w:t>
      </w:r>
      <w:r w:rsidR="00D30D8E" w:rsidRPr="00131FD7">
        <w:rPr>
          <w:rFonts w:eastAsia="Times New Roman"/>
          <w:spacing w:val="0"/>
          <w:w w:val="100"/>
          <w:kern w:val="0"/>
        </w:rPr>
        <w:t>ffice</w:t>
      </w:r>
      <w:r w:rsidR="00682A1A">
        <w:rPr>
          <w:rFonts w:eastAsia="Times New Roman"/>
          <w:spacing w:val="0"/>
          <w:w w:val="100"/>
          <w:kern w:val="0"/>
        </w:rPr>
        <w:t>s</w:t>
      </w:r>
      <w:r w:rsidR="00D30D8E" w:rsidRPr="00131FD7">
        <w:rPr>
          <w:rFonts w:eastAsia="Times New Roman"/>
          <w:spacing w:val="0"/>
          <w:w w:val="100"/>
          <w:kern w:val="0"/>
        </w:rPr>
        <w:t xml:space="preserve"> from an average of </w:t>
      </w:r>
      <w:r w:rsidR="00682A1A">
        <w:rPr>
          <w:rFonts w:eastAsia="Times New Roman"/>
          <w:spacing w:val="0"/>
          <w:w w:val="100"/>
          <w:kern w:val="0"/>
        </w:rPr>
        <w:t>six</w:t>
      </w:r>
      <w:r w:rsidR="00D30D8E" w:rsidRPr="00131FD7">
        <w:rPr>
          <w:rFonts w:eastAsia="Times New Roman"/>
          <w:spacing w:val="0"/>
          <w:w w:val="100"/>
          <w:kern w:val="0"/>
        </w:rPr>
        <w:t xml:space="preserve"> months to </w:t>
      </w:r>
      <w:r w:rsidR="00682A1A">
        <w:rPr>
          <w:rFonts w:eastAsia="Times New Roman"/>
          <w:spacing w:val="0"/>
          <w:w w:val="100"/>
          <w:kern w:val="0"/>
        </w:rPr>
        <w:t xml:space="preserve">eight </w:t>
      </w:r>
      <w:r w:rsidR="00D30D8E" w:rsidRPr="00131FD7">
        <w:rPr>
          <w:rFonts w:eastAsia="Times New Roman"/>
          <w:spacing w:val="0"/>
          <w:w w:val="100"/>
          <w:kern w:val="0"/>
        </w:rPr>
        <w:t xml:space="preserve">weeks. As the top location-dependent service provider that is providing 1,346 services under the BOS worldwide, </w:t>
      </w:r>
      <w:r w:rsidR="00682A1A">
        <w:rPr>
          <w:rFonts w:eastAsia="Times New Roman"/>
          <w:spacing w:val="0"/>
          <w:w w:val="100"/>
          <w:kern w:val="0"/>
        </w:rPr>
        <w:t xml:space="preserve">in the next stage of its development, </w:t>
      </w:r>
      <w:r w:rsidR="00D30D8E" w:rsidRPr="00131FD7">
        <w:rPr>
          <w:rFonts w:eastAsia="Times New Roman"/>
          <w:spacing w:val="0"/>
          <w:w w:val="100"/>
          <w:kern w:val="0"/>
        </w:rPr>
        <w:t>UNDP</w:t>
      </w:r>
      <w:r w:rsidR="00682A1A">
        <w:rPr>
          <w:rFonts w:eastAsia="Times New Roman"/>
          <w:spacing w:val="0"/>
          <w:w w:val="100"/>
          <w:kern w:val="0"/>
        </w:rPr>
        <w:t xml:space="preserve"> will </w:t>
      </w:r>
      <w:r w:rsidR="00D30D8E" w:rsidRPr="00131FD7">
        <w:rPr>
          <w:rFonts w:eastAsia="Times New Roman"/>
          <w:spacing w:val="0"/>
          <w:w w:val="100"/>
          <w:kern w:val="0"/>
        </w:rPr>
        <w:t>prioriti</w:t>
      </w:r>
      <w:r w:rsidR="00682A1A">
        <w:rPr>
          <w:rFonts w:eastAsia="Times New Roman"/>
          <w:spacing w:val="0"/>
          <w:w w:val="100"/>
          <w:kern w:val="0"/>
        </w:rPr>
        <w:t>ze</w:t>
      </w:r>
      <w:r w:rsidR="00D30D8E" w:rsidRPr="00131FD7">
        <w:rPr>
          <w:rFonts w:eastAsia="Times New Roman"/>
          <w:spacing w:val="0"/>
          <w:w w:val="100"/>
          <w:kern w:val="0"/>
        </w:rPr>
        <w:t xml:space="preserve"> supporting its </w:t>
      </w:r>
      <w:r w:rsidR="00682A1A">
        <w:rPr>
          <w:rFonts w:eastAsia="Times New Roman"/>
          <w:spacing w:val="0"/>
          <w:w w:val="100"/>
          <w:kern w:val="0"/>
        </w:rPr>
        <w:t>c</w:t>
      </w:r>
      <w:r w:rsidR="00D30D8E" w:rsidRPr="00131FD7">
        <w:rPr>
          <w:rFonts w:eastAsia="Times New Roman"/>
          <w:spacing w:val="0"/>
          <w:w w:val="100"/>
          <w:kern w:val="0"/>
        </w:rPr>
        <w:t xml:space="preserve">ountry </w:t>
      </w:r>
      <w:r w:rsidR="00682A1A">
        <w:rPr>
          <w:rFonts w:eastAsia="Times New Roman"/>
          <w:spacing w:val="0"/>
          <w:w w:val="100"/>
          <w:kern w:val="0"/>
        </w:rPr>
        <w:t>o</w:t>
      </w:r>
      <w:r w:rsidR="00D30D8E" w:rsidRPr="00131FD7">
        <w:rPr>
          <w:rFonts w:eastAsia="Times New Roman"/>
          <w:spacing w:val="0"/>
          <w:w w:val="100"/>
          <w:kern w:val="0"/>
        </w:rPr>
        <w:t xml:space="preserve">ffices in implementing and utilizing agreed common services under the BOS. To advance the implementation, UNDP has shared its best practices on </w:t>
      </w:r>
      <w:r w:rsidR="00682A1A">
        <w:rPr>
          <w:rFonts w:eastAsia="Times New Roman"/>
          <w:spacing w:val="0"/>
          <w:w w:val="100"/>
          <w:kern w:val="0"/>
        </w:rPr>
        <w:t>g</w:t>
      </w:r>
      <w:r w:rsidR="00D30D8E" w:rsidRPr="00131FD7">
        <w:rPr>
          <w:rFonts w:eastAsia="Times New Roman"/>
          <w:spacing w:val="0"/>
          <w:w w:val="100"/>
          <w:kern w:val="0"/>
        </w:rPr>
        <w:t xml:space="preserve">reen </w:t>
      </w:r>
      <w:r w:rsidR="00682A1A">
        <w:rPr>
          <w:rFonts w:eastAsia="Times New Roman"/>
          <w:spacing w:val="0"/>
          <w:w w:val="100"/>
          <w:kern w:val="0"/>
        </w:rPr>
        <w:t>e</w:t>
      </w:r>
      <w:r w:rsidR="00D30D8E" w:rsidRPr="00131FD7">
        <w:rPr>
          <w:rFonts w:eastAsia="Times New Roman"/>
          <w:spacing w:val="0"/>
          <w:w w:val="100"/>
          <w:kern w:val="0"/>
        </w:rPr>
        <w:t xml:space="preserve">nergy and </w:t>
      </w:r>
      <w:r w:rsidR="00682A1A">
        <w:rPr>
          <w:rFonts w:eastAsia="Times New Roman"/>
          <w:spacing w:val="0"/>
          <w:w w:val="100"/>
          <w:kern w:val="0"/>
        </w:rPr>
        <w:t>c</w:t>
      </w:r>
      <w:r w:rsidR="00D30D8E" w:rsidRPr="00131FD7">
        <w:rPr>
          <w:rFonts w:eastAsia="Times New Roman"/>
          <w:spacing w:val="0"/>
          <w:w w:val="100"/>
          <w:kern w:val="0"/>
        </w:rPr>
        <w:t xml:space="preserve">ommon </w:t>
      </w:r>
      <w:r w:rsidR="00682A1A">
        <w:rPr>
          <w:rFonts w:eastAsia="Times New Roman"/>
          <w:spacing w:val="0"/>
          <w:w w:val="100"/>
          <w:kern w:val="0"/>
        </w:rPr>
        <w:t>m</w:t>
      </w:r>
      <w:r w:rsidR="00D30D8E" w:rsidRPr="00131FD7">
        <w:rPr>
          <w:rFonts w:eastAsia="Times New Roman"/>
          <w:spacing w:val="0"/>
          <w:w w:val="100"/>
          <w:kern w:val="0"/>
        </w:rPr>
        <w:t xml:space="preserve">obility as </w:t>
      </w:r>
      <w:r w:rsidR="00682A1A">
        <w:rPr>
          <w:rFonts w:eastAsia="Times New Roman"/>
          <w:spacing w:val="0"/>
          <w:w w:val="100"/>
          <w:kern w:val="0"/>
        </w:rPr>
        <w:t>h</w:t>
      </w:r>
      <w:r w:rsidR="00D30D8E" w:rsidRPr="00131FD7">
        <w:rPr>
          <w:rFonts w:eastAsia="Times New Roman"/>
          <w:spacing w:val="0"/>
          <w:w w:val="100"/>
          <w:kern w:val="0"/>
        </w:rPr>
        <w:t>igh</w:t>
      </w:r>
      <w:r w:rsidR="00682A1A">
        <w:rPr>
          <w:rFonts w:eastAsia="Times New Roman"/>
          <w:spacing w:val="0"/>
          <w:w w:val="100"/>
          <w:kern w:val="0"/>
        </w:rPr>
        <w:t>-i</w:t>
      </w:r>
      <w:r w:rsidR="00D30D8E" w:rsidRPr="00131FD7">
        <w:rPr>
          <w:rFonts w:eastAsia="Times New Roman"/>
          <w:spacing w:val="0"/>
          <w:w w:val="100"/>
          <w:kern w:val="0"/>
        </w:rPr>
        <w:t xml:space="preserve">mpact </w:t>
      </w:r>
      <w:r w:rsidR="00682A1A">
        <w:rPr>
          <w:rFonts w:eastAsia="Times New Roman"/>
          <w:spacing w:val="0"/>
          <w:w w:val="100"/>
          <w:kern w:val="0"/>
        </w:rPr>
        <w:t>c</w:t>
      </w:r>
      <w:r w:rsidR="00D30D8E" w:rsidRPr="00131FD7">
        <w:rPr>
          <w:rFonts w:eastAsia="Times New Roman"/>
          <w:spacing w:val="0"/>
          <w:w w:val="100"/>
          <w:kern w:val="0"/>
        </w:rPr>
        <w:t xml:space="preserve">ommon </w:t>
      </w:r>
      <w:r w:rsidR="00682A1A">
        <w:rPr>
          <w:rFonts w:eastAsia="Times New Roman"/>
          <w:spacing w:val="0"/>
          <w:w w:val="100"/>
          <w:kern w:val="0"/>
        </w:rPr>
        <w:t>s</w:t>
      </w:r>
      <w:r w:rsidR="00D30D8E" w:rsidRPr="00131FD7">
        <w:rPr>
          <w:rFonts w:eastAsia="Times New Roman"/>
          <w:spacing w:val="0"/>
          <w:w w:val="100"/>
          <w:kern w:val="0"/>
        </w:rPr>
        <w:t>ervices through</w:t>
      </w:r>
      <w:r w:rsidR="00682A1A">
        <w:rPr>
          <w:rFonts w:eastAsia="Times New Roman"/>
          <w:spacing w:val="0"/>
          <w:w w:val="100"/>
          <w:kern w:val="0"/>
        </w:rPr>
        <w:t xml:space="preserve"> the</w:t>
      </w:r>
      <w:r w:rsidR="00D30D8E" w:rsidRPr="00131FD7">
        <w:rPr>
          <w:rFonts w:eastAsia="Times New Roman"/>
          <w:spacing w:val="0"/>
          <w:w w:val="100"/>
          <w:kern w:val="0"/>
        </w:rPr>
        <w:t xml:space="preserve"> DCO network within the U</w:t>
      </w:r>
      <w:r w:rsidR="00682A1A">
        <w:rPr>
          <w:rFonts w:eastAsia="Times New Roman"/>
          <w:spacing w:val="0"/>
          <w:w w:val="100"/>
          <w:kern w:val="0"/>
        </w:rPr>
        <w:t xml:space="preserve">nited </w:t>
      </w:r>
      <w:r w:rsidR="00D30D8E" w:rsidRPr="00131FD7">
        <w:rPr>
          <w:rFonts w:eastAsia="Times New Roman"/>
          <w:spacing w:val="0"/>
          <w:w w:val="100"/>
          <w:kern w:val="0"/>
        </w:rPr>
        <w:t>N</w:t>
      </w:r>
      <w:r w:rsidR="00682A1A">
        <w:rPr>
          <w:rFonts w:eastAsia="Times New Roman"/>
          <w:spacing w:val="0"/>
          <w:w w:val="100"/>
          <w:kern w:val="0"/>
        </w:rPr>
        <w:t>ations</w:t>
      </w:r>
      <w:r w:rsidR="00D30D8E" w:rsidRPr="00131FD7">
        <w:rPr>
          <w:rFonts w:eastAsia="Times New Roman"/>
          <w:spacing w:val="0"/>
          <w:w w:val="100"/>
          <w:kern w:val="0"/>
        </w:rPr>
        <w:t xml:space="preserve"> system</w:t>
      </w:r>
      <w:r w:rsidR="00682A1A">
        <w:rPr>
          <w:rFonts w:eastAsia="Times New Roman"/>
          <w:spacing w:val="0"/>
          <w:w w:val="100"/>
          <w:kern w:val="0"/>
        </w:rPr>
        <w:t>;</w:t>
      </w:r>
      <w:r w:rsidR="00D30D8E" w:rsidRPr="00131FD7">
        <w:rPr>
          <w:rFonts w:eastAsia="Times New Roman"/>
          <w:spacing w:val="0"/>
          <w:w w:val="100"/>
          <w:kern w:val="0"/>
        </w:rPr>
        <w:t xml:space="preserve">   </w:t>
      </w:r>
    </w:p>
    <w:p w14:paraId="4B951C0C" w14:textId="47B3B199" w:rsidR="00EC00DA" w:rsidRPr="00131FD7" w:rsidRDefault="008D2F62" w:rsidP="00DA291E">
      <w:pPr>
        <w:spacing w:after="120" w:line="240" w:lineRule="auto"/>
        <w:ind w:left="1260" w:right="1200"/>
        <w:jc w:val="both"/>
        <w:rPr>
          <w:rFonts w:eastAsia="Times New Roman"/>
          <w:color w:val="000000"/>
          <w:spacing w:val="0"/>
          <w:w w:val="100"/>
          <w:kern w:val="0"/>
          <w:lang w:val="en-US"/>
        </w:rPr>
      </w:pPr>
      <w:r w:rsidRPr="00131FD7">
        <w:rPr>
          <w:rFonts w:eastAsia="Times New Roman"/>
          <w:spacing w:val="0"/>
          <w:w w:val="100"/>
          <w:kern w:val="0"/>
        </w:rPr>
        <w:t xml:space="preserve">(b) </w:t>
      </w:r>
      <w:r w:rsidR="00D30D8E" w:rsidRPr="00086081">
        <w:rPr>
          <w:rFonts w:eastAsia="Times New Roman"/>
          <w:b/>
          <w:bCs/>
          <w:spacing w:val="0"/>
          <w:w w:val="100"/>
          <w:kern w:val="0"/>
        </w:rPr>
        <w:t xml:space="preserve">Common </w:t>
      </w:r>
      <w:r w:rsidR="00682A1A" w:rsidRPr="00086081">
        <w:rPr>
          <w:rFonts w:eastAsia="Times New Roman"/>
          <w:b/>
          <w:bCs/>
          <w:spacing w:val="0"/>
          <w:w w:val="100"/>
          <w:kern w:val="0"/>
        </w:rPr>
        <w:t>b</w:t>
      </w:r>
      <w:r w:rsidR="00D30D8E" w:rsidRPr="00086081">
        <w:rPr>
          <w:rFonts w:eastAsia="Times New Roman"/>
          <w:b/>
          <w:bCs/>
          <w:spacing w:val="0"/>
          <w:w w:val="100"/>
          <w:kern w:val="0"/>
        </w:rPr>
        <w:t xml:space="preserve">ack </w:t>
      </w:r>
      <w:r w:rsidR="00682A1A" w:rsidRPr="00086081">
        <w:rPr>
          <w:rFonts w:eastAsia="Times New Roman"/>
          <w:b/>
          <w:bCs/>
          <w:spacing w:val="0"/>
          <w:w w:val="100"/>
          <w:kern w:val="0"/>
        </w:rPr>
        <w:t>o</w:t>
      </w:r>
      <w:r w:rsidR="00D30D8E" w:rsidRPr="00086081">
        <w:rPr>
          <w:rFonts w:eastAsia="Times New Roman"/>
          <w:b/>
          <w:bCs/>
          <w:spacing w:val="0"/>
          <w:w w:val="100"/>
          <w:kern w:val="0"/>
        </w:rPr>
        <w:t>ffice</w:t>
      </w:r>
      <w:r w:rsidR="00682A1A">
        <w:rPr>
          <w:rFonts w:eastAsia="Times New Roman"/>
          <w:spacing w:val="0"/>
          <w:w w:val="100"/>
          <w:kern w:val="0"/>
        </w:rPr>
        <w:t>.</w:t>
      </w:r>
      <w:r w:rsidR="00D30D8E" w:rsidRPr="00131FD7">
        <w:rPr>
          <w:rFonts w:eastAsia="Times New Roman"/>
          <w:spacing w:val="0"/>
          <w:w w:val="100"/>
          <w:kern w:val="0"/>
        </w:rPr>
        <w:t xml:space="preserve"> Of the 30 countries targeted for 2021, seven countries (</w:t>
      </w:r>
      <w:r w:rsidR="00682A1A">
        <w:rPr>
          <w:rFonts w:eastAsia="Times New Roman"/>
          <w:spacing w:val="0"/>
          <w:w w:val="100"/>
          <w:kern w:val="0"/>
        </w:rPr>
        <w:t>Brazil, Kenya, Kuwait</w:t>
      </w:r>
      <w:r w:rsidR="004F3269">
        <w:rPr>
          <w:rFonts w:eastAsia="Times New Roman"/>
          <w:spacing w:val="0"/>
          <w:w w:val="100"/>
          <w:kern w:val="0"/>
        </w:rPr>
        <w:t>,</w:t>
      </w:r>
      <w:r w:rsidR="00682A1A">
        <w:rPr>
          <w:rFonts w:eastAsia="Times New Roman"/>
          <w:spacing w:val="0"/>
          <w:w w:val="100"/>
          <w:kern w:val="0"/>
        </w:rPr>
        <w:t xml:space="preserve"> </w:t>
      </w:r>
      <w:r w:rsidR="00D30D8E" w:rsidRPr="00131FD7">
        <w:rPr>
          <w:rFonts w:eastAsia="Times New Roman"/>
          <w:spacing w:val="0"/>
          <w:w w:val="100"/>
          <w:kern w:val="0"/>
        </w:rPr>
        <w:t xml:space="preserve">Serbia, </w:t>
      </w:r>
      <w:r w:rsidR="004F3269">
        <w:rPr>
          <w:rFonts w:eastAsia="Times New Roman"/>
          <w:spacing w:val="0"/>
          <w:w w:val="100"/>
          <w:kern w:val="0"/>
        </w:rPr>
        <w:t xml:space="preserve">Sudan, </w:t>
      </w:r>
      <w:r w:rsidR="00682A1A">
        <w:rPr>
          <w:rFonts w:eastAsia="Times New Roman"/>
          <w:spacing w:val="0"/>
          <w:w w:val="100"/>
          <w:kern w:val="0"/>
        </w:rPr>
        <w:t>United Republic of</w:t>
      </w:r>
      <w:r w:rsidR="004F3269">
        <w:rPr>
          <w:rFonts w:eastAsia="Times New Roman"/>
          <w:spacing w:val="0"/>
          <w:w w:val="100"/>
          <w:kern w:val="0"/>
        </w:rPr>
        <w:t xml:space="preserve"> </w:t>
      </w:r>
      <w:r w:rsidR="00D30D8E" w:rsidRPr="00131FD7">
        <w:rPr>
          <w:rFonts w:eastAsia="Times New Roman"/>
          <w:spacing w:val="0"/>
          <w:w w:val="100"/>
          <w:kern w:val="0"/>
        </w:rPr>
        <w:t xml:space="preserve">Tanzania, Viet Nam) are part of the </w:t>
      </w:r>
      <w:r w:rsidR="004F3269">
        <w:rPr>
          <w:rFonts w:eastAsia="Times New Roman"/>
          <w:spacing w:val="0"/>
          <w:w w:val="100"/>
          <w:kern w:val="0"/>
        </w:rPr>
        <w:t>p</w:t>
      </w:r>
      <w:r w:rsidR="00D30D8E" w:rsidRPr="00131FD7">
        <w:rPr>
          <w:rFonts w:eastAsia="Times New Roman"/>
          <w:spacing w:val="0"/>
          <w:w w:val="100"/>
          <w:kern w:val="0"/>
        </w:rPr>
        <w:t xml:space="preserve">hase 1 roll-out plan, </w:t>
      </w:r>
      <w:r w:rsidR="004F3269">
        <w:rPr>
          <w:rFonts w:eastAsia="Times New Roman"/>
          <w:spacing w:val="0"/>
          <w:w w:val="100"/>
          <w:kern w:val="0"/>
        </w:rPr>
        <w:t xml:space="preserve">with </w:t>
      </w:r>
      <w:r w:rsidR="00D30D8E" w:rsidRPr="00131FD7">
        <w:rPr>
          <w:rFonts w:eastAsia="Times New Roman"/>
          <w:spacing w:val="0"/>
          <w:w w:val="100"/>
          <w:kern w:val="0"/>
        </w:rPr>
        <w:t xml:space="preserve">Serbia expected to be the first country with a live </w:t>
      </w:r>
      <w:r w:rsidR="004F3269">
        <w:rPr>
          <w:rFonts w:eastAsia="Times New Roman"/>
          <w:spacing w:val="0"/>
          <w:w w:val="100"/>
          <w:kern w:val="0"/>
        </w:rPr>
        <w:t xml:space="preserve">common back office </w:t>
      </w:r>
      <w:r w:rsidR="00D30D8E" w:rsidRPr="00131FD7">
        <w:rPr>
          <w:rFonts w:eastAsia="Times New Roman"/>
          <w:spacing w:val="0"/>
          <w:w w:val="100"/>
          <w:kern w:val="0"/>
        </w:rPr>
        <w:t xml:space="preserve"> in place. UNDP reached out to all </w:t>
      </w:r>
      <w:r w:rsidR="004F3269">
        <w:rPr>
          <w:rFonts w:eastAsia="Times New Roman"/>
          <w:spacing w:val="0"/>
          <w:w w:val="100"/>
          <w:kern w:val="0"/>
        </w:rPr>
        <w:t>c</w:t>
      </w:r>
      <w:r w:rsidR="00D30D8E" w:rsidRPr="00131FD7">
        <w:rPr>
          <w:rFonts w:eastAsia="Times New Roman"/>
          <w:spacing w:val="0"/>
          <w:w w:val="100"/>
          <w:kern w:val="0"/>
        </w:rPr>
        <w:t xml:space="preserve">ountry </w:t>
      </w:r>
      <w:r w:rsidR="004F3269">
        <w:rPr>
          <w:rFonts w:eastAsia="Times New Roman"/>
          <w:spacing w:val="0"/>
          <w:w w:val="100"/>
          <w:kern w:val="0"/>
        </w:rPr>
        <w:t>o</w:t>
      </w:r>
      <w:r w:rsidR="00D30D8E" w:rsidRPr="00131FD7">
        <w:rPr>
          <w:rFonts w:eastAsia="Times New Roman"/>
          <w:spacing w:val="0"/>
          <w:w w:val="100"/>
          <w:kern w:val="0"/>
        </w:rPr>
        <w:t xml:space="preserve">ffices included in </w:t>
      </w:r>
      <w:r w:rsidR="004F3269">
        <w:rPr>
          <w:rFonts w:eastAsia="Times New Roman"/>
          <w:spacing w:val="0"/>
          <w:w w:val="100"/>
          <w:kern w:val="0"/>
        </w:rPr>
        <w:t>p</w:t>
      </w:r>
      <w:r w:rsidR="00D30D8E" w:rsidRPr="00131FD7">
        <w:rPr>
          <w:rFonts w:eastAsia="Times New Roman"/>
          <w:spacing w:val="0"/>
          <w:w w:val="100"/>
          <w:kern w:val="0"/>
        </w:rPr>
        <w:t xml:space="preserve">hase 1 to better understand their needs and concerns. UNDP is actively supporting the Serbia </w:t>
      </w:r>
      <w:r w:rsidR="004F3269">
        <w:rPr>
          <w:rFonts w:eastAsia="Times New Roman"/>
          <w:spacing w:val="0"/>
          <w:w w:val="100"/>
          <w:kern w:val="0"/>
        </w:rPr>
        <w:t>c</w:t>
      </w:r>
      <w:r w:rsidR="00D30D8E" w:rsidRPr="00131FD7">
        <w:rPr>
          <w:rFonts w:eastAsia="Times New Roman"/>
          <w:spacing w:val="0"/>
          <w:w w:val="100"/>
          <w:kern w:val="0"/>
        </w:rPr>
        <w:t xml:space="preserve">ountry </w:t>
      </w:r>
      <w:r w:rsidR="004F3269">
        <w:rPr>
          <w:rFonts w:eastAsia="Times New Roman"/>
          <w:spacing w:val="0"/>
          <w:w w:val="100"/>
          <w:kern w:val="0"/>
        </w:rPr>
        <w:t>o</w:t>
      </w:r>
      <w:r w:rsidR="00D30D8E" w:rsidRPr="00131FD7">
        <w:rPr>
          <w:rFonts w:eastAsia="Times New Roman"/>
          <w:spacing w:val="0"/>
          <w:w w:val="100"/>
          <w:kern w:val="0"/>
        </w:rPr>
        <w:t xml:space="preserve">ffice on the roll-out, including in shaping the </w:t>
      </w:r>
      <w:r w:rsidR="00086081">
        <w:rPr>
          <w:rFonts w:eastAsia="Times New Roman"/>
          <w:spacing w:val="0"/>
          <w:w w:val="100"/>
          <w:kern w:val="0"/>
        </w:rPr>
        <w:t>common back office</w:t>
      </w:r>
      <w:r w:rsidR="00086081" w:rsidRPr="00131FD7">
        <w:rPr>
          <w:rFonts w:eastAsia="Times New Roman"/>
          <w:spacing w:val="0"/>
          <w:w w:val="100"/>
          <w:kern w:val="0"/>
        </w:rPr>
        <w:t xml:space="preserve"> </w:t>
      </w:r>
      <w:r w:rsidR="00D30D8E" w:rsidRPr="00131FD7">
        <w:rPr>
          <w:rFonts w:eastAsia="Times New Roman"/>
          <w:spacing w:val="0"/>
          <w:w w:val="100"/>
          <w:kern w:val="0"/>
        </w:rPr>
        <w:t xml:space="preserve">business case, staffing and governance structure. Besides supporting the roll-out, UNDP is leading a legal task team and developing the </w:t>
      </w:r>
      <w:r w:rsidR="004F3269">
        <w:rPr>
          <w:rFonts w:eastAsia="Times New Roman"/>
          <w:spacing w:val="0"/>
          <w:w w:val="100"/>
          <w:kern w:val="0"/>
        </w:rPr>
        <w:t>common back office memorandum of understanding and service-level agreement;</w:t>
      </w:r>
    </w:p>
    <w:p w14:paraId="2AD33B7A" w14:textId="5AE33C6A" w:rsidR="00EC00DA" w:rsidRPr="00131FD7" w:rsidRDefault="008D2F62" w:rsidP="00DA291E">
      <w:pPr>
        <w:spacing w:after="120" w:line="240" w:lineRule="auto"/>
        <w:ind w:left="1260" w:right="1200"/>
        <w:jc w:val="both"/>
        <w:rPr>
          <w:rFonts w:eastAsia="Times New Roman"/>
          <w:color w:val="000000"/>
          <w:spacing w:val="0"/>
          <w:w w:val="100"/>
          <w:kern w:val="0"/>
          <w:lang w:val="en-US"/>
        </w:rPr>
      </w:pPr>
      <w:r w:rsidRPr="00131FD7">
        <w:rPr>
          <w:rFonts w:eastAsia="Times New Roman"/>
          <w:spacing w:val="0"/>
          <w:w w:val="100"/>
          <w:kern w:val="0"/>
          <w:lang w:val="en-US"/>
        </w:rPr>
        <w:t xml:space="preserve">(c) </w:t>
      </w:r>
      <w:r w:rsidR="00D30D8E" w:rsidRPr="00A473F3">
        <w:rPr>
          <w:rFonts w:eastAsia="Times New Roman"/>
          <w:b/>
          <w:bCs/>
          <w:spacing w:val="0"/>
          <w:w w:val="100"/>
          <w:kern w:val="0"/>
        </w:rPr>
        <w:t xml:space="preserve">Common </w:t>
      </w:r>
      <w:r w:rsidR="00086081" w:rsidRPr="00A473F3">
        <w:rPr>
          <w:rFonts w:eastAsia="Times New Roman"/>
          <w:b/>
          <w:bCs/>
          <w:spacing w:val="0"/>
          <w:w w:val="100"/>
          <w:kern w:val="0"/>
        </w:rPr>
        <w:t>p</w:t>
      </w:r>
      <w:r w:rsidR="00D30D8E" w:rsidRPr="00A473F3">
        <w:rPr>
          <w:rFonts w:eastAsia="Times New Roman"/>
          <w:b/>
          <w:bCs/>
          <w:spacing w:val="0"/>
          <w:w w:val="100"/>
          <w:kern w:val="0"/>
        </w:rPr>
        <w:t>remises</w:t>
      </w:r>
      <w:r w:rsidR="00086081">
        <w:rPr>
          <w:rFonts w:eastAsia="Times New Roman"/>
          <w:spacing w:val="0"/>
          <w:w w:val="100"/>
          <w:kern w:val="0"/>
        </w:rPr>
        <w:t>.</w:t>
      </w:r>
      <w:r w:rsidR="00D30D8E" w:rsidRPr="00131FD7">
        <w:rPr>
          <w:rFonts w:eastAsia="Times New Roman"/>
          <w:spacing w:val="0"/>
          <w:w w:val="100"/>
          <w:kern w:val="0"/>
        </w:rPr>
        <w:t xml:space="preserve"> </w:t>
      </w:r>
      <w:r w:rsidR="00D30D8E" w:rsidRPr="00131FD7">
        <w:rPr>
          <w:rFonts w:eastAsia="Times New Roman"/>
          <w:color w:val="000000"/>
          <w:spacing w:val="0"/>
          <w:w w:val="100"/>
          <w:kern w:val="0"/>
        </w:rPr>
        <w:t>Currently 23</w:t>
      </w:r>
      <w:r w:rsidR="00A473F3">
        <w:rPr>
          <w:rFonts w:eastAsia="Times New Roman"/>
          <w:color w:val="000000"/>
          <w:spacing w:val="0"/>
          <w:w w:val="100"/>
          <w:kern w:val="0"/>
        </w:rPr>
        <w:t xml:space="preserve"> per cent</w:t>
      </w:r>
      <w:r w:rsidR="00D30D8E" w:rsidRPr="00131FD7">
        <w:rPr>
          <w:rFonts w:eastAsia="Times New Roman"/>
          <w:color w:val="000000"/>
          <w:spacing w:val="0"/>
          <w:w w:val="100"/>
          <w:kern w:val="0"/>
        </w:rPr>
        <w:t xml:space="preserve"> of the total U</w:t>
      </w:r>
      <w:r w:rsidR="00A473F3">
        <w:rPr>
          <w:rFonts w:eastAsia="Times New Roman"/>
          <w:color w:val="000000"/>
          <w:spacing w:val="0"/>
          <w:w w:val="100"/>
          <w:kern w:val="0"/>
        </w:rPr>
        <w:t xml:space="preserve">nited </w:t>
      </w:r>
      <w:r w:rsidR="00D30D8E" w:rsidRPr="00131FD7">
        <w:rPr>
          <w:rFonts w:eastAsia="Times New Roman"/>
          <w:color w:val="000000"/>
          <w:spacing w:val="0"/>
          <w:w w:val="100"/>
          <w:kern w:val="0"/>
        </w:rPr>
        <w:t>N</w:t>
      </w:r>
      <w:r w:rsidR="00A473F3">
        <w:rPr>
          <w:rFonts w:eastAsia="Times New Roman"/>
          <w:color w:val="000000"/>
          <w:spacing w:val="0"/>
          <w:w w:val="100"/>
          <w:kern w:val="0"/>
        </w:rPr>
        <w:t>ations</w:t>
      </w:r>
      <w:r w:rsidR="00D30D8E" w:rsidRPr="00131FD7">
        <w:rPr>
          <w:rFonts w:eastAsia="Times New Roman"/>
          <w:color w:val="000000"/>
          <w:spacing w:val="0"/>
          <w:w w:val="100"/>
          <w:kern w:val="0"/>
        </w:rPr>
        <w:t xml:space="preserve"> premises are common premises, accommodating 45</w:t>
      </w:r>
      <w:r w:rsidR="00A473F3">
        <w:rPr>
          <w:rFonts w:eastAsia="Times New Roman"/>
          <w:color w:val="000000"/>
          <w:spacing w:val="0"/>
          <w:w w:val="100"/>
          <w:kern w:val="0"/>
        </w:rPr>
        <w:t xml:space="preserve"> per cent</w:t>
      </w:r>
      <w:r w:rsidR="00D30D8E" w:rsidRPr="00131FD7">
        <w:rPr>
          <w:rFonts w:eastAsia="Times New Roman"/>
          <w:color w:val="000000"/>
          <w:spacing w:val="0"/>
          <w:w w:val="100"/>
          <w:kern w:val="0"/>
        </w:rPr>
        <w:t xml:space="preserve"> of U</w:t>
      </w:r>
      <w:r w:rsidR="00A473F3">
        <w:rPr>
          <w:rFonts w:eastAsia="Times New Roman"/>
          <w:color w:val="000000"/>
          <w:spacing w:val="0"/>
          <w:w w:val="100"/>
          <w:kern w:val="0"/>
        </w:rPr>
        <w:t xml:space="preserve">nited </w:t>
      </w:r>
      <w:r w:rsidR="00D30D8E" w:rsidRPr="00131FD7">
        <w:rPr>
          <w:rFonts w:eastAsia="Times New Roman"/>
          <w:color w:val="000000"/>
          <w:spacing w:val="0"/>
          <w:w w:val="100"/>
          <w:kern w:val="0"/>
        </w:rPr>
        <w:t>N</w:t>
      </w:r>
      <w:r w:rsidR="00A473F3">
        <w:rPr>
          <w:rFonts w:eastAsia="Times New Roman"/>
          <w:color w:val="000000"/>
          <w:spacing w:val="0"/>
          <w:w w:val="100"/>
          <w:kern w:val="0"/>
        </w:rPr>
        <w:t>ations</w:t>
      </w:r>
      <w:r w:rsidR="00D30D8E" w:rsidRPr="00131FD7">
        <w:rPr>
          <w:rFonts w:eastAsia="Times New Roman"/>
          <w:color w:val="000000"/>
          <w:spacing w:val="0"/>
          <w:w w:val="100"/>
          <w:kern w:val="0"/>
        </w:rPr>
        <w:t xml:space="preserve"> personnel and 54</w:t>
      </w:r>
      <w:r w:rsidR="00A473F3">
        <w:rPr>
          <w:rFonts w:eastAsia="Times New Roman"/>
          <w:color w:val="000000"/>
          <w:spacing w:val="0"/>
          <w:w w:val="100"/>
          <w:kern w:val="0"/>
        </w:rPr>
        <w:t xml:space="preserve"> per cent</w:t>
      </w:r>
      <w:r w:rsidR="00D30D8E" w:rsidRPr="00131FD7">
        <w:rPr>
          <w:rFonts w:eastAsia="Times New Roman"/>
          <w:color w:val="000000"/>
          <w:spacing w:val="0"/>
          <w:w w:val="100"/>
          <w:kern w:val="0"/>
        </w:rPr>
        <w:t xml:space="preserve"> of U</w:t>
      </w:r>
      <w:r w:rsidR="00A473F3">
        <w:rPr>
          <w:rFonts w:eastAsia="Times New Roman"/>
          <w:color w:val="000000"/>
          <w:spacing w:val="0"/>
          <w:w w:val="100"/>
          <w:kern w:val="0"/>
        </w:rPr>
        <w:t xml:space="preserve">nited </w:t>
      </w:r>
      <w:r w:rsidR="00D30D8E" w:rsidRPr="00131FD7">
        <w:rPr>
          <w:rFonts w:eastAsia="Times New Roman"/>
          <w:color w:val="000000"/>
          <w:spacing w:val="0"/>
          <w:w w:val="100"/>
          <w:kern w:val="0"/>
        </w:rPr>
        <w:t>N</w:t>
      </w:r>
      <w:r w:rsidR="00A473F3">
        <w:rPr>
          <w:rFonts w:eastAsia="Times New Roman"/>
          <w:color w:val="000000"/>
          <w:spacing w:val="0"/>
          <w:w w:val="100"/>
          <w:kern w:val="0"/>
        </w:rPr>
        <w:t>ations</w:t>
      </w:r>
      <w:r w:rsidR="00D30D8E" w:rsidRPr="00131FD7">
        <w:rPr>
          <w:rFonts w:eastAsia="Times New Roman"/>
          <w:color w:val="000000"/>
          <w:spacing w:val="0"/>
          <w:w w:val="100"/>
          <w:kern w:val="0"/>
        </w:rPr>
        <w:t xml:space="preserve"> offices. UNDP is sharing 79</w:t>
      </w:r>
      <w:r w:rsidR="00A473F3">
        <w:rPr>
          <w:rFonts w:eastAsia="Times New Roman"/>
          <w:color w:val="000000"/>
          <w:spacing w:val="0"/>
          <w:w w:val="100"/>
          <w:kern w:val="0"/>
        </w:rPr>
        <w:t xml:space="preserve"> per cent</w:t>
      </w:r>
      <w:r w:rsidR="00D30D8E" w:rsidRPr="00131FD7">
        <w:rPr>
          <w:rFonts w:eastAsia="Times New Roman"/>
          <w:color w:val="000000"/>
          <w:spacing w:val="0"/>
          <w:w w:val="100"/>
          <w:kern w:val="0"/>
        </w:rPr>
        <w:t xml:space="preserve"> of all its premises that are feasible to be shared with other U</w:t>
      </w:r>
      <w:r w:rsidR="00A473F3">
        <w:rPr>
          <w:rFonts w:eastAsia="Times New Roman"/>
          <w:color w:val="000000"/>
          <w:spacing w:val="0"/>
          <w:w w:val="100"/>
          <w:kern w:val="0"/>
        </w:rPr>
        <w:t xml:space="preserve">nited </w:t>
      </w:r>
      <w:r w:rsidR="00D30D8E" w:rsidRPr="00131FD7">
        <w:rPr>
          <w:rFonts w:eastAsia="Times New Roman"/>
          <w:color w:val="000000"/>
          <w:spacing w:val="0"/>
          <w:w w:val="100"/>
          <w:kern w:val="0"/>
        </w:rPr>
        <w:t>N</w:t>
      </w:r>
      <w:r w:rsidR="00A473F3">
        <w:rPr>
          <w:rFonts w:eastAsia="Times New Roman"/>
          <w:color w:val="000000"/>
          <w:spacing w:val="0"/>
          <w:w w:val="100"/>
          <w:kern w:val="0"/>
        </w:rPr>
        <w:t>ations</w:t>
      </w:r>
      <w:r w:rsidR="00D30D8E" w:rsidRPr="00131FD7">
        <w:rPr>
          <w:rFonts w:eastAsia="Times New Roman"/>
          <w:color w:val="000000"/>
          <w:spacing w:val="0"/>
          <w:w w:val="100"/>
          <w:kern w:val="0"/>
        </w:rPr>
        <w:t xml:space="preserve"> agencies and is managing 72</w:t>
      </w:r>
      <w:r w:rsidR="00A473F3">
        <w:rPr>
          <w:rFonts w:eastAsia="Times New Roman"/>
          <w:color w:val="000000"/>
          <w:spacing w:val="0"/>
          <w:w w:val="100"/>
          <w:kern w:val="0"/>
        </w:rPr>
        <w:t xml:space="preserve"> per cent</w:t>
      </w:r>
      <w:r w:rsidR="00D30D8E" w:rsidRPr="00131FD7">
        <w:rPr>
          <w:rFonts w:eastAsia="Times New Roman"/>
          <w:color w:val="000000"/>
          <w:spacing w:val="0"/>
          <w:w w:val="100"/>
          <w:kern w:val="0"/>
        </w:rPr>
        <w:t xml:space="preserve"> of such premises. </w:t>
      </w:r>
      <w:r w:rsidR="00A473F3">
        <w:rPr>
          <w:rFonts w:eastAsia="Times New Roman"/>
          <w:color w:val="000000"/>
          <w:spacing w:val="0"/>
          <w:w w:val="100"/>
          <w:kern w:val="0"/>
        </w:rPr>
        <w:t xml:space="preserve">The </w:t>
      </w:r>
      <w:r w:rsidR="00D30D8E" w:rsidRPr="00131FD7">
        <w:rPr>
          <w:rFonts w:eastAsia="Times New Roman"/>
          <w:color w:val="000000"/>
          <w:spacing w:val="0"/>
          <w:w w:val="100"/>
          <w:kern w:val="0"/>
        </w:rPr>
        <w:t>DCO is currently developing a proposal for a revolving capital fund for the establishment of common premises</w:t>
      </w:r>
      <w:r w:rsidR="00A473F3">
        <w:rPr>
          <w:rFonts w:eastAsia="Times New Roman"/>
          <w:color w:val="000000"/>
          <w:spacing w:val="0"/>
          <w:w w:val="100"/>
          <w:kern w:val="0"/>
        </w:rPr>
        <w:t>;</w:t>
      </w:r>
    </w:p>
    <w:p w14:paraId="032FBA93" w14:textId="1DDA9C7A" w:rsidR="00D30D8E" w:rsidRPr="00131FD7" w:rsidRDefault="008D2F62" w:rsidP="00DA291E">
      <w:pPr>
        <w:spacing w:after="120" w:line="240" w:lineRule="auto"/>
        <w:ind w:left="1260" w:right="1200"/>
        <w:jc w:val="both"/>
        <w:rPr>
          <w:rFonts w:eastAsia="Times New Roman"/>
          <w:color w:val="000000"/>
          <w:spacing w:val="0"/>
          <w:w w:val="100"/>
          <w:kern w:val="0"/>
          <w:lang w:val="en-US"/>
        </w:rPr>
      </w:pPr>
      <w:r w:rsidRPr="00131FD7">
        <w:rPr>
          <w:rFonts w:eastAsia="Times New Roman"/>
          <w:spacing w:val="0"/>
          <w:w w:val="100"/>
          <w:kern w:val="0"/>
        </w:rPr>
        <w:t xml:space="preserve">(d) </w:t>
      </w:r>
      <w:r w:rsidR="00D30D8E" w:rsidRPr="00A473F3">
        <w:rPr>
          <w:rFonts w:eastAsia="Times New Roman"/>
          <w:b/>
          <w:bCs/>
          <w:spacing w:val="0"/>
          <w:w w:val="100"/>
          <w:kern w:val="0"/>
        </w:rPr>
        <w:t xml:space="preserve">Enabling </w:t>
      </w:r>
      <w:r w:rsidR="00A473F3" w:rsidRPr="00A473F3">
        <w:rPr>
          <w:rFonts w:eastAsia="Times New Roman"/>
          <w:b/>
          <w:bCs/>
          <w:spacing w:val="0"/>
          <w:w w:val="100"/>
          <w:kern w:val="0"/>
        </w:rPr>
        <w:t>p</w:t>
      </w:r>
      <w:r w:rsidR="00D30D8E" w:rsidRPr="00A473F3">
        <w:rPr>
          <w:rFonts w:eastAsia="Times New Roman"/>
          <w:b/>
          <w:bCs/>
          <w:spacing w:val="0"/>
          <w:w w:val="100"/>
          <w:kern w:val="0"/>
        </w:rPr>
        <w:t>rinciples (</w:t>
      </w:r>
      <w:r w:rsidR="00A473F3" w:rsidRPr="00A473F3">
        <w:rPr>
          <w:rFonts w:eastAsia="Times New Roman"/>
          <w:b/>
          <w:bCs/>
          <w:spacing w:val="0"/>
          <w:w w:val="100"/>
          <w:kern w:val="0"/>
        </w:rPr>
        <w:t>mutual recognition, client satisfaction, costing and pricing principles</w:t>
      </w:r>
      <w:r w:rsidR="00D30D8E" w:rsidRPr="00A473F3">
        <w:rPr>
          <w:rFonts w:eastAsia="Times New Roman"/>
          <w:b/>
          <w:bCs/>
          <w:spacing w:val="0"/>
          <w:w w:val="100"/>
          <w:kern w:val="0"/>
        </w:rPr>
        <w:t>)</w:t>
      </w:r>
      <w:r w:rsidR="00A473F3">
        <w:rPr>
          <w:rFonts w:eastAsia="Times New Roman"/>
          <w:spacing w:val="0"/>
          <w:w w:val="100"/>
          <w:kern w:val="0"/>
        </w:rPr>
        <w:t>.</w:t>
      </w:r>
      <w:r w:rsidR="00D30D8E" w:rsidRPr="00131FD7">
        <w:rPr>
          <w:rFonts w:eastAsia="Times New Roman"/>
          <w:spacing w:val="0"/>
          <w:w w:val="100"/>
          <w:kern w:val="0"/>
        </w:rPr>
        <w:t xml:space="preserve"> UNDP was one of the first entities to have signed agreements for all </w:t>
      </w:r>
      <w:r w:rsidR="00721D52" w:rsidRPr="00131FD7">
        <w:rPr>
          <w:rFonts w:eastAsia="Times New Roman"/>
          <w:spacing w:val="0"/>
          <w:w w:val="100"/>
          <w:kern w:val="0"/>
        </w:rPr>
        <w:t>three</w:t>
      </w:r>
      <w:r w:rsidR="00D30D8E" w:rsidRPr="00131FD7">
        <w:rPr>
          <w:rFonts w:eastAsia="Times New Roman"/>
          <w:spacing w:val="0"/>
          <w:w w:val="100"/>
          <w:kern w:val="0"/>
        </w:rPr>
        <w:t xml:space="preserve"> principles. </w:t>
      </w:r>
    </w:p>
    <w:p w14:paraId="35F3ECC4" w14:textId="3A950BC3" w:rsidR="007737B6" w:rsidRPr="00131FD7" w:rsidRDefault="00EC00DA" w:rsidP="00DA291E">
      <w:pPr>
        <w:tabs>
          <w:tab w:val="left" w:pos="1755"/>
          <w:tab w:val="left" w:pos="8820"/>
        </w:tabs>
        <w:spacing w:after="120" w:line="240" w:lineRule="auto"/>
        <w:ind w:left="1260" w:right="1200"/>
        <w:jc w:val="both"/>
      </w:pPr>
      <w:r w:rsidRPr="00131FD7">
        <w:t>21.</w:t>
      </w:r>
      <w:r w:rsidR="007737B6" w:rsidRPr="00131FD7">
        <w:tab/>
      </w:r>
      <w:r w:rsidR="007737B6" w:rsidRPr="00131FD7">
        <w:rPr>
          <w:b/>
          <w:bCs/>
        </w:rPr>
        <w:t>The Advisory Committee notes the efforts of UNDP</w:t>
      </w:r>
      <w:r w:rsidR="00541511" w:rsidRPr="00131FD7">
        <w:rPr>
          <w:b/>
          <w:bCs/>
        </w:rPr>
        <w:t xml:space="preserve"> and </w:t>
      </w:r>
      <w:r w:rsidR="007737B6" w:rsidRPr="00131FD7">
        <w:rPr>
          <w:b/>
          <w:bCs/>
        </w:rPr>
        <w:t>the progress in the Business Innovations Group</w:t>
      </w:r>
      <w:r w:rsidR="00541511" w:rsidRPr="00131FD7">
        <w:rPr>
          <w:b/>
          <w:bCs/>
        </w:rPr>
        <w:t>,</w:t>
      </w:r>
      <w:r w:rsidR="007737B6" w:rsidRPr="00131FD7">
        <w:rPr>
          <w:b/>
          <w:bCs/>
        </w:rPr>
        <w:t xml:space="preserve"> and trusts that detailed information, including quantifiable savings and efficiency gains</w:t>
      </w:r>
      <w:r w:rsidR="00A473F3">
        <w:rPr>
          <w:b/>
          <w:bCs/>
        </w:rPr>
        <w:t>,</w:t>
      </w:r>
      <w:r w:rsidR="007737B6" w:rsidRPr="00131FD7">
        <w:rPr>
          <w:b/>
          <w:bCs/>
        </w:rPr>
        <w:t xml:space="preserve"> will be included in future budget submissions.</w:t>
      </w:r>
    </w:p>
    <w:p w14:paraId="72FF49E6" w14:textId="177F7714" w:rsidR="39C7AFDE" w:rsidRPr="00A473F3" w:rsidRDefault="39C7AFDE" w:rsidP="00DA291E">
      <w:pPr>
        <w:tabs>
          <w:tab w:val="left" w:pos="1755"/>
          <w:tab w:val="left" w:pos="8820"/>
        </w:tabs>
        <w:spacing w:after="120" w:line="240" w:lineRule="auto"/>
        <w:ind w:left="1260" w:right="1200"/>
        <w:jc w:val="both"/>
        <w:rPr>
          <w:b/>
          <w:bCs/>
        </w:rPr>
      </w:pPr>
      <w:r w:rsidRPr="00A473F3">
        <w:rPr>
          <w:b/>
          <w:bCs/>
        </w:rPr>
        <w:t>Innovation</w:t>
      </w:r>
      <w:r w:rsidR="00A473F3">
        <w:rPr>
          <w:b/>
          <w:bCs/>
        </w:rPr>
        <w:t xml:space="preserve">, </w:t>
      </w:r>
      <w:r w:rsidRPr="00A473F3">
        <w:rPr>
          <w:b/>
          <w:bCs/>
        </w:rPr>
        <w:t>digitization</w:t>
      </w:r>
      <w:r w:rsidR="00A473F3">
        <w:rPr>
          <w:b/>
          <w:bCs/>
        </w:rPr>
        <w:t>,</w:t>
      </w:r>
      <w:r w:rsidRPr="00A473F3">
        <w:rPr>
          <w:b/>
          <w:bCs/>
        </w:rPr>
        <w:t xml:space="preserve"> development financing and partnership</w:t>
      </w:r>
      <w:r w:rsidR="00A473F3">
        <w:rPr>
          <w:b/>
          <w:bCs/>
        </w:rPr>
        <w:t>,</w:t>
      </w:r>
      <w:r w:rsidRPr="00A473F3">
        <w:rPr>
          <w:b/>
          <w:bCs/>
        </w:rPr>
        <w:t xml:space="preserve"> and investments in the business model </w:t>
      </w:r>
    </w:p>
    <w:p w14:paraId="583004CD" w14:textId="3B5927DF" w:rsidR="7AF06CE0" w:rsidRPr="00131FD7" w:rsidRDefault="00EC00DA" w:rsidP="00DA291E">
      <w:pPr>
        <w:tabs>
          <w:tab w:val="left" w:pos="1755"/>
          <w:tab w:val="left" w:pos="8820"/>
        </w:tabs>
        <w:spacing w:after="120" w:line="240" w:lineRule="auto"/>
        <w:ind w:left="1260" w:right="1200"/>
        <w:jc w:val="both"/>
      </w:pPr>
      <w:r w:rsidRPr="00131FD7">
        <w:t>22</w:t>
      </w:r>
      <w:r w:rsidR="39C7AFDE" w:rsidRPr="00131FD7">
        <w:t>.</w:t>
      </w:r>
      <w:r w:rsidR="7AF06CE0" w:rsidRPr="00131FD7">
        <w:tab/>
      </w:r>
      <w:r w:rsidR="5D7A8097" w:rsidRPr="00131FD7">
        <w:t>Upon</w:t>
      </w:r>
      <w:r w:rsidR="39C7AFDE" w:rsidRPr="00131FD7">
        <w:t xml:space="preserve"> enquiry, the Advisory Committee was informed that UNDP is investing in enabling capacities and approaches that can scale up development impact, and that it is supporting countries in cultivating and applying these enablers, while also embedding them in </w:t>
      </w:r>
      <w:r w:rsidR="00A473F3">
        <w:t xml:space="preserve">the </w:t>
      </w:r>
      <w:r w:rsidR="39C7AFDE" w:rsidRPr="00131FD7">
        <w:t>UNDP way of wor</w:t>
      </w:r>
      <w:r w:rsidR="4ED9FCA7" w:rsidRPr="00131FD7">
        <w:t xml:space="preserve">king, with a focus on strategic innovation, </w:t>
      </w:r>
      <w:r w:rsidR="4ED9FCA7" w:rsidRPr="00131FD7">
        <w:lastRenderedPageBreak/>
        <w:t>digitali</w:t>
      </w:r>
      <w:r w:rsidR="00A473F3">
        <w:t>z</w:t>
      </w:r>
      <w:r w:rsidR="4ED9FCA7" w:rsidRPr="00131FD7">
        <w:t xml:space="preserve">ation, </w:t>
      </w:r>
      <w:r w:rsidR="04DF179C" w:rsidRPr="00131FD7">
        <w:t xml:space="preserve">development financing, partnerships </w:t>
      </w:r>
      <w:r w:rsidR="45BD30A6" w:rsidRPr="00131FD7">
        <w:t xml:space="preserve">and </w:t>
      </w:r>
      <w:r w:rsidR="04DF179C" w:rsidRPr="00131FD7">
        <w:t>a more agile and anticipatory app</w:t>
      </w:r>
      <w:r w:rsidR="7046FF9B" w:rsidRPr="00131FD7">
        <w:t>roach</w:t>
      </w:r>
      <w:r w:rsidR="00DA291E">
        <w:t>.</w:t>
      </w:r>
    </w:p>
    <w:p w14:paraId="7110131E" w14:textId="51DDB5D6" w:rsidR="120CFB96" w:rsidRPr="002F62DD" w:rsidRDefault="120CFB96" w:rsidP="00DA291E">
      <w:pPr>
        <w:spacing w:after="120" w:line="240" w:lineRule="auto"/>
        <w:ind w:left="1260" w:right="1200"/>
        <w:jc w:val="both"/>
        <w:rPr>
          <w:rFonts w:eastAsia="Times New Roman"/>
          <w:b/>
          <w:bCs/>
          <w:color w:val="000000" w:themeColor="text1"/>
        </w:rPr>
      </w:pPr>
      <w:r w:rsidRPr="002F62DD">
        <w:rPr>
          <w:rFonts w:eastAsia="Times New Roman"/>
          <w:b/>
          <w:bCs/>
          <w:color w:val="000000" w:themeColor="text1"/>
        </w:rPr>
        <w:t>Implementation of the recommendations of the Advisory Committee</w:t>
      </w:r>
      <w:r w:rsidRPr="002F62DD">
        <w:rPr>
          <w:rFonts w:eastAsia="Times New Roman"/>
          <w:b/>
          <w:bCs/>
          <w:color w:val="000000" w:themeColor="text1"/>
          <w:u w:val="single"/>
        </w:rPr>
        <w:t xml:space="preserve"> </w:t>
      </w:r>
    </w:p>
    <w:p w14:paraId="7474DD3D" w14:textId="59E23244" w:rsidR="004A139D" w:rsidRPr="00131FD7" w:rsidRDefault="00B3795C" w:rsidP="00DA291E">
      <w:pPr>
        <w:pStyle w:val="paragraph"/>
        <w:tabs>
          <w:tab w:val="left" w:pos="1710"/>
        </w:tabs>
        <w:spacing w:before="0" w:beforeAutospacing="0" w:after="120" w:afterAutospacing="0"/>
        <w:ind w:left="1260" w:right="1200"/>
        <w:jc w:val="both"/>
        <w:textAlignment w:val="baseline"/>
        <w:rPr>
          <w:b/>
          <w:bCs/>
          <w:sz w:val="20"/>
          <w:szCs w:val="20"/>
        </w:rPr>
      </w:pPr>
      <w:r w:rsidRPr="00131FD7">
        <w:rPr>
          <w:color w:val="000000" w:themeColor="text1"/>
          <w:sz w:val="20"/>
          <w:szCs w:val="20"/>
        </w:rPr>
        <w:t>2</w:t>
      </w:r>
      <w:r w:rsidR="00EC00DA" w:rsidRPr="00131FD7">
        <w:rPr>
          <w:color w:val="000000" w:themeColor="text1"/>
          <w:sz w:val="20"/>
          <w:szCs w:val="20"/>
        </w:rPr>
        <w:t>3</w:t>
      </w:r>
      <w:r w:rsidR="120CFB96" w:rsidRPr="00131FD7">
        <w:rPr>
          <w:color w:val="000000" w:themeColor="text1"/>
          <w:sz w:val="20"/>
          <w:szCs w:val="20"/>
        </w:rPr>
        <w:t>.</w:t>
      </w:r>
      <w:r w:rsidR="3E5C3688" w:rsidRPr="00131FD7">
        <w:rPr>
          <w:sz w:val="20"/>
          <w:szCs w:val="20"/>
        </w:rPr>
        <w:tab/>
      </w:r>
      <w:r w:rsidR="120CFB96" w:rsidRPr="00131FD7">
        <w:rPr>
          <w:color w:val="000000" w:themeColor="text1"/>
          <w:sz w:val="20"/>
          <w:szCs w:val="20"/>
        </w:rPr>
        <w:t xml:space="preserve">Upon enquiry, the Advisory Committee was informed that UNDP considers that all recent recommendations of the Committee have been implemented. </w:t>
      </w:r>
      <w:r w:rsidR="267BB7B4" w:rsidRPr="00131FD7">
        <w:rPr>
          <w:color w:val="000000" w:themeColor="text1"/>
          <w:sz w:val="20"/>
          <w:szCs w:val="20"/>
        </w:rPr>
        <w:t>However, w</w:t>
      </w:r>
      <w:r w:rsidR="1B36C2CF" w:rsidRPr="00131FD7">
        <w:rPr>
          <w:color w:val="000000" w:themeColor="text1"/>
          <w:sz w:val="20"/>
          <w:szCs w:val="20"/>
        </w:rPr>
        <w:t xml:space="preserve">ith respect to </w:t>
      </w:r>
      <w:r w:rsidR="1219F6CE" w:rsidRPr="00131FD7">
        <w:rPr>
          <w:color w:val="000000" w:themeColor="text1"/>
          <w:sz w:val="20"/>
          <w:szCs w:val="20"/>
        </w:rPr>
        <w:t>its</w:t>
      </w:r>
      <w:r w:rsidR="1B36C2CF" w:rsidRPr="00131FD7">
        <w:rPr>
          <w:color w:val="000000" w:themeColor="text1"/>
          <w:sz w:val="20"/>
          <w:szCs w:val="20"/>
        </w:rPr>
        <w:t xml:space="preserve"> recommendation that UNDP set clear criteria in determining the countries to which the 8 per cent cost recovery rate does not apply</w:t>
      </w:r>
      <w:r w:rsidR="002F62DD">
        <w:rPr>
          <w:color w:val="000000" w:themeColor="text1"/>
          <w:sz w:val="20"/>
          <w:szCs w:val="20"/>
        </w:rPr>
        <w:t>,</w:t>
      </w:r>
      <w:r w:rsidR="1B36C2CF" w:rsidRPr="00131FD7">
        <w:rPr>
          <w:color w:val="000000" w:themeColor="text1"/>
          <w:sz w:val="20"/>
          <w:szCs w:val="20"/>
        </w:rPr>
        <w:t xml:space="preserve"> and that exemptions should be limited to the extent possible</w:t>
      </w:r>
      <w:r w:rsidR="121B33D4" w:rsidRPr="00131FD7">
        <w:rPr>
          <w:color w:val="000000" w:themeColor="text1"/>
          <w:sz w:val="20"/>
          <w:szCs w:val="20"/>
        </w:rPr>
        <w:t xml:space="preserve"> (DP/2017/40 para 15),</w:t>
      </w:r>
      <w:r w:rsidR="38114EE1" w:rsidRPr="00131FD7">
        <w:rPr>
          <w:color w:val="000000" w:themeColor="text1"/>
          <w:sz w:val="20"/>
          <w:szCs w:val="20"/>
        </w:rPr>
        <w:t xml:space="preserve"> the </w:t>
      </w:r>
      <w:r w:rsidR="37CE7577" w:rsidRPr="00131FD7">
        <w:rPr>
          <w:color w:val="000000" w:themeColor="text1"/>
          <w:sz w:val="20"/>
          <w:szCs w:val="20"/>
        </w:rPr>
        <w:t>Committee considers that this information has not been provided</w:t>
      </w:r>
      <w:r w:rsidR="6B7BCC0A" w:rsidRPr="00131FD7">
        <w:rPr>
          <w:color w:val="000000" w:themeColor="text1"/>
          <w:sz w:val="20"/>
          <w:szCs w:val="20"/>
        </w:rPr>
        <w:t xml:space="preserve"> in the present budget report</w:t>
      </w:r>
      <w:r w:rsidR="37CE7577" w:rsidRPr="00131FD7">
        <w:rPr>
          <w:color w:val="000000" w:themeColor="text1"/>
          <w:sz w:val="20"/>
          <w:szCs w:val="20"/>
        </w:rPr>
        <w:t xml:space="preserve"> and that, therefore, the </w:t>
      </w:r>
      <w:r w:rsidR="1C26B7B2" w:rsidRPr="00131FD7">
        <w:rPr>
          <w:color w:val="000000" w:themeColor="text1"/>
          <w:sz w:val="20"/>
          <w:szCs w:val="20"/>
        </w:rPr>
        <w:t>recommendation</w:t>
      </w:r>
      <w:r w:rsidR="37CE7577" w:rsidRPr="00131FD7">
        <w:rPr>
          <w:color w:val="000000" w:themeColor="text1"/>
          <w:sz w:val="20"/>
          <w:szCs w:val="20"/>
        </w:rPr>
        <w:t xml:space="preserve"> is considered </w:t>
      </w:r>
      <w:r w:rsidR="002F62DD">
        <w:rPr>
          <w:color w:val="000000" w:themeColor="text1"/>
          <w:sz w:val="20"/>
          <w:szCs w:val="20"/>
        </w:rPr>
        <w:t xml:space="preserve">to be </w:t>
      </w:r>
      <w:r w:rsidR="37CE7577" w:rsidRPr="00131FD7">
        <w:rPr>
          <w:color w:val="000000" w:themeColor="text1"/>
          <w:sz w:val="20"/>
          <w:szCs w:val="20"/>
        </w:rPr>
        <w:t xml:space="preserve">not </w:t>
      </w:r>
      <w:r w:rsidR="15462573" w:rsidRPr="00131FD7">
        <w:rPr>
          <w:color w:val="000000" w:themeColor="text1"/>
          <w:sz w:val="20"/>
          <w:szCs w:val="20"/>
        </w:rPr>
        <w:t xml:space="preserve">yet </w:t>
      </w:r>
      <w:r w:rsidR="37CE7577" w:rsidRPr="00131FD7">
        <w:rPr>
          <w:color w:val="000000" w:themeColor="text1"/>
          <w:sz w:val="20"/>
          <w:szCs w:val="20"/>
        </w:rPr>
        <w:t>implemented</w:t>
      </w:r>
      <w:r w:rsidR="27065DDE" w:rsidRPr="00131FD7">
        <w:rPr>
          <w:color w:val="000000" w:themeColor="text1"/>
          <w:sz w:val="20"/>
          <w:szCs w:val="20"/>
        </w:rPr>
        <w:t xml:space="preserve">. </w:t>
      </w:r>
      <w:r w:rsidR="7E2C9AF6" w:rsidRPr="00131FD7">
        <w:rPr>
          <w:b/>
          <w:bCs/>
          <w:color w:val="000000" w:themeColor="text1"/>
          <w:sz w:val="20"/>
          <w:szCs w:val="20"/>
        </w:rPr>
        <w:t xml:space="preserve">The Advisory Committee </w:t>
      </w:r>
      <w:r w:rsidR="00DF5B70" w:rsidRPr="00131FD7">
        <w:rPr>
          <w:b/>
          <w:bCs/>
          <w:color w:val="000000" w:themeColor="text1"/>
          <w:sz w:val="20"/>
          <w:szCs w:val="20"/>
        </w:rPr>
        <w:t xml:space="preserve">expects that </w:t>
      </w:r>
      <w:r w:rsidR="004B74F3" w:rsidRPr="00131FD7">
        <w:rPr>
          <w:b/>
          <w:bCs/>
          <w:color w:val="000000" w:themeColor="text1"/>
          <w:sz w:val="20"/>
          <w:szCs w:val="20"/>
        </w:rPr>
        <w:t xml:space="preserve">all </w:t>
      </w:r>
      <w:r w:rsidR="00DF5B70" w:rsidRPr="00131FD7">
        <w:rPr>
          <w:b/>
          <w:bCs/>
          <w:color w:val="000000" w:themeColor="text1"/>
          <w:sz w:val="20"/>
          <w:szCs w:val="20"/>
        </w:rPr>
        <w:t xml:space="preserve">recommendations of the Board of Auditors will be implemented </w:t>
      </w:r>
      <w:r w:rsidR="004A139D" w:rsidRPr="00131FD7">
        <w:rPr>
          <w:b/>
          <w:bCs/>
          <w:color w:val="000000" w:themeColor="text1"/>
          <w:sz w:val="20"/>
          <w:szCs w:val="20"/>
        </w:rPr>
        <w:t>expeditiously,</w:t>
      </w:r>
      <w:r w:rsidR="00DF5B70" w:rsidRPr="00131FD7">
        <w:rPr>
          <w:b/>
          <w:bCs/>
          <w:color w:val="000000" w:themeColor="text1"/>
          <w:sz w:val="20"/>
          <w:szCs w:val="20"/>
        </w:rPr>
        <w:t xml:space="preserve"> and that </w:t>
      </w:r>
      <w:r w:rsidR="00721EA2" w:rsidRPr="00131FD7">
        <w:rPr>
          <w:b/>
          <w:bCs/>
          <w:color w:val="000000" w:themeColor="text1"/>
          <w:sz w:val="20"/>
          <w:szCs w:val="20"/>
        </w:rPr>
        <w:t>the implementation will be reported in the next midterm re</w:t>
      </w:r>
      <w:r w:rsidR="00B47830" w:rsidRPr="00131FD7">
        <w:rPr>
          <w:b/>
          <w:bCs/>
          <w:color w:val="000000" w:themeColor="text1"/>
          <w:sz w:val="20"/>
          <w:szCs w:val="20"/>
        </w:rPr>
        <w:t>port</w:t>
      </w:r>
      <w:r w:rsidR="00721EA2" w:rsidRPr="00131FD7">
        <w:rPr>
          <w:b/>
          <w:bCs/>
          <w:color w:val="000000" w:themeColor="text1"/>
          <w:sz w:val="20"/>
          <w:szCs w:val="20"/>
        </w:rPr>
        <w:t xml:space="preserve">. </w:t>
      </w:r>
      <w:r w:rsidR="004A139D" w:rsidRPr="00131FD7">
        <w:rPr>
          <w:b/>
          <w:bCs/>
          <w:color w:val="000000" w:themeColor="text1"/>
          <w:sz w:val="20"/>
          <w:szCs w:val="20"/>
        </w:rPr>
        <w:t>T</w:t>
      </w:r>
      <w:r w:rsidR="00721EA2" w:rsidRPr="00131FD7">
        <w:rPr>
          <w:b/>
          <w:bCs/>
          <w:color w:val="000000" w:themeColor="text1"/>
          <w:sz w:val="20"/>
          <w:szCs w:val="20"/>
        </w:rPr>
        <w:t xml:space="preserve">he Committee </w:t>
      </w:r>
      <w:r w:rsidR="004A139D" w:rsidRPr="00131FD7">
        <w:rPr>
          <w:b/>
          <w:bCs/>
          <w:color w:val="000000" w:themeColor="text1"/>
          <w:sz w:val="20"/>
          <w:szCs w:val="20"/>
        </w:rPr>
        <w:t xml:space="preserve">requests that the UNDP Administrator </w:t>
      </w:r>
      <w:r w:rsidR="00B47830" w:rsidRPr="00131FD7">
        <w:rPr>
          <w:b/>
          <w:bCs/>
          <w:color w:val="000000" w:themeColor="text1"/>
          <w:sz w:val="20"/>
          <w:szCs w:val="20"/>
        </w:rPr>
        <w:t xml:space="preserve">also </w:t>
      </w:r>
      <w:r w:rsidR="004A139D" w:rsidRPr="00131FD7">
        <w:rPr>
          <w:b/>
          <w:bCs/>
          <w:color w:val="000000" w:themeColor="text1"/>
          <w:sz w:val="20"/>
          <w:szCs w:val="20"/>
        </w:rPr>
        <w:t>provide a</w:t>
      </w:r>
      <w:r w:rsidR="00626F37" w:rsidRPr="00131FD7">
        <w:rPr>
          <w:b/>
          <w:bCs/>
          <w:color w:val="000000" w:themeColor="text1"/>
          <w:sz w:val="20"/>
          <w:szCs w:val="20"/>
        </w:rPr>
        <w:t xml:space="preserve">n update </w:t>
      </w:r>
      <w:r w:rsidR="00C619D9" w:rsidRPr="00131FD7">
        <w:rPr>
          <w:b/>
          <w:bCs/>
          <w:color w:val="000000" w:themeColor="text1"/>
          <w:sz w:val="20"/>
          <w:szCs w:val="20"/>
        </w:rPr>
        <w:t xml:space="preserve">thereon in the context of </w:t>
      </w:r>
      <w:r w:rsidR="00626F37" w:rsidRPr="00131FD7">
        <w:rPr>
          <w:b/>
          <w:bCs/>
          <w:color w:val="000000" w:themeColor="text1"/>
          <w:sz w:val="20"/>
          <w:szCs w:val="20"/>
        </w:rPr>
        <w:t>the Committee</w:t>
      </w:r>
      <w:r w:rsidR="00370493" w:rsidRPr="00131FD7">
        <w:rPr>
          <w:b/>
          <w:bCs/>
          <w:color w:val="000000" w:themeColor="text1"/>
          <w:sz w:val="20"/>
          <w:szCs w:val="20"/>
        </w:rPr>
        <w:t>’</w:t>
      </w:r>
      <w:r w:rsidR="00626F37" w:rsidRPr="00131FD7">
        <w:rPr>
          <w:b/>
          <w:bCs/>
          <w:color w:val="000000" w:themeColor="text1"/>
          <w:sz w:val="20"/>
          <w:szCs w:val="20"/>
        </w:rPr>
        <w:t xml:space="preserve">s </w:t>
      </w:r>
      <w:r w:rsidR="00C619D9" w:rsidRPr="00131FD7">
        <w:rPr>
          <w:b/>
          <w:bCs/>
          <w:color w:val="000000" w:themeColor="text1"/>
          <w:sz w:val="20"/>
          <w:szCs w:val="20"/>
        </w:rPr>
        <w:t>consideration</w:t>
      </w:r>
      <w:r w:rsidR="00370493" w:rsidRPr="00131FD7">
        <w:rPr>
          <w:b/>
          <w:bCs/>
          <w:color w:val="000000" w:themeColor="text1"/>
          <w:sz w:val="20"/>
          <w:szCs w:val="20"/>
        </w:rPr>
        <w:t xml:space="preserve">, during the fourth quarter </w:t>
      </w:r>
      <w:r w:rsidR="00ED2891" w:rsidRPr="00131FD7">
        <w:rPr>
          <w:b/>
          <w:bCs/>
          <w:color w:val="000000" w:themeColor="text1"/>
          <w:sz w:val="20"/>
          <w:szCs w:val="20"/>
        </w:rPr>
        <w:t xml:space="preserve">of </w:t>
      </w:r>
      <w:r w:rsidR="00370493" w:rsidRPr="00131FD7">
        <w:rPr>
          <w:b/>
          <w:bCs/>
          <w:color w:val="000000" w:themeColor="text1"/>
          <w:sz w:val="20"/>
          <w:szCs w:val="20"/>
        </w:rPr>
        <w:t>2021,</w:t>
      </w:r>
      <w:r w:rsidR="00C619D9" w:rsidRPr="00131FD7">
        <w:rPr>
          <w:b/>
          <w:bCs/>
          <w:color w:val="000000" w:themeColor="text1"/>
          <w:sz w:val="20"/>
          <w:szCs w:val="20"/>
        </w:rPr>
        <w:t xml:space="preserve"> of the </w:t>
      </w:r>
      <w:r w:rsidR="00370493" w:rsidRPr="00131FD7">
        <w:rPr>
          <w:rStyle w:val="normaltextrun"/>
          <w:b/>
          <w:bCs/>
          <w:sz w:val="20"/>
          <w:szCs w:val="20"/>
        </w:rPr>
        <w:t>f</w:t>
      </w:r>
      <w:r w:rsidR="004A139D" w:rsidRPr="00131FD7">
        <w:rPr>
          <w:rStyle w:val="normaltextrun"/>
          <w:b/>
          <w:bCs/>
          <w:sz w:val="20"/>
          <w:szCs w:val="20"/>
        </w:rPr>
        <w:t>inancial report and audited financial statements</w:t>
      </w:r>
      <w:r w:rsidR="004A139D" w:rsidRPr="00131FD7">
        <w:rPr>
          <w:rStyle w:val="eop"/>
          <w:b/>
          <w:bCs/>
          <w:sz w:val="20"/>
          <w:szCs w:val="20"/>
        </w:rPr>
        <w:t> </w:t>
      </w:r>
      <w:r w:rsidR="00626F37" w:rsidRPr="00131FD7">
        <w:rPr>
          <w:b/>
          <w:bCs/>
          <w:sz w:val="20"/>
          <w:szCs w:val="20"/>
        </w:rPr>
        <w:t>f</w:t>
      </w:r>
      <w:r w:rsidR="004A139D" w:rsidRPr="00131FD7">
        <w:rPr>
          <w:rStyle w:val="normaltextrun"/>
          <w:b/>
          <w:bCs/>
          <w:sz w:val="20"/>
          <w:szCs w:val="20"/>
        </w:rPr>
        <w:t>or the year ended 31 December 20</w:t>
      </w:r>
      <w:r w:rsidR="00370493" w:rsidRPr="00131FD7">
        <w:rPr>
          <w:rStyle w:val="normaltextrun"/>
          <w:b/>
          <w:bCs/>
          <w:sz w:val="20"/>
          <w:szCs w:val="20"/>
        </w:rPr>
        <w:t>20</w:t>
      </w:r>
      <w:r w:rsidR="004A139D" w:rsidRPr="00131FD7">
        <w:rPr>
          <w:rStyle w:val="eop"/>
          <w:b/>
          <w:bCs/>
          <w:sz w:val="20"/>
          <w:szCs w:val="20"/>
        </w:rPr>
        <w:t> </w:t>
      </w:r>
      <w:r w:rsidR="004A139D" w:rsidRPr="00131FD7">
        <w:rPr>
          <w:rStyle w:val="normaltextrun"/>
          <w:b/>
          <w:bCs/>
          <w:sz w:val="20"/>
          <w:szCs w:val="20"/>
        </w:rPr>
        <w:t>and</w:t>
      </w:r>
      <w:r w:rsidR="004A139D" w:rsidRPr="00131FD7">
        <w:rPr>
          <w:rStyle w:val="eop"/>
          <w:b/>
          <w:bCs/>
          <w:sz w:val="20"/>
          <w:szCs w:val="20"/>
        </w:rPr>
        <w:t> </w:t>
      </w:r>
      <w:r w:rsidR="00ED2891" w:rsidRPr="00131FD7">
        <w:rPr>
          <w:rStyle w:val="normaltextrun"/>
          <w:b/>
          <w:bCs/>
          <w:sz w:val="20"/>
          <w:szCs w:val="20"/>
        </w:rPr>
        <w:t>the related r</w:t>
      </w:r>
      <w:r w:rsidR="004A139D" w:rsidRPr="00131FD7">
        <w:rPr>
          <w:rStyle w:val="normaltextrun"/>
          <w:b/>
          <w:bCs/>
          <w:sz w:val="20"/>
          <w:szCs w:val="20"/>
        </w:rPr>
        <w:t>eport of the Board of Auditors</w:t>
      </w:r>
      <w:r w:rsidR="004A139D" w:rsidRPr="00131FD7">
        <w:rPr>
          <w:rStyle w:val="eop"/>
          <w:b/>
          <w:bCs/>
          <w:sz w:val="20"/>
          <w:szCs w:val="20"/>
        </w:rPr>
        <w:t> </w:t>
      </w:r>
      <w:r w:rsidR="00ED2891" w:rsidRPr="00131FD7">
        <w:rPr>
          <w:rStyle w:val="eop"/>
          <w:b/>
          <w:bCs/>
          <w:sz w:val="20"/>
          <w:szCs w:val="20"/>
        </w:rPr>
        <w:t>(A/76</w:t>
      </w:r>
      <w:r w:rsidR="00247B2D" w:rsidRPr="00131FD7">
        <w:rPr>
          <w:rStyle w:val="eop"/>
          <w:b/>
          <w:bCs/>
          <w:sz w:val="20"/>
          <w:szCs w:val="20"/>
        </w:rPr>
        <w:t>/5/Add.1).</w:t>
      </w:r>
    </w:p>
    <w:p w14:paraId="75DAAEF2" w14:textId="77777777" w:rsidR="00474A03" w:rsidRDefault="00474A03">
      <w:pPr>
        <w:suppressAutoHyphens w:val="0"/>
        <w:spacing w:line="240" w:lineRule="auto"/>
        <w:rPr>
          <w:b/>
          <w:bCs/>
        </w:rPr>
      </w:pPr>
      <w:r>
        <w:rPr>
          <w:b/>
          <w:bCs/>
        </w:rPr>
        <w:br w:type="page"/>
      </w:r>
    </w:p>
    <w:p w14:paraId="7149D81E" w14:textId="29BE6349" w:rsidR="00452C05" w:rsidRPr="00131FD7" w:rsidRDefault="34AA0400" w:rsidP="00131FD7">
      <w:pPr>
        <w:tabs>
          <w:tab w:val="left" w:pos="1755"/>
          <w:tab w:val="left" w:pos="8820"/>
        </w:tabs>
        <w:suppressAutoHyphens w:val="0"/>
        <w:spacing w:line="240" w:lineRule="auto"/>
        <w:ind w:left="1260" w:right="1200"/>
        <w:jc w:val="both"/>
        <w:rPr>
          <w:b/>
          <w:bCs/>
        </w:rPr>
      </w:pPr>
      <w:r w:rsidRPr="00131FD7">
        <w:rPr>
          <w:b/>
          <w:bCs/>
        </w:rPr>
        <w:lastRenderedPageBreak/>
        <w:t>Annex</w:t>
      </w:r>
      <w:r w:rsidR="00474A03">
        <w:rPr>
          <w:b/>
          <w:bCs/>
        </w:rPr>
        <w:t xml:space="preserve">. </w:t>
      </w:r>
    </w:p>
    <w:p w14:paraId="434FB9A0" w14:textId="428C793B" w:rsidR="0045426E" w:rsidRPr="00131FD7" w:rsidRDefault="08BB2C5C" w:rsidP="00474A03">
      <w:pPr>
        <w:tabs>
          <w:tab w:val="left" w:pos="1755"/>
          <w:tab w:val="left" w:pos="8820"/>
        </w:tabs>
        <w:spacing w:after="120" w:line="240" w:lineRule="auto"/>
        <w:ind w:left="1260" w:right="1200"/>
        <w:jc w:val="both"/>
        <w:rPr>
          <w:b/>
          <w:bCs/>
          <w:highlight w:val="yellow"/>
        </w:rPr>
      </w:pPr>
      <w:r w:rsidRPr="00131FD7">
        <w:rPr>
          <w:b/>
          <w:bCs/>
        </w:rPr>
        <w:t>Incumbency of a</w:t>
      </w:r>
      <w:r w:rsidR="19FFCCDF" w:rsidRPr="00131FD7">
        <w:rPr>
          <w:b/>
          <w:bCs/>
        </w:rPr>
        <w:t xml:space="preserve">ll categories of UNDP staff, as at </w:t>
      </w:r>
      <w:r w:rsidR="33BF0748" w:rsidRPr="00131FD7">
        <w:rPr>
          <w:b/>
          <w:bCs/>
        </w:rPr>
        <w:t>31 July 2021</w:t>
      </w:r>
    </w:p>
    <w:p w14:paraId="20C40260" w14:textId="22092FBB" w:rsidR="0045426E" w:rsidRPr="000C5ED5" w:rsidRDefault="34AA0400" w:rsidP="00914946">
      <w:pPr>
        <w:tabs>
          <w:tab w:val="left" w:pos="1755"/>
          <w:tab w:val="left" w:pos="8820"/>
        </w:tabs>
        <w:suppressAutoHyphens w:val="0"/>
        <w:spacing w:after="120" w:line="240" w:lineRule="auto"/>
        <w:ind w:left="1267" w:right="1020"/>
        <w:jc w:val="both"/>
      </w:pPr>
      <w:r>
        <w:rPr>
          <w:noProof/>
        </w:rPr>
        <w:drawing>
          <wp:inline distT="0" distB="0" distL="0" distR="0" wp14:anchorId="0628F8A4" wp14:editId="77C9840D">
            <wp:extent cx="5201898" cy="7353298"/>
            <wp:effectExtent l="0" t="0" r="0" b="0"/>
            <wp:docPr id="112427573" name="Picture 112427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201898" cy="7353298"/>
                    </a:xfrm>
                    <a:prstGeom prst="rect">
                      <a:avLst/>
                    </a:prstGeom>
                  </pic:spPr>
                </pic:pic>
              </a:graphicData>
            </a:graphic>
          </wp:inline>
        </w:drawing>
      </w:r>
    </w:p>
    <w:p w14:paraId="598BE642" w14:textId="562C022B" w:rsidR="00DA6E22" w:rsidRDefault="00DA6E22" w:rsidP="00DA6E22">
      <w:pPr>
        <w:tabs>
          <w:tab w:val="left" w:pos="1755"/>
          <w:tab w:val="left" w:pos="8820"/>
        </w:tabs>
        <w:spacing w:after="120" w:line="240" w:lineRule="auto"/>
        <w:ind w:left="1267" w:right="1020"/>
        <w:jc w:val="center"/>
      </w:pPr>
      <w:r>
        <w:rPr>
          <w:noProof/>
        </w:rPr>
        <w:drawing>
          <wp:inline distT="0" distB="0" distL="0" distR="0" wp14:anchorId="19B59798" wp14:editId="715C0D8D">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A6E22" w:rsidSect="00474A03">
      <w:footerReference w:type="even" r:id="rId23"/>
      <w:headerReference w:type="first" r:id="rId24"/>
      <w:footerReference w:type="first" r:id="rId25"/>
      <w:endnotePr>
        <w:numFmt w:val="decimal"/>
      </w:endnotePr>
      <w:type w:val="continuous"/>
      <w:pgSz w:w="12240" w:h="15840" w:code="1"/>
      <w:pgMar w:top="1742" w:right="1200" w:bottom="1350" w:left="1200" w:header="576" w:footer="880" w:gutter="0"/>
      <w:pgNumType w:start="1"/>
      <w:cols w:space="720"/>
      <w:noEndnote/>
      <w:titlePg/>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CE6C8" w14:textId="77777777" w:rsidR="00DE2983" w:rsidRDefault="00DE2983">
      <w:r>
        <w:separator/>
      </w:r>
    </w:p>
  </w:endnote>
  <w:endnote w:type="continuationSeparator" w:id="0">
    <w:p w14:paraId="1967F2B7" w14:textId="77777777" w:rsidR="00DE2983" w:rsidRDefault="00DE2983">
      <w:r>
        <w:continuationSeparator/>
      </w:r>
    </w:p>
  </w:endnote>
  <w:endnote w:type="continuationNotice" w:id="1">
    <w:p w14:paraId="2D1B7CDD" w14:textId="77777777" w:rsidR="00DE2983" w:rsidRDefault="00DE29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9B657" w14:textId="3C2E6DAD" w:rsidR="00DE2983" w:rsidRDefault="00DE2983" w:rsidP="04542500">
    <w:pPr>
      <w:pStyle w:val="Footer"/>
      <w:jc w:val="right"/>
      <w:rPr>
        <w:bCs/>
        <w:szCs w:val="17"/>
      </w:rPr>
    </w:pPr>
  </w:p>
  <w:tbl>
    <w:tblPr>
      <w:bidiVisual/>
      <w:tblW w:w="0" w:type="auto"/>
      <w:tblLayout w:type="fixed"/>
      <w:tblLook w:val="0000" w:firstRow="0" w:lastRow="0" w:firstColumn="0" w:lastColumn="0" w:noHBand="0" w:noVBand="0"/>
    </w:tblPr>
    <w:tblGrid>
      <w:gridCol w:w="5028"/>
      <w:gridCol w:w="5028"/>
    </w:tblGrid>
    <w:tr w:rsidR="00DE2983" w14:paraId="669232D0" w14:textId="77777777" w:rsidTr="00BD1A3B">
      <w:tc>
        <w:tcPr>
          <w:tcW w:w="5028" w:type="dxa"/>
          <w:shd w:val="clear" w:color="auto" w:fill="auto"/>
        </w:tcPr>
        <w:p w14:paraId="7726B81C" w14:textId="77777777" w:rsidR="00DE2983" w:rsidRPr="00BD1A3B" w:rsidRDefault="00DE2983" w:rsidP="00BD1A3B">
          <w:pPr>
            <w:pStyle w:val="Footer"/>
            <w:jc w:val="right"/>
            <w:rPr>
              <w:b w:val="0"/>
              <w:w w:val="103"/>
              <w:sz w:val="14"/>
            </w:rPr>
          </w:pPr>
        </w:p>
      </w:tc>
      <w:tc>
        <w:tcPr>
          <w:tcW w:w="5028" w:type="dxa"/>
          <w:shd w:val="clear" w:color="auto" w:fill="auto"/>
        </w:tcPr>
        <w:p w14:paraId="2371FA0B" w14:textId="46ABCDFA" w:rsidR="00DE2983" w:rsidRPr="00BD1A3B" w:rsidRDefault="00DE2983" w:rsidP="001C77E2">
          <w:pPr>
            <w:pStyle w:val="Footer"/>
            <w:rPr>
              <w:w w:val="103"/>
            </w:rPr>
          </w:pPr>
        </w:p>
      </w:tc>
    </w:tr>
  </w:tbl>
  <w:p w14:paraId="11B445F5" w14:textId="77777777" w:rsidR="00DE2983" w:rsidRPr="00BD1A3B" w:rsidRDefault="00DE2983" w:rsidP="00BD1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996141816"/>
      <w:docPartObj>
        <w:docPartGallery w:val="Page Numbers (Bottom of Page)"/>
        <w:docPartUnique/>
      </w:docPartObj>
    </w:sdtPr>
    <w:sdtEndPr>
      <w:rPr>
        <w:noProof/>
      </w:rPr>
    </w:sdtEndPr>
    <w:sdtContent>
      <w:p w14:paraId="133A2634" w14:textId="4EFF036B" w:rsidR="00DE2983" w:rsidRPr="00BD1A3B" w:rsidRDefault="00DE2983" w:rsidP="005851B4">
        <w:pPr>
          <w:pStyle w:val="Footer"/>
          <w:ind w:right="840"/>
          <w:jc w:val="right"/>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00DE2983" w14:paraId="6B7A8752" w14:textId="77777777" w:rsidTr="04542500">
      <w:tc>
        <w:tcPr>
          <w:tcW w:w="3280" w:type="dxa"/>
        </w:tcPr>
        <w:p w14:paraId="0FE996B3" w14:textId="389160B8" w:rsidR="00DE2983" w:rsidRDefault="00DE2983" w:rsidP="04542500">
          <w:pPr>
            <w:pStyle w:val="Header"/>
            <w:ind w:left="-115"/>
            <w:rPr>
              <w:szCs w:val="17"/>
            </w:rPr>
          </w:pPr>
        </w:p>
      </w:tc>
      <w:tc>
        <w:tcPr>
          <w:tcW w:w="3280" w:type="dxa"/>
        </w:tcPr>
        <w:p w14:paraId="6A4357F4" w14:textId="6EA89758" w:rsidR="00DE2983" w:rsidRDefault="00DE2983" w:rsidP="04542500">
          <w:pPr>
            <w:pStyle w:val="Header"/>
            <w:jc w:val="center"/>
            <w:rPr>
              <w:szCs w:val="17"/>
            </w:rPr>
          </w:pPr>
        </w:p>
      </w:tc>
      <w:tc>
        <w:tcPr>
          <w:tcW w:w="3280" w:type="dxa"/>
        </w:tcPr>
        <w:p w14:paraId="34C58784" w14:textId="00CA1760" w:rsidR="00DE2983" w:rsidRDefault="00DE2983" w:rsidP="04542500">
          <w:pPr>
            <w:pStyle w:val="Header"/>
            <w:ind w:right="-115"/>
            <w:jc w:val="right"/>
            <w:rPr>
              <w:szCs w:val="17"/>
            </w:rPr>
          </w:pPr>
        </w:p>
      </w:tc>
    </w:tr>
  </w:tbl>
  <w:p w14:paraId="5AF9FF1A" w14:textId="005B351C" w:rsidR="00DE2983" w:rsidRDefault="00DE2983" w:rsidP="04542500">
    <w:pPr>
      <w:pStyle w:val="Footer"/>
      <w:rPr>
        <w:bCs/>
        <w:szCs w:val="17"/>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690262568"/>
      <w:docPartObj>
        <w:docPartGallery w:val="Page Numbers (Bottom of Page)"/>
        <w:docPartUnique/>
      </w:docPartObj>
    </w:sdtPr>
    <w:sdtEndPr>
      <w:rPr>
        <w:noProof/>
      </w:rPr>
    </w:sdtEndPr>
    <w:sdtContent>
      <w:p w14:paraId="3BC0365C" w14:textId="2E5D8BAE" w:rsidR="00DE2983" w:rsidRPr="00BD1A3B" w:rsidRDefault="00DE2983" w:rsidP="005851B4">
        <w:pPr>
          <w:pStyle w:val="Footer"/>
          <w:ind w:firstLine="990"/>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00DE2983" w14:paraId="51C6E206" w14:textId="77777777" w:rsidTr="04542500">
      <w:tc>
        <w:tcPr>
          <w:tcW w:w="3280" w:type="dxa"/>
        </w:tcPr>
        <w:p w14:paraId="740C71BD" w14:textId="3A10E240" w:rsidR="00DE2983" w:rsidRDefault="00DE2983" w:rsidP="04542500">
          <w:pPr>
            <w:pStyle w:val="Header"/>
            <w:ind w:left="-115"/>
            <w:rPr>
              <w:szCs w:val="17"/>
            </w:rPr>
          </w:pPr>
        </w:p>
      </w:tc>
      <w:tc>
        <w:tcPr>
          <w:tcW w:w="3280" w:type="dxa"/>
        </w:tcPr>
        <w:p w14:paraId="1CE8B4D2" w14:textId="24D485F0" w:rsidR="00DE2983" w:rsidRDefault="00DE2983" w:rsidP="04542500">
          <w:pPr>
            <w:pStyle w:val="Header"/>
            <w:jc w:val="center"/>
            <w:rPr>
              <w:szCs w:val="17"/>
            </w:rPr>
          </w:pPr>
        </w:p>
      </w:tc>
      <w:tc>
        <w:tcPr>
          <w:tcW w:w="3280" w:type="dxa"/>
        </w:tcPr>
        <w:p w14:paraId="7A0B1348" w14:textId="066E200E" w:rsidR="00DE2983" w:rsidRDefault="00DE2983" w:rsidP="04542500">
          <w:pPr>
            <w:pStyle w:val="Header"/>
            <w:ind w:right="-115"/>
            <w:jc w:val="right"/>
            <w:rPr>
              <w:szCs w:val="17"/>
            </w:rPr>
          </w:pPr>
        </w:p>
      </w:tc>
    </w:tr>
  </w:tbl>
  <w:p w14:paraId="63CFDD53" w14:textId="06DF6153" w:rsidR="00DE2983" w:rsidRDefault="00DE2983" w:rsidP="04542500">
    <w:pPr>
      <w:pStyle w:val="Footer"/>
      <w:rPr>
        <w:bCs/>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B98EE" w14:textId="77777777" w:rsidR="00DE2983" w:rsidRPr="00C25B81" w:rsidRDefault="00DE2983" w:rsidP="00C25B81">
      <w:pPr>
        <w:pStyle w:val="Footer"/>
        <w:spacing w:after="80"/>
        <w:ind w:left="792"/>
        <w:rPr>
          <w:sz w:val="16"/>
        </w:rPr>
      </w:pPr>
      <w:r w:rsidRPr="00C25B81">
        <w:rPr>
          <w:sz w:val="16"/>
        </w:rPr>
        <w:t>__________________</w:t>
      </w:r>
    </w:p>
  </w:footnote>
  <w:footnote w:type="continuationSeparator" w:id="0">
    <w:p w14:paraId="51C19A15" w14:textId="77777777" w:rsidR="00DE2983" w:rsidRPr="00C25B81" w:rsidRDefault="00DE2983" w:rsidP="00C25B81">
      <w:pPr>
        <w:pStyle w:val="Footer"/>
        <w:spacing w:after="80"/>
        <w:ind w:left="792"/>
        <w:rPr>
          <w:sz w:val="16"/>
        </w:rPr>
      </w:pPr>
      <w:r w:rsidRPr="00C25B81">
        <w:rPr>
          <w:sz w:val="16"/>
        </w:rPr>
        <w:t>__________________</w:t>
      </w:r>
    </w:p>
  </w:footnote>
  <w:footnote w:type="continuationNotice" w:id="1">
    <w:p w14:paraId="54CFE206" w14:textId="77777777" w:rsidR="00DE2983" w:rsidRDefault="00DE29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E2983" w14:paraId="779C2154" w14:textId="77777777" w:rsidTr="00BD1A3B">
      <w:trPr>
        <w:trHeight w:hRule="exact" w:val="864"/>
      </w:trPr>
      <w:tc>
        <w:tcPr>
          <w:tcW w:w="4838" w:type="dxa"/>
          <w:shd w:val="clear" w:color="auto" w:fill="auto"/>
          <w:vAlign w:val="bottom"/>
        </w:tcPr>
        <w:p w14:paraId="7DBF331E" w14:textId="1C44DA07" w:rsidR="00DE2983" w:rsidRPr="00BD1A3B" w:rsidRDefault="00DE2983" w:rsidP="00BD1A3B">
          <w:pPr>
            <w:pStyle w:val="Header"/>
            <w:spacing w:after="80"/>
            <w:rPr>
              <w:b/>
            </w:rPr>
          </w:pPr>
          <w:r>
            <w:rPr>
              <w:b/>
            </w:rPr>
            <w:t>DP/2021/30</w:t>
          </w:r>
        </w:p>
      </w:tc>
      <w:tc>
        <w:tcPr>
          <w:tcW w:w="5028" w:type="dxa"/>
          <w:shd w:val="clear" w:color="auto" w:fill="auto"/>
          <w:vAlign w:val="bottom"/>
        </w:tcPr>
        <w:p w14:paraId="2B18F5D8" w14:textId="77777777" w:rsidR="00DE2983" w:rsidRDefault="00DE2983" w:rsidP="00BD1A3B">
          <w:pPr>
            <w:pStyle w:val="Header"/>
          </w:pPr>
        </w:p>
      </w:tc>
    </w:tr>
  </w:tbl>
  <w:p w14:paraId="3BB786C2" w14:textId="77777777" w:rsidR="00DE2983" w:rsidRPr="005851B4" w:rsidRDefault="00DE2983" w:rsidP="00BD1A3B">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E2983" w14:paraId="5C8A057C" w14:textId="77777777" w:rsidTr="00BD1A3B">
      <w:trPr>
        <w:trHeight w:hRule="exact" w:val="864"/>
      </w:trPr>
      <w:tc>
        <w:tcPr>
          <w:tcW w:w="4838" w:type="dxa"/>
          <w:shd w:val="clear" w:color="auto" w:fill="auto"/>
          <w:vAlign w:val="bottom"/>
        </w:tcPr>
        <w:p w14:paraId="09BE9101" w14:textId="77777777" w:rsidR="00DE2983" w:rsidRDefault="00DE2983" w:rsidP="00BD1A3B">
          <w:pPr>
            <w:pStyle w:val="Header"/>
          </w:pPr>
        </w:p>
      </w:tc>
      <w:tc>
        <w:tcPr>
          <w:tcW w:w="5028" w:type="dxa"/>
          <w:shd w:val="clear" w:color="auto" w:fill="auto"/>
          <w:vAlign w:val="bottom"/>
        </w:tcPr>
        <w:p w14:paraId="6ECD7EE5" w14:textId="1754A253" w:rsidR="00DE2983" w:rsidRPr="00BD1A3B" w:rsidRDefault="00DE2983" w:rsidP="00BD1A3B">
          <w:pPr>
            <w:pStyle w:val="Header"/>
            <w:spacing w:after="80"/>
            <w:jc w:val="right"/>
            <w:rPr>
              <w:b/>
            </w:rPr>
          </w:pPr>
          <w:r>
            <w:rPr>
              <w:b/>
            </w:rPr>
            <w:t>DP/2021/30</w:t>
          </w:r>
        </w:p>
      </w:tc>
    </w:tr>
  </w:tbl>
  <w:p w14:paraId="36014E46" w14:textId="77777777" w:rsidR="00DE2983" w:rsidRPr="005851B4" w:rsidRDefault="00DE2983" w:rsidP="00BD1A3B">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Look w:val="06A0" w:firstRow="1" w:lastRow="0" w:firstColumn="1" w:lastColumn="0" w:noHBand="1" w:noVBand="1"/>
    </w:tblPr>
    <w:tblGrid>
      <w:gridCol w:w="1267"/>
      <w:gridCol w:w="1872"/>
      <w:gridCol w:w="141"/>
      <w:gridCol w:w="104"/>
      <w:gridCol w:w="3110"/>
      <w:gridCol w:w="66"/>
      <w:gridCol w:w="179"/>
      <w:gridCol w:w="3101"/>
      <w:gridCol w:w="39"/>
      <w:gridCol w:w="28"/>
    </w:tblGrid>
    <w:tr w:rsidR="00DE2983" w14:paraId="1BDB73E0" w14:textId="77777777" w:rsidTr="004B7FB6">
      <w:trPr>
        <w:gridAfter w:val="2"/>
        <w:wAfter w:w="67" w:type="dxa"/>
      </w:trPr>
      <w:tc>
        <w:tcPr>
          <w:tcW w:w="3280" w:type="dxa"/>
          <w:gridSpan w:val="3"/>
        </w:tcPr>
        <w:p w14:paraId="0FF656B4" w14:textId="6C1DDFF0" w:rsidR="00DE2983" w:rsidRDefault="00DE2983" w:rsidP="04542500">
          <w:pPr>
            <w:pStyle w:val="Header"/>
            <w:ind w:left="-115"/>
            <w:rPr>
              <w:szCs w:val="17"/>
            </w:rPr>
          </w:pPr>
        </w:p>
      </w:tc>
      <w:tc>
        <w:tcPr>
          <w:tcW w:w="3280" w:type="dxa"/>
          <w:gridSpan w:val="3"/>
        </w:tcPr>
        <w:p w14:paraId="5A7DE873" w14:textId="42749830" w:rsidR="00DE2983" w:rsidRDefault="00DE2983" w:rsidP="04542500">
          <w:pPr>
            <w:pStyle w:val="Header"/>
            <w:jc w:val="center"/>
            <w:rPr>
              <w:szCs w:val="17"/>
            </w:rPr>
          </w:pPr>
        </w:p>
      </w:tc>
      <w:tc>
        <w:tcPr>
          <w:tcW w:w="3280" w:type="dxa"/>
          <w:gridSpan w:val="2"/>
        </w:tcPr>
        <w:p w14:paraId="5013299F" w14:textId="51D7D7B8" w:rsidR="00DE2983" w:rsidRDefault="00DE2983" w:rsidP="04542500">
          <w:pPr>
            <w:pStyle w:val="Header"/>
            <w:ind w:right="-115"/>
            <w:jc w:val="right"/>
            <w:rPr>
              <w:szCs w:val="17"/>
            </w:rPr>
          </w:pPr>
        </w:p>
      </w:tc>
    </w:tr>
    <w:tr w:rsidR="00DE2983" w14:paraId="09405982" w14:textId="77777777" w:rsidTr="004B7FB6">
      <w:tblPrEx>
        <w:tblCellMar>
          <w:left w:w="0" w:type="dxa"/>
          <w:right w:w="0" w:type="dxa"/>
        </w:tblCellMar>
        <w:tblLook w:val="0000" w:firstRow="0" w:lastRow="0" w:firstColumn="0" w:lastColumn="0" w:noHBand="0" w:noVBand="0"/>
      </w:tblPrEx>
      <w:trPr>
        <w:trHeight w:hRule="exact" w:val="864"/>
      </w:trPr>
      <w:tc>
        <w:tcPr>
          <w:tcW w:w="1267" w:type="dxa"/>
          <w:tcBorders>
            <w:bottom w:val="single" w:sz="4" w:space="0" w:color="auto"/>
          </w:tcBorders>
          <w:shd w:val="clear" w:color="auto" w:fill="auto"/>
          <w:vAlign w:val="bottom"/>
        </w:tcPr>
        <w:p w14:paraId="12AF4FBA" w14:textId="77777777" w:rsidR="00DE2983" w:rsidRDefault="00DE2983" w:rsidP="004B7FB6">
          <w:pPr>
            <w:pStyle w:val="Header"/>
            <w:spacing w:after="120"/>
          </w:pPr>
        </w:p>
      </w:tc>
      <w:tc>
        <w:tcPr>
          <w:tcW w:w="1872" w:type="dxa"/>
          <w:tcBorders>
            <w:bottom w:val="single" w:sz="4" w:space="0" w:color="auto"/>
          </w:tcBorders>
          <w:shd w:val="clear" w:color="auto" w:fill="auto"/>
          <w:vAlign w:val="bottom"/>
        </w:tcPr>
        <w:p w14:paraId="6A925D92" w14:textId="77777777" w:rsidR="00DE2983" w:rsidRPr="00BD1A3B" w:rsidRDefault="00DE2983" w:rsidP="004B7FB6">
          <w:pPr>
            <w:pStyle w:val="HCh"/>
            <w:spacing w:after="80"/>
            <w:rPr>
              <w:b w:val="0"/>
              <w:spacing w:val="2"/>
              <w:w w:val="96"/>
            </w:rPr>
          </w:pPr>
          <w:r>
            <w:rPr>
              <w:b w:val="0"/>
              <w:spacing w:val="2"/>
              <w:w w:val="96"/>
            </w:rPr>
            <w:t>United Nations</w:t>
          </w:r>
        </w:p>
      </w:tc>
      <w:tc>
        <w:tcPr>
          <w:tcW w:w="245" w:type="dxa"/>
          <w:gridSpan w:val="2"/>
          <w:tcBorders>
            <w:bottom w:val="single" w:sz="4" w:space="0" w:color="auto"/>
          </w:tcBorders>
          <w:shd w:val="clear" w:color="auto" w:fill="auto"/>
          <w:vAlign w:val="bottom"/>
        </w:tcPr>
        <w:p w14:paraId="0C1CA36D" w14:textId="77777777" w:rsidR="00DE2983" w:rsidRDefault="00DE2983" w:rsidP="004B7FB6">
          <w:pPr>
            <w:pStyle w:val="Header"/>
            <w:spacing w:after="120"/>
          </w:pPr>
        </w:p>
      </w:tc>
      <w:tc>
        <w:tcPr>
          <w:tcW w:w="6523" w:type="dxa"/>
          <w:gridSpan w:val="6"/>
          <w:tcBorders>
            <w:bottom w:val="single" w:sz="4" w:space="0" w:color="auto"/>
          </w:tcBorders>
          <w:shd w:val="clear" w:color="auto" w:fill="auto"/>
          <w:vAlign w:val="bottom"/>
        </w:tcPr>
        <w:p w14:paraId="41B649F7" w14:textId="2FD38B88" w:rsidR="00DE2983" w:rsidRPr="00BD1A3B" w:rsidRDefault="00DE2983" w:rsidP="004B7FB6">
          <w:pPr>
            <w:spacing w:after="80" w:line="240" w:lineRule="auto"/>
            <w:jc w:val="right"/>
            <w:rPr>
              <w:position w:val="-4"/>
            </w:rPr>
          </w:pPr>
          <w:r>
            <w:rPr>
              <w:position w:val="-4"/>
              <w:sz w:val="40"/>
            </w:rPr>
            <w:t>DP</w:t>
          </w:r>
          <w:r>
            <w:rPr>
              <w:position w:val="-4"/>
            </w:rPr>
            <w:t>/2021/30</w:t>
          </w:r>
        </w:p>
      </w:tc>
    </w:tr>
    <w:tr w:rsidR="00DE2983" w:rsidRPr="00BD1A3B" w14:paraId="25F78071" w14:textId="77777777" w:rsidTr="004B7FB6">
      <w:tblPrEx>
        <w:tblCellMar>
          <w:left w:w="0" w:type="dxa"/>
          <w:right w:w="0" w:type="dxa"/>
        </w:tblCellMar>
        <w:tblLook w:val="0000" w:firstRow="0" w:lastRow="0" w:firstColumn="0" w:lastColumn="0" w:noHBand="0" w:noVBand="0"/>
      </w:tblPrEx>
      <w:trPr>
        <w:gridAfter w:val="1"/>
        <w:wAfter w:w="28" w:type="dxa"/>
        <w:trHeight w:val="2735"/>
      </w:trPr>
      <w:tc>
        <w:tcPr>
          <w:tcW w:w="1267" w:type="dxa"/>
          <w:tcBorders>
            <w:top w:val="single" w:sz="4" w:space="0" w:color="auto"/>
            <w:bottom w:val="single" w:sz="12" w:space="0" w:color="auto"/>
          </w:tcBorders>
          <w:shd w:val="clear" w:color="auto" w:fill="auto"/>
        </w:tcPr>
        <w:p w14:paraId="04B67C5D" w14:textId="77777777" w:rsidR="00DE2983" w:rsidRPr="00BD1A3B" w:rsidRDefault="00DE2983" w:rsidP="004B7FB6">
          <w:pPr>
            <w:pStyle w:val="Header"/>
            <w:spacing w:before="120"/>
            <w:jc w:val="center"/>
          </w:pPr>
          <w:r>
            <w:t xml:space="preserve"> </w:t>
          </w:r>
          <w:r>
            <w:drawing>
              <wp:inline distT="0" distB="0" distL="0" distR="0" wp14:anchorId="23073CFB" wp14:editId="67BB2490">
                <wp:extent cx="713232" cy="59710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4"/>
          <w:tcBorders>
            <w:top w:val="single" w:sz="4" w:space="0" w:color="auto"/>
            <w:bottom w:val="single" w:sz="12" w:space="0" w:color="auto"/>
          </w:tcBorders>
          <w:shd w:val="clear" w:color="auto" w:fill="auto"/>
        </w:tcPr>
        <w:p w14:paraId="67CDAEBC" w14:textId="77777777" w:rsidR="00DE2983" w:rsidRPr="00BD1A3B" w:rsidRDefault="00DE2983" w:rsidP="004B7FB6">
          <w:pPr>
            <w:pStyle w:val="XLarge"/>
            <w:spacing w:before="109" w:line="330" w:lineRule="exact"/>
            <w:rPr>
              <w:sz w:val="34"/>
            </w:rPr>
          </w:pPr>
          <w:r>
            <w:rPr>
              <w:sz w:val="34"/>
            </w:rPr>
            <w:t>Executive Board of the</w:t>
          </w:r>
          <w:r>
            <w:rPr>
              <w:sz w:val="34"/>
            </w:rPr>
            <w:br/>
            <w:t>United Nations Development</w:t>
          </w:r>
          <w:r>
            <w:rPr>
              <w:sz w:val="34"/>
            </w:rPr>
            <w:br/>
            <w:t>Programme, the United Nations</w:t>
          </w:r>
          <w:r>
            <w:rPr>
              <w:sz w:val="34"/>
            </w:rPr>
            <w:br/>
            <w:t xml:space="preserve">Population Fund and the </w:t>
          </w:r>
          <w:r>
            <w:rPr>
              <w:sz w:val="34"/>
            </w:rPr>
            <w:br/>
            <w:t>United Nations Office for</w:t>
          </w:r>
          <w:r>
            <w:rPr>
              <w:sz w:val="34"/>
            </w:rPr>
            <w:br/>
            <w:t>Project Services</w:t>
          </w:r>
        </w:p>
      </w:tc>
      <w:tc>
        <w:tcPr>
          <w:tcW w:w="245" w:type="dxa"/>
          <w:gridSpan w:val="2"/>
          <w:tcBorders>
            <w:top w:val="single" w:sz="4" w:space="0" w:color="auto"/>
            <w:bottom w:val="single" w:sz="12" w:space="0" w:color="auto"/>
          </w:tcBorders>
          <w:shd w:val="clear" w:color="auto" w:fill="auto"/>
        </w:tcPr>
        <w:p w14:paraId="58B54FEA" w14:textId="77777777" w:rsidR="00DE2983" w:rsidRPr="00BD1A3B" w:rsidRDefault="00DE2983" w:rsidP="004B7FB6">
          <w:pPr>
            <w:pStyle w:val="Header"/>
            <w:spacing w:before="109"/>
          </w:pPr>
        </w:p>
      </w:tc>
      <w:tc>
        <w:tcPr>
          <w:tcW w:w="3140" w:type="dxa"/>
          <w:gridSpan w:val="2"/>
          <w:tcBorders>
            <w:top w:val="single" w:sz="4" w:space="0" w:color="auto"/>
            <w:bottom w:val="single" w:sz="12" w:space="0" w:color="auto"/>
          </w:tcBorders>
          <w:shd w:val="clear" w:color="auto" w:fill="auto"/>
        </w:tcPr>
        <w:p w14:paraId="3EC7BA3F" w14:textId="77777777" w:rsidR="00DE2983" w:rsidRDefault="00DE2983" w:rsidP="004B7FB6">
          <w:pPr>
            <w:pStyle w:val="Distribution"/>
            <w:rPr>
              <w:color w:val="010000"/>
            </w:rPr>
          </w:pPr>
          <w:r>
            <w:rPr>
              <w:color w:val="010000"/>
            </w:rPr>
            <w:t>Distr.: General</w:t>
          </w:r>
        </w:p>
        <w:p w14:paraId="0F40CE7E" w14:textId="394646EA" w:rsidR="00DE2983" w:rsidRDefault="00156060" w:rsidP="004B7FB6">
          <w:pPr>
            <w:pStyle w:val="Publication"/>
            <w:rPr>
              <w:color w:val="010000"/>
            </w:rPr>
          </w:pPr>
          <w:r>
            <w:rPr>
              <w:color w:val="010000"/>
            </w:rPr>
            <w:t>20</w:t>
          </w:r>
          <w:r w:rsidR="00DE2983">
            <w:rPr>
              <w:color w:val="010000"/>
            </w:rPr>
            <w:t xml:space="preserve"> August 2021</w:t>
          </w:r>
        </w:p>
        <w:p w14:paraId="443E75D0" w14:textId="77777777" w:rsidR="00DE2983" w:rsidRDefault="00DE2983" w:rsidP="004B7FB6"/>
        <w:p w14:paraId="2B3A95B0" w14:textId="77777777" w:rsidR="00DE2983" w:rsidRDefault="00DE2983" w:rsidP="004B7FB6">
          <w:pPr>
            <w:pStyle w:val="Original"/>
            <w:rPr>
              <w:color w:val="010000"/>
            </w:rPr>
          </w:pPr>
          <w:r>
            <w:rPr>
              <w:color w:val="010000"/>
            </w:rPr>
            <w:t>Original: English</w:t>
          </w:r>
        </w:p>
        <w:p w14:paraId="018D54B6" w14:textId="77777777" w:rsidR="00DE2983" w:rsidRPr="00BD1A3B" w:rsidRDefault="00DE2983" w:rsidP="004B7FB6"/>
      </w:tc>
    </w:tr>
  </w:tbl>
  <w:p w14:paraId="4F1B38EC" w14:textId="7E5967B3" w:rsidR="00DE2983" w:rsidRPr="005B7702" w:rsidRDefault="00DE2983" w:rsidP="04542500">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00DE2983" w14:paraId="1B3C5440" w14:textId="77777777" w:rsidTr="04542500">
      <w:tc>
        <w:tcPr>
          <w:tcW w:w="3280" w:type="dxa"/>
        </w:tcPr>
        <w:p w14:paraId="57795F92" w14:textId="470F6717" w:rsidR="00DE2983" w:rsidRDefault="00DE2983" w:rsidP="04542500">
          <w:pPr>
            <w:pStyle w:val="Header"/>
            <w:ind w:left="-115"/>
            <w:rPr>
              <w:szCs w:val="17"/>
            </w:rPr>
          </w:pPr>
        </w:p>
      </w:tc>
      <w:tc>
        <w:tcPr>
          <w:tcW w:w="3280" w:type="dxa"/>
        </w:tcPr>
        <w:p w14:paraId="76796839" w14:textId="35EC1EFE" w:rsidR="00DE2983" w:rsidRDefault="00DE2983" w:rsidP="04542500">
          <w:pPr>
            <w:pStyle w:val="Header"/>
            <w:jc w:val="center"/>
            <w:rPr>
              <w:szCs w:val="17"/>
            </w:rPr>
          </w:pPr>
        </w:p>
      </w:tc>
      <w:tc>
        <w:tcPr>
          <w:tcW w:w="3280" w:type="dxa"/>
        </w:tcPr>
        <w:p w14:paraId="09506C6B" w14:textId="52AFB6A5" w:rsidR="00DE2983" w:rsidRDefault="00DE2983" w:rsidP="04542500">
          <w:pPr>
            <w:pStyle w:val="Header"/>
            <w:ind w:right="-115"/>
            <w:jc w:val="right"/>
            <w:rPr>
              <w:szCs w:val="17"/>
            </w:rPr>
          </w:pPr>
        </w:p>
      </w:tc>
    </w:tr>
  </w:tbl>
  <w:p w14:paraId="378413FF" w14:textId="2864B00B" w:rsidR="00DE2983" w:rsidRDefault="00DE2983" w:rsidP="04542500">
    <w:pPr>
      <w:pStyle w:val="Header"/>
      <w:rPr>
        <w:szCs w:val="17"/>
      </w:rPr>
    </w:pPr>
  </w:p>
</w:hdr>
</file>

<file path=word/intelligence.xml><?xml version="1.0" encoding="utf-8"?>
<int:Intelligence xmlns:int="http://schemas.microsoft.com/office/intelligence/2019/intelligence">
  <int:IntelligenceSettings/>
  <int:Manifest>
    <int:WordHash hashCode="QyFniesDSGBPXP" id="/8QKhsn5"/>
    <int:WordHash hashCode="yrqPkDdWHnRfqi" id="PsiJVr57"/>
    <int:WordHash hashCode="/55A2iNF3J3bO3" id="Z1wT4sw1"/>
  </int:Manifest>
  <int:Observations>
    <int:Content id="/8QKhsn5">
      <int:Rejection type="LegacyProofing"/>
    </int:Content>
    <int:Content id="PsiJVr57">
      <int:Rejection type="LegacyProofing"/>
    </int:Content>
    <int:Content id="Z1wT4sw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7FA2E89"/>
    <w:multiLevelType w:val="hybridMultilevel"/>
    <w:tmpl w:val="8B74773E"/>
    <w:lvl w:ilvl="0" w:tplc="835A7202">
      <w:start w:val="1"/>
      <w:numFmt w:val="decimal"/>
      <w:lvlText w:val="%1."/>
      <w:lvlJc w:val="left"/>
      <w:pPr>
        <w:tabs>
          <w:tab w:val="num" w:pos="720"/>
        </w:tabs>
        <w:ind w:left="0" w:firstLine="0"/>
      </w:pPr>
      <w:rPr>
        <w:rFonts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68235C35"/>
    <w:multiLevelType w:val="hybridMultilevel"/>
    <w:tmpl w:val="8B74773E"/>
    <w:lvl w:ilvl="0" w:tplc="835A7202">
      <w:start w:val="1"/>
      <w:numFmt w:val="decimal"/>
      <w:lvlText w:val="%1."/>
      <w:lvlJc w:val="left"/>
      <w:pPr>
        <w:tabs>
          <w:tab w:val="num" w:pos="720"/>
        </w:tabs>
        <w:ind w:left="0" w:firstLine="0"/>
      </w:pPr>
      <w:rPr>
        <w:rFonts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B06218F"/>
    <w:multiLevelType w:val="hybridMultilevel"/>
    <w:tmpl w:val="F8AEBCBA"/>
    <w:lvl w:ilvl="0" w:tplc="FFFFFFFF">
      <w:start w:val="1"/>
      <w:numFmt w:val="decimal"/>
      <w:lvlText w:val="%1."/>
      <w:lvlJc w:val="left"/>
      <w:pPr>
        <w:tabs>
          <w:tab w:val="num" w:pos="720"/>
        </w:tabs>
        <w:ind w:left="0" w:firstLine="0"/>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BF8624B"/>
    <w:multiLevelType w:val="hybridMultilevel"/>
    <w:tmpl w:val="4710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76"/>
  <w:hyphenationZone w:val="20"/>
  <w:doNotHyphenateCaps/>
  <w:evenAndOddHeaders/>
  <w:drawingGridHorizontalSpacing w:val="120"/>
  <w:displayHorizontalDrawingGridEvery w:val="2"/>
  <w:characterSpacingControl w:val="doNotCompress"/>
  <w:hdrShapeDefaults>
    <o:shapedefaults v:ext="edit" spidmax="4097"/>
  </w:hdrShapeDefaults>
  <w:footnotePr>
    <w:footnote w:id="-1"/>
    <w:footnote w:id="0"/>
    <w:footnote w:id="1"/>
  </w:footnotePr>
  <w:endnotePr>
    <w:pos w:val="sectEnd"/>
    <w:numFmt w:val="decimal"/>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720142*"/>
    <w:docVar w:name="jobn" w:val="17-20142 (E)"/>
    <w:docVar w:name="JobNo" w:val="1720142E"/>
    <w:docVar w:name="ODSRefJobNo" w:val="1738132E"/>
    <w:docVar w:name="sss1" w:val="DP/2017/40"/>
    <w:docVar w:name="sss2" w:val="-"/>
  </w:docVars>
  <w:rsids>
    <w:rsidRoot w:val="00C17E69"/>
    <w:rsid w:val="0000301C"/>
    <w:rsid w:val="000044BD"/>
    <w:rsid w:val="00007A54"/>
    <w:rsid w:val="00010CB2"/>
    <w:rsid w:val="00011F66"/>
    <w:rsid w:val="000137FE"/>
    <w:rsid w:val="00013C9F"/>
    <w:rsid w:val="00014D82"/>
    <w:rsid w:val="0001793F"/>
    <w:rsid w:val="00021540"/>
    <w:rsid w:val="00023BDE"/>
    <w:rsid w:val="000243C1"/>
    <w:rsid w:val="00024B08"/>
    <w:rsid w:val="00024E5A"/>
    <w:rsid w:val="00025848"/>
    <w:rsid w:val="000308AA"/>
    <w:rsid w:val="00032100"/>
    <w:rsid w:val="0003242E"/>
    <w:rsid w:val="000349F9"/>
    <w:rsid w:val="000365DF"/>
    <w:rsid w:val="00041CAB"/>
    <w:rsid w:val="00042159"/>
    <w:rsid w:val="00043207"/>
    <w:rsid w:val="000439D9"/>
    <w:rsid w:val="000449B0"/>
    <w:rsid w:val="000509B8"/>
    <w:rsid w:val="00051981"/>
    <w:rsid w:val="00051D6F"/>
    <w:rsid w:val="000537F6"/>
    <w:rsid w:val="00054828"/>
    <w:rsid w:val="00054E94"/>
    <w:rsid w:val="00057F15"/>
    <w:rsid w:val="00057FD3"/>
    <w:rsid w:val="000600A4"/>
    <w:rsid w:val="00060FB4"/>
    <w:rsid w:val="00061C46"/>
    <w:rsid w:val="00062E0F"/>
    <w:rsid w:val="00063A6D"/>
    <w:rsid w:val="00073B00"/>
    <w:rsid w:val="00076459"/>
    <w:rsid w:val="00076C3E"/>
    <w:rsid w:val="00077C68"/>
    <w:rsid w:val="00077DB0"/>
    <w:rsid w:val="00080953"/>
    <w:rsid w:val="00081743"/>
    <w:rsid w:val="00081CC0"/>
    <w:rsid w:val="00086081"/>
    <w:rsid w:val="000873DA"/>
    <w:rsid w:val="0009142F"/>
    <w:rsid w:val="00091961"/>
    <w:rsid w:val="000930EA"/>
    <w:rsid w:val="00095653"/>
    <w:rsid w:val="00096611"/>
    <w:rsid w:val="000A0EEE"/>
    <w:rsid w:val="000A1401"/>
    <w:rsid w:val="000A3D8E"/>
    <w:rsid w:val="000B2AB1"/>
    <w:rsid w:val="000B3C20"/>
    <w:rsid w:val="000B68FB"/>
    <w:rsid w:val="000B6F32"/>
    <w:rsid w:val="000B7349"/>
    <w:rsid w:val="000C30BC"/>
    <w:rsid w:val="000C5ED5"/>
    <w:rsid w:val="000C65AB"/>
    <w:rsid w:val="000C676D"/>
    <w:rsid w:val="000C7703"/>
    <w:rsid w:val="000C7B74"/>
    <w:rsid w:val="000D7BC3"/>
    <w:rsid w:val="000E25B1"/>
    <w:rsid w:val="000E3E97"/>
    <w:rsid w:val="000E4DB4"/>
    <w:rsid w:val="000E578F"/>
    <w:rsid w:val="000E649B"/>
    <w:rsid w:val="000E6736"/>
    <w:rsid w:val="000E7174"/>
    <w:rsid w:val="000E7902"/>
    <w:rsid w:val="000F0681"/>
    <w:rsid w:val="000F0B48"/>
    <w:rsid w:val="000F2DD8"/>
    <w:rsid w:val="000F32FA"/>
    <w:rsid w:val="000F5752"/>
    <w:rsid w:val="000F6E1A"/>
    <w:rsid w:val="00100B22"/>
    <w:rsid w:val="00101D50"/>
    <w:rsid w:val="0010319F"/>
    <w:rsid w:val="00104A84"/>
    <w:rsid w:val="00104C2F"/>
    <w:rsid w:val="00105C9B"/>
    <w:rsid w:val="00107D5F"/>
    <w:rsid w:val="00110196"/>
    <w:rsid w:val="0011241F"/>
    <w:rsid w:val="00113764"/>
    <w:rsid w:val="00114F9E"/>
    <w:rsid w:val="0011565A"/>
    <w:rsid w:val="0012032E"/>
    <w:rsid w:val="001208CF"/>
    <w:rsid w:val="001213DD"/>
    <w:rsid w:val="00121712"/>
    <w:rsid w:val="001248F8"/>
    <w:rsid w:val="0012652C"/>
    <w:rsid w:val="00131FD7"/>
    <w:rsid w:val="00132F77"/>
    <w:rsid w:val="00134048"/>
    <w:rsid w:val="00135DA1"/>
    <w:rsid w:val="00136ECF"/>
    <w:rsid w:val="00146E4B"/>
    <w:rsid w:val="001505B6"/>
    <w:rsid w:val="00152C51"/>
    <w:rsid w:val="00152FC5"/>
    <w:rsid w:val="001531AF"/>
    <w:rsid w:val="00154A7D"/>
    <w:rsid w:val="00156060"/>
    <w:rsid w:val="0015607B"/>
    <w:rsid w:val="0016208D"/>
    <w:rsid w:val="00163673"/>
    <w:rsid w:val="00164BCE"/>
    <w:rsid w:val="00164D53"/>
    <w:rsid w:val="001652E9"/>
    <w:rsid w:val="001653FB"/>
    <w:rsid w:val="0016630F"/>
    <w:rsid w:val="001735C5"/>
    <w:rsid w:val="0017380E"/>
    <w:rsid w:val="001745C0"/>
    <w:rsid w:val="001801E4"/>
    <w:rsid w:val="00180959"/>
    <w:rsid w:val="001809B5"/>
    <w:rsid w:val="00180C48"/>
    <w:rsid w:val="00182B15"/>
    <w:rsid w:val="00184193"/>
    <w:rsid w:val="00190D8A"/>
    <w:rsid w:val="001917A6"/>
    <w:rsid w:val="0019245C"/>
    <w:rsid w:val="00192845"/>
    <w:rsid w:val="001936F0"/>
    <w:rsid w:val="001947AD"/>
    <w:rsid w:val="00196A9E"/>
    <w:rsid w:val="00197346"/>
    <w:rsid w:val="001A077F"/>
    <w:rsid w:val="001A1515"/>
    <w:rsid w:val="001A1DC8"/>
    <w:rsid w:val="001A227C"/>
    <w:rsid w:val="001A3252"/>
    <w:rsid w:val="001A4FE7"/>
    <w:rsid w:val="001A5D2D"/>
    <w:rsid w:val="001A6BBE"/>
    <w:rsid w:val="001B071E"/>
    <w:rsid w:val="001B0B41"/>
    <w:rsid w:val="001B1926"/>
    <w:rsid w:val="001B1FD5"/>
    <w:rsid w:val="001B2710"/>
    <w:rsid w:val="001B2AEA"/>
    <w:rsid w:val="001B3651"/>
    <w:rsid w:val="001B4173"/>
    <w:rsid w:val="001B6CFE"/>
    <w:rsid w:val="001C0012"/>
    <w:rsid w:val="001C0941"/>
    <w:rsid w:val="001C1D0E"/>
    <w:rsid w:val="001C266D"/>
    <w:rsid w:val="001C26F7"/>
    <w:rsid w:val="001C4A5E"/>
    <w:rsid w:val="001C5625"/>
    <w:rsid w:val="001C77E2"/>
    <w:rsid w:val="001C7E54"/>
    <w:rsid w:val="001D1F8D"/>
    <w:rsid w:val="001D4790"/>
    <w:rsid w:val="001D540B"/>
    <w:rsid w:val="001D7216"/>
    <w:rsid w:val="001E06EC"/>
    <w:rsid w:val="001E077C"/>
    <w:rsid w:val="001E08C7"/>
    <w:rsid w:val="001E0B55"/>
    <w:rsid w:val="001E4D56"/>
    <w:rsid w:val="001E5AE9"/>
    <w:rsid w:val="001E6CDB"/>
    <w:rsid w:val="001F2BDA"/>
    <w:rsid w:val="001F5923"/>
    <w:rsid w:val="001F5FE7"/>
    <w:rsid w:val="001F670D"/>
    <w:rsid w:val="001F6818"/>
    <w:rsid w:val="001F6A03"/>
    <w:rsid w:val="001F6E66"/>
    <w:rsid w:val="001F78BC"/>
    <w:rsid w:val="001F7C50"/>
    <w:rsid w:val="001F7CCF"/>
    <w:rsid w:val="00203A1A"/>
    <w:rsid w:val="002050FD"/>
    <w:rsid w:val="00210886"/>
    <w:rsid w:val="00210D7F"/>
    <w:rsid w:val="00211F3F"/>
    <w:rsid w:val="00213104"/>
    <w:rsid w:val="002141E3"/>
    <w:rsid w:val="00216820"/>
    <w:rsid w:val="00217D97"/>
    <w:rsid w:val="00221573"/>
    <w:rsid w:val="00222D9B"/>
    <w:rsid w:val="00223E81"/>
    <w:rsid w:val="00225B63"/>
    <w:rsid w:val="00226946"/>
    <w:rsid w:val="0023111E"/>
    <w:rsid w:val="00232F19"/>
    <w:rsid w:val="002346A6"/>
    <w:rsid w:val="0023490E"/>
    <w:rsid w:val="00234C5B"/>
    <w:rsid w:val="00236DA6"/>
    <w:rsid w:val="00236E6D"/>
    <w:rsid w:val="00243655"/>
    <w:rsid w:val="002453F5"/>
    <w:rsid w:val="00247394"/>
    <w:rsid w:val="00247A6B"/>
    <w:rsid w:val="00247B2D"/>
    <w:rsid w:val="00247D20"/>
    <w:rsid w:val="00247E83"/>
    <w:rsid w:val="002508E9"/>
    <w:rsid w:val="00251A44"/>
    <w:rsid w:val="00253D26"/>
    <w:rsid w:val="00254277"/>
    <w:rsid w:val="002549C4"/>
    <w:rsid w:val="00254A64"/>
    <w:rsid w:val="00255264"/>
    <w:rsid w:val="00256A49"/>
    <w:rsid w:val="0025759D"/>
    <w:rsid w:val="0026195D"/>
    <w:rsid w:val="00261D48"/>
    <w:rsid w:val="00261FDB"/>
    <w:rsid w:val="002625ED"/>
    <w:rsid w:val="00264279"/>
    <w:rsid w:val="00265876"/>
    <w:rsid w:val="002665CB"/>
    <w:rsid w:val="00266865"/>
    <w:rsid w:val="002713B7"/>
    <w:rsid w:val="0027290F"/>
    <w:rsid w:val="002741C3"/>
    <w:rsid w:val="00274B66"/>
    <w:rsid w:val="00275106"/>
    <w:rsid w:val="00275598"/>
    <w:rsid w:val="00275F89"/>
    <w:rsid w:val="00276B79"/>
    <w:rsid w:val="00281885"/>
    <w:rsid w:val="0028233F"/>
    <w:rsid w:val="00283855"/>
    <w:rsid w:val="00284AF2"/>
    <w:rsid w:val="002877DA"/>
    <w:rsid w:val="00287D43"/>
    <w:rsid w:val="002901C3"/>
    <w:rsid w:val="00290C42"/>
    <w:rsid w:val="00294980"/>
    <w:rsid w:val="00294EAA"/>
    <w:rsid w:val="00296E6C"/>
    <w:rsid w:val="002A1FE8"/>
    <w:rsid w:val="002A2A24"/>
    <w:rsid w:val="002A2BDC"/>
    <w:rsid w:val="002A2C54"/>
    <w:rsid w:val="002A3558"/>
    <w:rsid w:val="002A3B1E"/>
    <w:rsid w:val="002A469A"/>
    <w:rsid w:val="002A5739"/>
    <w:rsid w:val="002A5D97"/>
    <w:rsid w:val="002A5DBE"/>
    <w:rsid w:val="002B0DEC"/>
    <w:rsid w:val="002B1022"/>
    <w:rsid w:val="002B1863"/>
    <w:rsid w:val="002B4B8E"/>
    <w:rsid w:val="002B649C"/>
    <w:rsid w:val="002B67EC"/>
    <w:rsid w:val="002B77DF"/>
    <w:rsid w:val="002C0552"/>
    <w:rsid w:val="002C12A1"/>
    <w:rsid w:val="002C171C"/>
    <w:rsid w:val="002C26F0"/>
    <w:rsid w:val="002C2F4F"/>
    <w:rsid w:val="002C3AE4"/>
    <w:rsid w:val="002C69A3"/>
    <w:rsid w:val="002D0A3F"/>
    <w:rsid w:val="002D25CC"/>
    <w:rsid w:val="002D2B9A"/>
    <w:rsid w:val="002D4228"/>
    <w:rsid w:val="002D4776"/>
    <w:rsid w:val="002E1C17"/>
    <w:rsid w:val="002E2EC1"/>
    <w:rsid w:val="002E5B84"/>
    <w:rsid w:val="002E5CBC"/>
    <w:rsid w:val="002E6ECE"/>
    <w:rsid w:val="002E7571"/>
    <w:rsid w:val="002F0531"/>
    <w:rsid w:val="002F31B0"/>
    <w:rsid w:val="002F42E5"/>
    <w:rsid w:val="002F5FAC"/>
    <w:rsid w:val="002F62DD"/>
    <w:rsid w:val="00300297"/>
    <w:rsid w:val="00300C02"/>
    <w:rsid w:val="00303242"/>
    <w:rsid w:val="00312D4B"/>
    <w:rsid w:val="00314F83"/>
    <w:rsid w:val="00316C23"/>
    <w:rsid w:val="00320CB1"/>
    <w:rsid w:val="00320E1B"/>
    <w:rsid w:val="00321A47"/>
    <w:rsid w:val="00322DEE"/>
    <w:rsid w:val="00322E87"/>
    <w:rsid w:val="003245CB"/>
    <w:rsid w:val="00325742"/>
    <w:rsid w:val="003268E2"/>
    <w:rsid w:val="00326A29"/>
    <w:rsid w:val="0032749A"/>
    <w:rsid w:val="00327EBA"/>
    <w:rsid w:val="003302D1"/>
    <w:rsid w:val="00331C78"/>
    <w:rsid w:val="00332088"/>
    <w:rsid w:val="003345CC"/>
    <w:rsid w:val="00334A0D"/>
    <w:rsid w:val="00335D68"/>
    <w:rsid w:val="00341AF8"/>
    <w:rsid w:val="00343E74"/>
    <w:rsid w:val="003466DC"/>
    <w:rsid w:val="003471DC"/>
    <w:rsid w:val="00347DD3"/>
    <w:rsid w:val="00350876"/>
    <w:rsid w:val="00357AA1"/>
    <w:rsid w:val="00361687"/>
    <w:rsid w:val="00365017"/>
    <w:rsid w:val="00370493"/>
    <w:rsid w:val="0037144B"/>
    <w:rsid w:val="003769DF"/>
    <w:rsid w:val="00376C10"/>
    <w:rsid w:val="0037786A"/>
    <w:rsid w:val="00383922"/>
    <w:rsid w:val="00387C80"/>
    <w:rsid w:val="00387FE0"/>
    <w:rsid w:val="0039024C"/>
    <w:rsid w:val="003928D1"/>
    <w:rsid w:val="00395DFD"/>
    <w:rsid w:val="003A09C3"/>
    <w:rsid w:val="003A1443"/>
    <w:rsid w:val="003A2D20"/>
    <w:rsid w:val="003A5087"/>
    <w:rsid w:val="003B0DE7"/>
    <w:rsid w:val="003B102B"/>
    <w:rsid w:val="003B2EA8"/>
    <w:rsid w:val="003C05E2"/>
    <w:rsid w:val="003C0D55"/>
    <w:rsid w:val="003C21CC"/>
    <w:rsid w:val="003C32E1"/>
    <w:rsid w:val="003C3A7D"/>
    <w:rsid w:val="003C43F7"/>
    <w:rsid w:val="003C7BF4"/>
    <w:rsid w:val="003D3999"/>
    <w:rsid w:val="003D5797"/>
    <w:rsid w:val="003D7F08"/>
    <w:rsid w:val="003E0D98"/>
    <w:rsid w:val="003E4B24"/>
    <w:rsid w:val="003E6D64"/>
    <w:rsid w:val="003E7000"/>
    <w:rsid w:val="003E72BD"/>
    <w:rsid w:val="003E78BF"/>
    <w:rsid w:val="003F0EDD"/>
    <w:rsid w:val="003F1E2B"/>
    <w:rsid w:val="003F49AB"/>
    <w:rsid w:val="003F4EDB"/>
    <w:rsid w:val="003F7EC3"/>
    <w:rsid w:val="00401E19"/>
    <w:rsid w:val="0040560E"/>
    <w:rsid w:val="00405629"/>
    <w:rsid w:val="00407301"/>
    <w:rsid w:val="00410A02"/>
    <w:rsid w:val="004125C5"/>
    <w:rsid w:val="00412940"/>
    <w:rsid w:val="00412ACF"/>
    <w:rsid w:val="0041494A"/>
    <w:rsid w:val="00414F44"/>
    <w:rsid w:val="0041500E"/>
    <w:rsid w:val="00417309"/>
    <w:rsid w:val="00420740"/>
    <w:rsid w:val="0042506E"/>
    <w:rsid w:val="0042BA63"/>
    <w:rsid w:val="00434183"/>
    <w:rsid w:val="00436FEA"/>
    <w:rsid w:val="004411C5"/>
    <w:rsid w:val="00441580"/>
    <w:rsid w:val="00441EF4"/>
    <w:rsid w:val="004423AB"/>
    <w:rsid w:val="00443A4A"/>
    <w:rsid w:val="00444725"/>
    <w:rsid w:val="004472AD"/>
    <w:rsid w:val="00447967"/>
    <w:rsid w:val="00450EAD"/>
    <w:rsid w:val="00452C05"/>
    <w:rsid w:val="0045397A"/>
    <w:rsid w:val="00453E64"/>
    <w:rsid w:val="0045426E"/>
    <w:rsid w:val="00455CD0"/>
    <w:rsid w:val="00457211"/>
    <w:rsid w:val="00457ADA"/>
    <w:rsid w:val="00461DF5"/>
    <w:rsid w:val="004677E2"/>
    <w:rsid w:val="00470301"/>
    <w:rsid w:val="00470EE0"/>
    <w:rsid w:val="004730BF"/>
    <w:rsid w:val="004739F9"/>
    <w:rsid w:val="00474A03"/>
    <w:rsid w:val="00475672"/>
    <w:rsid w:val="0047572C"/>
    <w:rsid w:val="004774B3"/>
    <w:rsid w:val="00477E8B"/>
    <w:rsid w:val="00477F9F"/>
    <w:rsid w:val="004818A0"/>
    <w:rsid w:val="004818F6"/>
    <w:rsid w:val="004831A5"/>
    <w:rsid w:val="00485B77"/>
    <w:rsid w:val="00487D0A"/>
    <w:rsid w:val="004907C3"/>
    <w:rsid w:val="00492648"/>
    <w:rsid w:val="00494C70"/>
    <w:rsid w:val="00496B26"/>
    <w:rsid w:val="00497BF5"/>
    <w:rsid w:val="0049E136"/>
    <w:rsid w:val="004A06AE"/>
    <w:rsid w:val="004A139D"/>
    <w:rsid w:val="004A1A19"/>
    <w:rsid w:val="004A36EA"/>
    <w:rsid w:val="004A492C"/>
    <w:rsid w:val="004A5068"/>
    <w:rsid w:val="004A635B"/>
    <w:rsid w:val="004A6F00"/>
    <w:rsid w:val="004B2164"/>
    <w:rsid w:val="004B5912"/>
    <w:rsid w:val="004B5B49"/>
    <w:rsid w:val="004B6AB6"/>
    <w:rsid w:val="004B732D"/>
    <w:rsid w:val="004B74F3"/>
    <w:rsid w:val="004B7FB6"/>
    <w:rsid w:val="004C0A4B"/>
    <w:rsid w:val="004C599F"/>
    <w:rsid w:val="004C5C45"/>
    <w:rsid w:val="004C7A38"/>
    <w:rsid w:val="004C7E05"/>
    <w:rsid w:val="004C7E48"/>
    <w:rsid w:val="004D0839"/>
    <w:rsid w:val="004D0C85"/>
    <w:rsid w:val="004D2970"/>
    <w:rsid w:val="004D3027"/>
    <w:rsid w:val="004D3B2E"/>
    <w:rsid w:val="004D580C"/>
    <w:rsid w:val="004D5846"/>
    <w:rsid w:val="004D7A08"/>
    <w:rsid w:val="004E669B"/>
    <w:rsid w:val="004F09C3"/>
    <w:rsid w:val="004F269C"/>
    <w:rsid w:val="004F2A0E"/>
    <w:rsid w:val="004F2B25"/>
    <w:rsid w:val="004F3269"/>
    <w:rsid w:val="004F4085"/>
    <w:rsid w:val="004F4AA8"/>
    <w:rsid w:val="004F5D04"/>
    <w:rsid w:val="004F68E2"/>
    <w:rsid w:val="004F71A8"/>
    <w:rsid w:val="00501088"/>
    <w:rsid w:val="00502499"/>
    <w:rsid w:val="00510916"/>
    <w:rsid w:val="00511E5A"/>
    <w:rsid w:val="005145CE"/>
    <w:rsid w:val="00514854"/>
    <w:rsid w:val="00516D15"/>
    <w:rsid w:val="00517C10"/>
    <w:rsid w:val="005200EA"/>
    <w:rsid w:val="00520F19"/>
    <w:rsid w:val="0052412E"/>
    <w:rsid w:val="00527A3F"/>
    <w:rsid w:val="005300F6"/>
    <w:rsid w:val="00534D74"/>
    <w:rsid w:val="005356AA"/>
    <w:rsid w:val="00536EBE"/>
    <w:rsid w:val="00537D2B"/>
    <w:rsid w:val="00541089"/>
    <w:rsid w:val="00541511"/>
    <w:rsid w:val="00542A9C"/>
    <w:rsid w:val="00542FE7"/>
    <w:rsid w:val="00543905"/>
    <w:rsid w:val="00545C3E"/>
    <w:rsid w:val="00546F5D"/>
    <w:rsid w:val="00550C1C"/>
    <w:rsid w:val="005513EE"/>
    <w:rsid w:val="0055474C"/>
    <w:rsid w:val="00554CEC"/>
    <w:rsid w:val="00556945"/>
    <w:rsid w:val="0055753C"/>
    <w:rsid w:val="005576AD"/>
    <w:rsid w:val="00560735"/>
    <w:rsid w:val="005607F2"/>
    <w:rsid w:val="005619C0"/>
    <w:rsid w:val="00563499"/>
    <w:rsid w:val="00566A1B"/>
    <w:rsid w:val="00566B69"/>
    <w:rsid w:val="00567F84"/>
    <w:rsid w:val="00567FEE"/>
    <w:rsid w:val="00570949"/>
    <w:rsid w:val="005709A1"/>
    <w:rsid w:val="005711A2"/>
    <w:rsid w:val="005729BA"/>
    <w:rsid w:val="00572B9E"/>
    <w:rsid w:val="0057512C"/>
    <w:rsid w:val="00581585"/>
    <w:rsid w:val="005827CD"/>
    <w:rsid w:val="005827E6"/>
    <w:rsid w:val="00583963"/>
    <w:rsid w:val="005851B4"/>
    <w:rsid w:val="00586761"/>
    <w:rsid w:val="00586902"/>
    <w:rsid w:val="00586986"/>
    <w:rsid w:val="00586FA1"/>
    <w:rsid w:val="00591C19"/>
    <w:rsid w:val="0059310F"/>
    <w:rsid w:val="00594A53"/>
    <w:rsid w:val="00595BC5"/>
    <w:rsid w:val="00595FBF"/>
    <w:rsid w:val="00596FE5"/>
    <w:rsid w:val="005A1973"/>
    <w:rsid w:val="005A36D8"/>
    <w:rsid w:val="005A3D90"/>
    <w:rsid w:val="005A731D"/>
    <w:rsid w:val="005B0B96"/>
    <w:rsid w:val="005B426E"/>
    <w:rsid w:val="005B500B"/>
    <w:rsid w:val="005B5E83"/>
    <w:rsid w:val="005B6B7F"/>
    <w:rsid w:val="005B7702"/>
    <w:rsid w:val="005C2441"/>
    <w:rsid w:val="005C394D"/>
    <w:rsid w:val="005C639D"/>
    <w:rsid w:val="005C65EC"/>
    <w:rsid w:val="005C76B7"/>
    <w:rsid w:val="005D0BE5"/>
    <w:rsid w:val="005D1801"/>
    <w:rsid w:val="005D3D41"/>
    <w:rsid w:val="005D6486"/>
    <w:rsid w:val="005D6AF2"/>
    <w:rsid w:val="005D7A0E"/>
    <w:rsid w:val="005E0744"/>
    <w:rsid w:val="005E0C30"/>
    <w:rsid w:val="005E125B"/>
    <w:rsid w:val="005E360C"/>
    <w:rsid w:val="005F03CA"/>
    <w:rsid w:val="005F3BB9"/>
    <w:rsid w:val="005F443D"/>
    <w:rsid w:val="005F55E4"/>
    <w:rsid w:val="005F5764"/>
    <w:rsid w:val="005F5A3B"/>
    <w:rsid w:val="005F6860"/>
    <w:rsid w:val="00600132"/>
    <w:rsid w:val="00601E37"/>
    <w:rsid w:val="0060256A"/>
    <w:rsid w:val="006034E2"/>
    <w:rsid w:val="006035F9"/>
    <w:rsid w:val="0060441D"/>
    <w:rsid w:val="00604E50"/>
    <w:rsid w:val="00605495"/>
    <w:rsid w:val="00610819"/>
    <w:rsid w:val="00610AC8"/>
    <w:rsid w:val="0061160A"/>
    <w:rsid w:val="00611DC1"/>
    <w:rsid w:val="006165A5"/>
    <w:rsid w:val="006208E6"/>
    <w:rsid w:val="00620BBE"/>
    <w:rsid w:val="0062207B"/>
    <w:rsid w:val="00622608"/>
    <w:rsid w:val="00622A64"/>
    <w:rsid w:val="006242A5"/>
    <w:rsid w:val="006246A9"/>
    <w:rsid w:val="0062527E"/>
    <w:rsid w:val="00626F37"/>
    <w:rsid w:val="006278E7"/>
    <w:rsid w:val="006300B5"/>
    <w:rsid w:val="006300C2"/>
    <w:rsid w:val="00632DB5"/>
    <w:rsid w:val="00634617"/>
    <w:rsid w:val="00634FA8"/>
    <w:rsid w:val="00635451"/>
    <w:rsid w:val="00635535"/>
    <w:rsid w:val="006365D0"/>
    <w:rsid w:val="00637CA9"/>
    <w:rsid w:val="0064046C"/>
    <w:rsid w:val="006415B9"/>
    <w:rsid w:val="006449F3"/>
    <w:rsid w:val="00645A2F"/>
    <w:rsid w:val="00647F62"/>
    <w:rsid w:val="006520C7"/>
    <w:rsid w:val="0065341F"/>
    <w:rsid w:val="00653B25"/>
    <w:rsid w:val="00655F4D"/>
    <w:rsid w:val="00656459"/>
    <w:rsid w:val="006608BF"/>
    <w:rsid w:val="0066134F"/>
    <w:rsid w:val="00663625"/>
    <w:rsid w:val="0066368E"/>
    <w:rsid w:val="00665391"/>
    <w:rsid w:val="006659BB"/>
    <w:rsid w:val="00665D79"/>
    <w:rsid w:val="00667B55"/>
    <w:rsid w:val="0067014A"/>
    <w:rsid w:val="00671B4A"/>
    <w:rsid w:val="00672F8E"/>
    <w:rsid w:val="00673A86"/>
    <w:rsid w:val="00673D70"/>
    <w:rsid w:val="00673FA0"/>
    <w:rsid w:val="00677C8D"/>
    <w:rsid w:val="0067D9AB"/>
    <w:rsid w:val="00682286"/>
    <w:rsid w:val="00682A1A"/>
    <w:rsid w:val="006845F9"/>
    <w:rsid w:val="0068520F"/>
    <w:rsid w:val="00687198"/>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B76BC"/>
    <w:rsid w:val="006C3723"/>
    <w:rsid w:val="006C465B"/>
    <w:rsid w:val="006C7E5F"/>
    <w:rsid w:val="006D0326"/>
    <w:rsid w:val="006D0C8A"/>
    <w:rsid w:val="006D42DA"/>
    <w:rsid w:val="006D5F66"/>
    <w:rsid w:val="006D74B5"/>
    <w:rsid w:val="006D766E"/>
    <w:rsid w:val="006E0E18"/>
    <w:rsid w:val="006E4199"/>
    <w:rsid w:val="006E5457"/>
    <w:rsid w:val="006F40EA"/>
    <w:rsid w:val="006F5987"/>
    <w:rsid w:val="006F6266"/>
    <w:rsid w:val="006F6F8C"/>
    <w:rsid w:val="00701F46"/>
    <w:rsid w:val="00702C5A"/>
    <w:rsid w:val="00704652"/>
    <w:rsid w:val="007062FB"/>
    <w:rsid w:val="00710373"/>
    <w:rsid w:val="007108C3"/>
    <w:rsid w:val="00721D52"/>
    <w:rsid w:val="00721EA2"/>
    <w:rsid w:val="007222CF"/>
    <w:rsid w:val="0072272F"/>
    <w:rsid w:val="00724074"/>
    <w:rsid w:val="00730B23"/>
    <w:rsid w:val="00731357"/>
    <w:rsid w:val="00732835"/>
    <w:rsid w:val="00734332"/>
    <w:rsid w:val="00736499"/>
    <w:rsid w:val="007417DD"/>
    <w:rsid w:val="007444A3"/>
    <w:rsid w:val="00744DE7"/>
    <w:rsid w:val="00744F35"/>
    <w:rsid w:val="00753D40"/>
    <w:rsid w:val="007540CE"/>
    <w:rsid w:val="007608D8"/>
    <w:rsid w:val="00762A8D"/>
    <w:rsid w:val="0076370D"/>
    <w:rsid w:val="0076482E"/>
    <w:rsid w:val="007669B0"/>
    <w:rsid w:val="007724DC"/>
    <w:rsid w:val="007737B6"/>
    <w:rsid w:val="00776752"/>
    <w:rsid w:val="007772CC"/>
    <w:rsid w:val="0078007F"/>
    <w:rsid w:val="00780BE7"/>
    <w:rsid w:val="0078179E"/>
    <w:rsid w:val="007826A4"/>
    <w:rsid w:val="00783BB0"/>
    <w:rsid w:val="00783F24"/>
    <w:rsid w:val="0078480B"/>
    <w:rsid w:val="00787D22"/>
    <w:rsid w:val="00792C8E"/>
    <w:rsid w:val="007932C1"/>
    <w:rsid w:val="0079386A"/>
    <w:rsid w:val="00794206"/>
    <w:rsid w:val="00795305"/>
    <w:rsid w:val="00795C17"/>
    <w:rsid w:val="00796A8E"/>
    <w:rsid w:val="007A077C"/>
    <w:rsid w:val="007A18D1"/>
    <w:rsid w:val="007A196D"/>
    <w:rsid w:val="007A2EE5"/>
    <w:rsid w:val="007A4518"/>
    <w:rsid w:val="007A4F17"/>
    <w:rsid w:val="007A5254"/>
    <w:rsid w:val="007A6F6C"/>
    <w:rsid w:val="007A78A7"/>
    <w:rsid w:val="007B3AC6"/>
    <w:rsid w:val="007B5ECA"/>
    <w:rsid w:val="007B5F5E"/>
    <w:rsid w:val="007B6885"/>
    <w:rsid w:val="007B777F"/>
    <w:rsid w:val="007C29F7"/>
    <w:rsid w:val="007C3EEC"/>
    <w:rsid w:val="007C4B12"/>
    <w:rsid w:val="007C5499"/>
    <w:rsid w:val="007C5AD3"/>
    <w:rsid w:val="007C78B7"/>
    <w:rsid w:val="007D2E6A"/>
    <w:rsid w:val="007D38A7"/>
    <w:rsid w:val="007D586B"/>
    <w:rsid w:val="007D5E0A"/>
    <w:rsid w:val="007D7C7B"/>
    <w:rsid w:val="007E18FA"/>
    <w:rsid w:val="007E220F"/>
    <w:rsid w:val="007E240E"/>
    <w:rsid w:val="007E304E"/>
    <w:rsid w:val="007E3D89"/>
    <w:rsid w:val="007E46AE"/>
    <w:rsid w:val="007E5210"/>
    <w:rsid w:val="007E6CDB"/>
    <w:rsid w:val="007E7AFA"/>
    <w:rsid w:val="007F23CE"/>
    <w:rsid w:val="007F2DD2"/>
    <w:rsid w:val="007F3C8D"/>
    <w:rsid w:val="007F4A1D"/>
    <w:rsid w:val="007F4D29"/>
    <w:rsid w:val="007F621D"/>
    <w:rsid w:val="007F6537"/>
    <w:rsid w:val="007FA047"/>
    <w:rsid w:val="00801B57"/>
    <w:rsid w:val="00802C43"/>
    <w:rsid w:val="00802DA2"/>
    <w:rsid w:val="0080697C"/>
    <w:rsid w:val="00810F2C"/>
    <w:rsid w:val="00814266"/>
    <w:rsid w:val="00816CF9"/>
    <w:rsid w:val="00820E54"/>
    <w:rsid w:val="00821564"/>
    <w:rsid w:val="00823EDD"/>
    <w:rsid w:val="008240E0"/>
    <w:rsid w:val="00826ECD"/>
    <w:rsid w:val="0083163E"/>
    <w:rsid w:val="00834197"/>
    <w:rsid w:val="00834C17"/>
    <w:rsid w:val="00835605"/>
    <w:rsid w:val="00835A0F"/>
    <w:rsid w:val="00836679"/>
    <w:rsid w:val="00837F18"/>
    <w:rsid w:val="00843409"/>
    <w:rsid w:val="008446CE"/>
    <w:rsid w:val="00844846"/>
    <w:rsid w:val="00846626"/>
    <w:rsid w:val="008470B8"/>
    <w:rsid w:val="0084786F"/>
    <w:rsid w:val="008504F4"/>
    <w:rsid w:val="00852178"/>
    <w:rsid w:val="00853FF3"/>
    <w:rsid w:val="0085451D"/>
    <w:rsid w:val="00854EC8"/>
    <w:rsid w:val="008603B4"/>
    <w:rsid w:val="00861579"/>
    <w:rsid w:val="008640BE"/>
    <w:rsid w:val="0086428D"/>
    <w:rsid w:val="008642D7"/>
    <w:rsid w:val="0086531E"/>
    <w:rsid w:val="00865C17"/>
    <w:rsid w:val="00866EA8"/>
    <w:rsid w:val="00867748"/>
    <w:rsid w:val="00870BAC"/>
    <w:rsid w:val="00874731"/>
    <w:rsid w:val="00875D2D"/>
    <w:rsid w:val="00880507"/>
    <w:rsid w:val="0088069E"/>
    <w:rsid w:val="00880CB5"/>
    <w:rsid w:val="00882652"/>
    <w:rsid w:val="00884D77"/>
    <w:rsid w:val="008858E6"/>
    <w:rsid w:val="00885F41"/>
    <w:rsid w:val="00887D4F"/>
    <w:rsid w:val="008915FF"/>
    <w:rsid w:val="00895AA1"/>
    <w:rsid w:val="008966CA"/>
    <w:rsid w:val="00896C72"/>
    <w:rsid w:val="008971FD"/>
    <w:rsid w:val="008A002A"/>
    <w:rsid w:val="008A7260"/>
    <w:rsid w:val="008A7B66"/>
    <w:rsid w:val="008B026E"/>
    <w:rsid w:val="008B22EF"/>
    <w:rsid w:val="008B38BA"/>
    <w:rsid w:val="008B4249"/>
    <w:rsid w:val="008C0422"/>
    <w:rsid w:val="008C04D4"/>
    <w:rsid w:val="008C12B8"/>
    <w:rsid w:val="008C3E90"/>
    <w:rsid w:val="008C4CE3"/>
    <w:rsid w:val="008C6B4B"/>
    <w:rsid w:val="008C7168"/>
    <w:rsid w:val="008C7BFE"/>
    <w:rsid w:val="008D006F"/>
    <w:rsid w:val="008D2798"/>
    <w:rsid w:val="008D2932"/>
    <w:rsid w:val="008D2F62"/>
    <w:rsid w:val="008D70C2"/>
    <w:rsid w:val="008E0A8C"/>
    <w:rsid w:val="008E215F"/>
    <w:rsid w:val="008E2435"/>
    <w:rsid w:val="008E2700"/>
    <w:rsid w:val="008E278F"/>
    <w:rsid w:val="008E332F"/>
    <w:rsid w:val="008E3D53"/>
    <w:rsid w:val="008E49E5"/>
    <w:rsid w:val="008E4C20"/>
    <w:rsid w:val="008E5860"/>
    <w:rsid w:val="008E64F8"/>
    <w:rsid w:val="008F3AD2"/>
    <w:rsid w:val="008F54F0"/>
    <w:rsid w:val="008F78FD"/>
    <w:rsid w:val="00902473"/>
    <w:rsid w:val="00902D37"/>
    <w:rsid w:val="00902F4F"/>
    <w:rsid w:val="00902F7B"/>
    <w:rsid w:val="00903CCB"/>
    <w:rsid w:val="00905226"/>
    <w:rsid w:val="0091026A"/>
    <w:rsid w:val="009117E9"/>
    <w:rsid w:val="00914946"/>
    <w:rsid w:val="00916EBB"/>
    <w:rsid w:val="00917137"/>
    <w:rsid w:val="00920276"/>
    <w:rsid w:val="0092264E"/>
    <w:rsid w:val="00923057"/>
    <w:rsid w:val="00923331"/>
    <w:rsid w:val="00923563"/>
    <w:rsid w:val="00924CEA"/>
    <w:rsid w:val="0092570A"/>
    <w:rsid w:val="00926CD2"/>
    <w:rsid w:val="00927DEE"/>
    <w:rsid w:val="00930C56"/>
    <w:rsid w:val="0093386E"/>
    <w:rsid w:val="00933F9A"/>
    <w:rsid w:val="00934AED"/>
    <w:rsid w:val="00935F51"/>
    <w:rsid w:val="0093697A"/>
    <w:rsid w:val="00936E96"/>
    <w:rsid w:val="00936F56"/>
    <w:rsid w:val="00940A1A"/>
    <w:rsid w:val="00941EDA"/>
    <w:rsid w:val="0094489C"/>
    <w:rsid w:val="00944FB6"/>
    <w:rsid w:val="00945C9B"/>
    <w:rsid w:val="0094679F"/>
    <w:rsid w:val="00946DB6"/>
    <w:rsid w:val="00946F76"/>
    <w:rsid w:val="00947B76"/>
    <w:rsid w:val="00954097"/>
    <w:rsid w:val="00955C4C"/>
    <w:rsid w:val="00955C9F"/>
    <w:rsid w:val="009562FF"/>
    <w:rsid w:val="009567F0"/>
    <w:rsid w:val="00956D53"/>
    <w:rsid w:val="00956E53"/>
    <w:rsid w:val="00961D71"/>
    <w:rsid w:val="00961E03"/>
    <w:rsid w:val="00962F38"/>
    <w:rsid w:val="00963A67"/>
    <w:rsid w:val="009642DF"/>
    <w:rsid w:val="009659F3"/>
    <w:rsid w:val="00966166"/>
    <w:rsid w:val="00966C76"/>
    <w:rsid w:val="00974073"/>
    <w:rsid w:val="00976852"/>
    <w:rsid w:val="00980C1A"/>
    <w:rsid w:val="009824C8"/>
    <w:rsid w:val="00983311"/>
    <w:rsid w:val="00986111"/>
    <w:rsid w:val="00987852"/>
    <w:rsid w:val="009906F9"/>
    <w:rsid w:val="00993204"/>
    <w:rsid w:val="00993D85"/>
    <w:rsid w:val="009942EA"/>
    <w:rsid w:val="009946BE"/>
    <w:rsid w:val="009956B4"/>
    <w:rsid w:val="0099600D"/>
    <w:rsid w:val="00997C03"/>
    <w:rsid w:val="009A08DF"/>
    <w:rsid w:val="009A64C4"/>
    <w:rsid w:val="009A6C28"/>
    <w:rsid w:val="009A7EC9"/>
    <w:rsid w:val="009B0CFA"/>
    <w:rsid w:val="009C20D0"/>
    <w:rsid w:val="009C219D"/>
    <w:rsid w:val="009C4614"/>
    <w:rsid w:val="009C4724"/>
    <w:rsid w:val="009C7D16"/>
    <w:rsid w:val="009D0F66"/>
    <w:rsid w:val="009D23EF"/>
    <w:rsid w:val="009D4CD6"/>
    <w:rsid w:val="009D6159"/>
    <w:rsid w:val="009D7C74"/>
    <w:rsid w:val="009D7F7A"/>
    <w:rsid w:val="009E1D8F"/>
    <w:rsid w:val="009E1EC0"/>
    <w:rsid w:val="009E2D53"/>
    <w:rsid w:val="009E6C4F"/>
    <w:rsid w:val="009E70E6"/>
    <w:rsid w:val="009F0EFA"/>
    <w:rsid w:val="009F11CF"/>
    <w:rsid w:val="009F1279"/>
    <w:rsid w:val="009F18EC"/>
    <w:rsid w:val="009F2FF8"/>
    <w:rsid w:val="009F68B5"/>
    <w:rsid w:val="009F79AF"/>
    <w:rsid w:val="00A020B1"/>
    <w:rsid w:val="00A03BFB"/>
    <w:rsid w:val="00A0449E"/>
    <w:rsid w:val="00A05B1C"/>
    <w:rsid w:val="00A07847"/>
    <w:rsid w:val="00A11D9E"/>
    <w:rsid w:val="00A12857"/>
    <w:rsid w:val="00A12933"/>
    <w:rsid w:val="00A16DCD"/>
    <w:rsid w:val="00A177E0"/>
    <w:rsid w:val="00A22247"/>
    <w:rsid w:val="00A224BA"/>
    <w:rsid w:val="00A240F6"/>
    <w:rsid w:val="00A24811"/>
    <w:rsid w:val="00A24AD6"/>
    <w:rsid w:val="00A251C7"/>
    <w:rsid w:val="00A26996"/>
    <w:rsid w:val="00A274FC"/>
    <w:rsid w:val="00A27A87"/>
    <w:rsid w:val="00A309AC"/>
    <w:rsid w:val="00A33C7F"/>
    <w:rsid w:val="00A3556F"/>
    <w:rsid w:val="00A35945"/>
    <w:rsid w:val="00A3713C"/>
    <w:rsid w:val="00A37E94"/>
    <w:rsid w:val="00A4006F"/>
    <w:rsid w:val="00A4014F"/>
    <w:rsid w:val="00A42391"/>
    <w:rsid w:val="00A42868"/>
    <w:rsid w:val="00A4417C"/>
    <w:rsid w:val="00A44A1E"/>
    <w:rsid w:val="00A4565A"/>
    <w:rsid w:val="00A46183"/>
    <w:rsid w:val="00A473F3"/>
    <w:rsid w:val="00A47C1E"/>
    <w:rsid w:val="00A50ED5"/>
    <w:rsid w:val="00A52A87"/>
    <w:rsid w:val="00A52CCD"/>
    <w:rsid w:val="00A545B2"/>
    <w:rsid w:val="00A554A0"/>
    <w:rsid w:val="00A56356"/>
    <w:rsid w:val="00A5745C"/>
    <w:rsid w:val="00A653A2"/>
    <w:rsid w:val="00A66449"/>
    <w:rsid w:val="00A66BCB"/>
    <w:rsid w:val="00A675FD"/>
    <w:rsid w:val="00A67A30"/>
    <w:rsid w:val="00A719F9"/>
    <w:rsid w:val="00A71BB0"/>
    <w:rsid w:val="00A7230B"/>
    <w:rsid w:val="00A74979"/>
    <w:rsid w:val="00A7696A"/>
    <w:rsid w:val="00A769C4"/>
    <w:rsid w:val="00A7736C"/>
    <w:rsid w:val="00A77FFB"/>
    <w:rsid w:val="00A81690"/>
    <w:rsid w:val="00A821FE"/>
    <w:rsid w:val="00A828DA"/>
    <w:rsid w:val="00A83C88"/>
    <w:rsid w:val="00A84006"/>
    <w:rsid w:val="00A850B7"/>
    <w:rsid w:val="00A901B3"/>
    <w:rsid w:val="00A90C30"/>
    <w:rsid w:val="00A93283"/>
    <w:rsid w:val="00AA2449"/>
    <w:rsid w:val="00AA2BCB"/>
    <w:rsid w:val="00AA3670"/>
    <w:rsid w:val="00AA4BEA"/>
    <w:rsid w:val="00AA5215"/>
    <w:rsid w:val="00AA7474"/>
    <w:rsid w:val="00AB2280"/>
    <w:rsid w:val="00AB546D"/>
    <w:rsid w:val="00AB6BE4"/>
    <w:rsid w:val="00AB72B7"/>
    <w:rsid w:val="00AC1F01"/>
    <w:rsid w:val="00AC3BFA"/>
    <w:rsid w:val="00AC6AF8"/>
    <w:rsid w:val="00AC6D46"/>
    <w:rsid w:val="00AC7A16"/>
    <w:rsid w:val="00AC9E36"/>
    <w:rsid w:val="00AD0424"/>
    <w:rsid w:val="00AD0BC9"/>
    <w:rsid w:val="00AD3388"/>
    <w:rsid w:val="00AD4C00"/>
    <w:rsid w:val="00AD4D03"/>
    <w:rsid w:val="00AD64D8"/>
    <w:rsid w:val="00AD7301"/>
    <w:rsid w:val="00AE00C7"/>
    <w:rsid w:val="00AE1D5D"/>
    <w:rsid w:val="00AE6470"/>
    <w:rsid w:val="00AE6AFF"/>
    <w:rsid w:val="00AF0A9D"/>
    <w:rsid w:val="00AF136A"/>
    <w:rsid w:val="00AF404A"/>
    <w:rsid w:val="00AF4FEA"/>
    <w:rsid w:val="00AF6C82"/>
    <w:rsid w:val="00AF7784"/>
    <w:rsid w:val="00B0033F"/>
    <w:rsid w:val="00B051D0"/>
    <w:rsid w:val="00B054BA"/>
    <w:rsid w:val="00B10B5D"/>
    <w:rsid w:val="00B115D1"/>
    <w:rsid w:val="00B13D70"/>
    <w:rsid w:val="00B150ED"/>
    <w:rsid w:val="00B16B46"/>
    <w:rsid w:val="00B170A3"/>
    <w:rsid w:val="00B23662"/>
    <w:rsid w:val="00B24A17"/>
    <w:rsid w:val="00B25FD4"/>
    <w:rsid w:val="00B27C06"/>
    <w:rsid w:val="00B377FF"/>
    <w:rsid w:val="00B37801"/>
    <w:rsid w:val="00B3795C"/>
    <w:rsid w:val="00B37A0A"/>
    <w:rsid w:val="00B434BE"/>
    <w:rsid w:val="00B441A1"/>
    <w:rsid w:val="00B44C9A"/>
    <w:rsid w:val="00B4752D"/>
    <w:rsid w:val="00B47830"/>
    <w:rsid w:val="00B4A98B"/>
    <w:rsid w:val="00B518D4"/>
    <w:rsid w:val="00B51E41"/>
    <w:rsid w:val="00B52F52"/>
    <w:rsid w:val="00B53945"/>
    <w:rsid w:val="00B54B9F"/>
    <w:rsid w:val="00B6110B"/>
    <w:rsid w:val="00B61B0D"/>
    <w:rsid w:val="00B62DB0"/>
    <w:rsid w:val="00B63FF7"/>
    <w:rsid w:val="00B64723"/>
    <w:rsid w:val="00B6608A"/>
    <w:rsid w:val="00B67B92"/>
    <w:rsid w:val="00B704AF"/>
    <w:rsid w:val="00B72250"/>
    <w:rsid w:val="00B76E81"/>
    <w:rsid w:val="00B77580"/>
    <w:rsid w:val="00B779A5"/>
    <w:rsid w:val="00B8044B"/>
    <w:rsid w:val="00B81452"/>
    <w:rsid w:val="00B8270B"/>
    <w:rsid w:val="00B82AC7"/>
    <w:rsid w:val="00B85869"/>
    <w:rsid w:val="00B8709A"/>
    <w:rsid w:val="00B93E9A"/>
    <w:rsid w:val="00B94681"/>
    <w:rsid w:val="00B97092"/>
    <w:rsid w:val="00BA043B"/>
    <w:rsid w:val="00BA0F90"/>
    <w:rsid w:val="00BA2239"/>
    <w:rsid w:val="00BA2886"/>
    <w:rsid w:val="00BA3CE2"/>
    <w:rsid w:val="00BA4E0D"/>
    <w:rsid w:val="00BB1AD4"/>
    <w:rsid w:val="00BB219A"/>
    <w:rsid w:val="00BB3145"/>
    <w:rsid w:val="00BB35C9"/>
    <w:rsid w:val="00BB4B67"/>
    <w:rsid w:val="00BB6D4D"/>
    <w:rsid w:val="00BB718E"/>
    <w:rsid w:val="00BC2DFF"/>
    <w:rsid w:val="00BC44EE"/>
    <w:rsid w:val="00BD0908"/>
    <w:rsid w:val="00BD0DCE"/>
    <w:rsid w:val="00BD1A3B"/>
    <w:rsid w:val="00BD2782"/>
    <w:rsid w:val="00BD2B41"/>
    <w:rsid w:val="00BD33F2"/>
    <w:rsid w:val="00BD54BF"/>
    <w:rsid w:val="00BD7175"/>
    <w:rsid w:val="00BE017A"/>
    <w:rsid w:val="00BE0DC8"/>
    <w:rsid w:val="00BE7224"/>
    <w:rsid w:val="00BE79D1"/>
    <w:rsid w:val="00BF13A7"/>
    <w:rsid w:val="00BF358E"/>
    <w:rsid w:val="00BF4169"/>
    <w:rsid w:val="00BF472E"/>
    <w:rsid w:val="00BF5670"/>
    <w:rsid w:val="00BF7146"/>
    <w:rsid w:val="00BF7DFA"/>
    <w:rsid w:val="00C03CD1"/>
    <w:rsid w:val="00C07058"/>
    <w:rsid w:val="00C11584"/>
    <w:rsid w:val="00C12789"/>
    <w:rsid w:val="00C138FE"/>
    <w:rsid w:val="00C15933"/>
    <w:rsid w:val="00C167E7"/>
    <w:rsid w:val="00C17310"/>
    <w:rsid w:val="00C17E69"/>
    <w:rsid w:val="00C20B4C"/>
    <w:rsid w:val="00C20CC5"/>
    <w:rsid w:val="00C2494E"/>
    <w:rsid w:val="00C24D28"/>
    <w:rsid w:val="00C25B81"/>
    <w:rsid w:val="00C27D47"/>
    <w:rsid w:val="00C307BD"/>
    <w:rsid w:val="00C33DA4"/>
    <w:rsid w:val="00C35789"/>
    <w:rsid w:val="00C42166"/>
    <w:rsid w:val="00C421CA"/>
    <w:rsid w:val="00C433B8"/>
    <w:rsid w:val="00C4446E"/>
    <w:rsid w:val="00C51E36"/>
    <w:rsid w:val="00C61226"/>
    <w:rsid w:val="00C619D9"/>
    <w:rsid w:val="00C643AB"/>
    <w:rsid w:val="00C64C5A"/>
    <w:rsid w:val="00C65EDC"/>
    <w:rsid w:val="00C664E2"/>
    <w:rsid w:val="00C7119E"/>
    <w:rsid w:val="00C7159F"/>
    <w:rsid w:val="00C72EF9"/>
    <w:rsid w:val="00C731AA"/>
    <w:rsid w:val="00C75D63"/>
    <w:rsid w:val="00C819A4"/>
    <w:rsid w:val="00C8247E"/>
    <w:rsid w:val="00C83786"/>
    <w:rsid w:val="00C84297"/>
    <w:rsid w:val="00C84B2D"/>
    <w:rsid w:val="00C85CCE"/>
    <w:rsid w:val="00C870AF"/>
    <w:rsid w:val="00C903D3"/>
    <w:rsid w:val="00C91877"/>
    <w:rsid w:val="00C91CCF"/>
    <w:rsid w:val="00C926AF"/>
    <w:rsid w:val="00CA07E4"/>
    <w:rsid w:val="00CA605D"/>
    <w:rsid w:val="00CA72F7"/>
    <w:rsid w:val="00CB03AE"/>
    <w:rsid w:val="00CB0E45"/>
    <w:rsid w:val="00CB1B5C"/>
    <w:rsid w:val="00CB2F01"/>
    <w:rsid w:val="00CB5E53"/>
    <w:rsid w:val="00CB6FD7"/>
    <w:rsid w:val="00CC1C6D"/>
    <w:rsid w:val="00CC4AF3"/>
    <w:rsid w:val="00CC5B87"/>
    <w:rsid w:val="00CD2056"/>
    <w:rsid w:val="00CD2501"/>
    <w:rsid w:val="00CD2D6A"/>
    <w:rsid w:val="00CD362B"/>
    <w:rsid w:val="00CD39B2"/>
    <w:rsid w:val="00CD3B11"/>
    <w:rsid w:val="00CD4E68"/>
    <w:rsid w:val="00CD5CFD"/>
    <w:rsid w:val="00CD5D29"/>
    <w:rsid w:val="00CD5F85"/>
    <w:rsid w:val="00CD7F8F"/>
    <w:rsid w:val="00CE00D4"/>
    <w:rsid w:val="00CE0A85"/>
    <w:rsid w:val="00CE1B29"/>
    <w:rsid w:val="00CE3C21"/>
    <w:rsid w:val="00CE42BB"/>
    <w:rsid w:val="00CF08B0"/>
    <w:rsid w:val="00CF2576"/>
    <w:rsid w:val="00CF5802"/>
    <w:rsid w:val="00CF734C"/>
    <w:rsid w:val="00D048A7"/>
    <w:rsid w:val="00D05C08"/>
    <w:rsid w:val="00D064F8"/>
    <w:rsid w:val="00D151CD"/>
    <w:rsid w:val="00D20003"/>
    <w:rsid w:val="00D24253"/>
    <w:rsid w:val="00D244DC"/>
    <w:rsid w:val="00D2540F"/>
    <w:rsid w:val="00D269E0"/>
    <w:rsid w:val="00D30460"/>
    <w:rsid w:val="00D30D8E"/>
    <w:rsid w:val="00D34CEF"/>
    <w:rsid w:val="00D3535D"/>
    <w:rsid w:val="00D361CC"/>
    <w:rsid w:val="00D379B4"/>
    <w:rsid w:val="00D40316"/>
    <w:rsid w:val="00D413BF"/>
    <w:rsid w:val="00D426B1"/>
    <w:rsid w:val="00D43BD4"/>
    <w:rsid w:val="00D44AD6"/>
    <w:rsid w:val="00D513B3"/>
    <w:rsid w:val="00D5404C"/>
    <w:rsid w:val="00D54736"/>
    <w:rsid w:val="00D54B65"/>
    <w:rsid w:val="00D54D0B"/>
    <w:rsid w:val="00D60660"/>
    <w:rsid w:val="00D6796B"/>
    <w:rsid w:val="00D703FE"/>
    <w:rsid w:val="00D7165F"/>
    <w:rsid w:val="00D73A5D"/>
    <w:rsid w:val="00D750EB"/>
    <w:rsid w:val="00D77BBA"/>
    <w:rsid w:val="00D84F53"/>
    <w:rsid w:val="00D86EAE"/>
    <w:rsid w:val="00D936C9"/>
    <w:rsid w:val="00D94AF5"/>
    <w:rsid w:val="00DA26DF"/>
    <w:rsid w:val="00DA291E"/>
    <w:rsid w:val="00DA2FC4"/>
    <w:rsid w:val="00DA58BE"/>
    <w:rsid w:val="00DA6AF4"/>
    <w:rsid w:val="00DA6E22"/>
    <w:rsid w:val="00DA6EC8"/>
    <w:rsid w:val="00DA7E22"/>
    <w:rsid w:val="00DB0521"/>
    <w:rsid w:val="00DB0DD9"/>
    <w:rsid w:val="00DB32C6"/>
    <w:rsid w:val="00DB45BC"/>
    <w:rsid w:val="00DB537B"/>
    <w:rsid w:val="00DC15F1"/>
    <w:rsid w:val="00DC220C"/>
    <w:rsid w:val="00DC76C6"/>
    <w:rsid w:val="00DD0473"/>
    <w:rsid w:val="00DD0B1F"/>
    <w:rsid w:val="00DD281C"/>
    <w:rsid w:val="00DD53BD"/>
    <w:rsid w:val="00DE0692"/>
    <w:rsid w:val="00DE0C29"/>
    <w:rsid w:val="00DE0EC5"/>
    <w:rsid w:val="00DE2983"/>
    <w:rsid w:val="00DE3394"/>
    <w:rsid w:val="00DF5B70"/>
    <w:rsid w:val="00E00850"/>
    <w:rsid w:val="00E02BE4"/>
    <w:rsid w:val="00E049B4"/>
    <w:rsid w:val="00E0514B"/>
    <w:rsid w:val="00E05A3F"/>
    <w:rsid w:val="00E05FB1"/>
    <w:rsid w:val="00E06DAD"/>
    <w:rsid w:val="00E103B0"/>
    <w:rsid w:val="00E1107B"/>
    <w:rsid w:val="00E147DD"/>
    <w:rsid w:val="00E16817"/>
    <w:rsid w:val="00E2569F"/>
    <w:rsid w:val="00E26E2E"/>
    <w:rsid w:val="00E30BF9"/>
    <w:rsid w:val="00E31903"/>
    <w:rsid w:val="00E324AC"/>
    <w:rsid w:val="00E33FE5"/>
    <w:rsid w:val="00E34A2A"/>
    <w:rsid w:val="00E35AF0"/>
    <w:rsid w:val="00E362B3"/>
    <w:rsid w:val="00E37EE7"/>
    <w:rsid w:val="00E422E3"/>
    <w:rsid w:val="00E43688"/>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41E0"/>
    <w:rsid w:val="00E749A4"/>
    <w:rsid w:val="00E75CA7"/>
    <w:rsid w:val="00E763F4"/>
    <w:rsid w:val="00E76523"/>
    <w:rsid w:val="00E76A46"/>
    <w:rsid w:val="00E76B5C"/>
    <w:rsid w:val="00E836AF"/>
    <w:rsid w:val="00E85601"/>
    <w:rsid w:val="00E85EF4"/>
    <w:rsid w:val="00E86E91"/>
    <w:rsid w:val="00E91278"/>
    <w:rsid w:val="00E94566"/>
    <w:rsid w:val="00E94860"/>
    <w:rsid w:val="00EA0D34"/>
    <w:rsid w:val="00EA1125"/>
    <w:rsid w:val="00EA19C9"/>
    <w:rsid w:val="00EA63A7"/>
    <w:rsid w:val="00EA659F"/>
    <w:rsid w:val="00EB1E10"/>
    <w:rsid w:val="00EB4E1C"/>
    <w:rsid w:val="00EB7547"/>
    <w:rsid w:val="00EB7684"/>
    <w:rsid w:val="00EC008D"/>
    <w:rsid w:val="00EC00DA"/>
    <w:rsid w:val="00EC1B92"/>
    <w:rsid w:val="00EC2B23"/>
    <w:rsid w:val="00EC4A17"/>
    <w:rsid w:val="00EC744D"/>
    <w:rsid w:val="00EC7C58"/>
    <w:rsid w:val="00ED10BE"/>
    <w:rsid w:val="00ED1D3A"/>
    <w:rsid w:val="00ED256B"/>
    <w:rsid w:val="00ED2891"/>
    <w:rsid w:val="00ED42F3"/>
    <w:rsid w:val="00ED44D2"/>
    <w:rsid w:val="00ED5645"/>
    <w:rsid w:val="00ED697C"/>
    <w:rsid w:val="00EE0440"/>
    <w:rsid w:val="00EE08E8"/>
    <w:rsid w:val="00EE30DA"/>
    <w:rsid w:val="00EE4917"/>
    <w:rsid w:val="00EE6196"/>
    <w:rsid w:val="00EE77A2"/>
    <w:rsid w:val="00EF31CF"/>
    <w:rsid w:val="00EF478C"/>
    <w:rsid w:val="00EF4C0F"/>
    <w:rsid w:val="00EF5557"/>
    <w:rsid w:val="00EF63BE"/>
    <w:rsid w:val="00EF7692"/>
    <w:rsid w:val="00F01538"/>
    <w:rsid w:val="00F0791B"/>
    <w:rsid w:val="00F11422"/>
    <w:rsid w:val="00F12DCE"/>
    <w:rsid w:val="00F12FAD"/>
    <w:rsid w:val="00F13B57"/>
    <w:rsid w:val="00F141EC"/>
    <w:rsid w:val="00F142CB"/>
    <w:rsid w:val="00F16A17"/>
    <w:rsid w:val="00F20E96"/>
    <w:rsid w:val="00F21FD8"/>
    <w:rsid w:val="00F23C08"/>
    <w:rsid w:val="00F260C9"/>
    <w:rsid w:val="00F26C34"/>
    <w:rsid w:val="00F272B2"/>
    <w:rsid w:val="00F30B11"/>
    <w:rsid w:val="00F31418"/>
    <w:rsid w:val="00F32DEE"/>
    <w:rsid w:val="00F34519"/>
    <w:rsid w:val="00F35998"/>
    <w:rsid w:val="00F374D0"/>
    <w:rsid w:val="00F41317"/>
    <w:rsid w:val="00F44C19"/>
    <w:rsid w:val="00F44F26"/>
    <w:rsid w:val="00F455C2"/>
    <w:rsid w:val="00F457C3"/>
    <w:rsid w:val="00F45C7C"/>
    <w:rsid w:val="00F47CAA"/>
    <w:rsid w:val="00F516DB"/>
    <w:rsid w:val="00F5385D"/>
    <w:rsid w:val="00F573A4"/>
    <w:rsid w:val="00F67DD9"/>
    <w:rsid w:val="00F7009B"/>
    <w:rsid w:val="00F70C0E"/>
    <w:rsid w:val="00F7137F"/>
    <w:rsid w:val="00F71D81"/>
    <w:rsid w:val="00F724E2"/>
    <w:rsid w:val="00F73835"/>
    <w:rsid w:val="00F742F9"/>
    <w:rsid w:val="00F7764C"/>
    <w:rsid w:val="00F77FF8"/>
    <w:rsid w:val="00F819EA"/>
    <w:rsid w:val="00F82744"/>
    <w:rsid w:val="00F828C2"/>
    <w:rsid w:val="00F8507F"/>
    <w:rsid w:val="00F864B6"/>
    <w:rsid w:val="00F90544"/>
    <w:rsid w:val="00F90F7F"/>
    <w:rsid w:val="00F92881"/>
    <w:rsid w:val="00F9421B"/>
    <w:rsid w:val="00F94FF9"/>
    <w:rsid w:val="00F95D36"/>
    <w:rsid w:val="00F9791A"/>
    <w:rsid w:val="00FA02D8"/>
    <w:rsid w:val="00FA2355"/>
    <w:rsid w:val="00FA243A"/>
    <w:rsid w:val="00FA2933"/>
    <w:rsid w:val="00FB05EA"/>
    <w:rsid w:val="00FB0819"/>
    <w:rsid w:val="00FB2AE2"/>
    <w:rsid w:val="00FC3370"/>
    <w:rsid w:val="00FC372B"/>
    <w:rsid w:val="00FC3C0B"/>
    <w:rsid w:val="00FC43F4"/>
    <w:rsid w:val="00FC527B"/>
    <w:rsid w:val="00FC5C2F"/>
    <w:rsid w:val="00FC62E0"/>
    <w:rsid w:val="00FCA79E"/>
    <w:rsid w:val="00FD363C"/>
    <w:rsid w:val="00FD4657"/>
    <w:rsid w:val="00FD78CF"/>
    <w:rsid w:val="00FE0CE3"/>
    <w:rsid w:val="00FE24F8"/>
    <w:rsid w:val="00FE3829"/>
    <w:rsid w:val="00FE49B3"/>
    <w:rsid w:val="00FE6063"/>
    <w:rsid w:val="00FF1C46"/>
    <w:rsid w:val="00FF5537"/>
    <w:rsid w:val="00FF6478"/>
    <w:rsid w:val="00FF6BEE"/>
    <w:rsid w:val="00FF7D60"/>
    <w:rsid w:val="0121AF3D"/>
    <w:rsid w:val="014C9673"/>
    <w:rsid w:val="014E5243"/>
    <w:rsid w:val="015F4E4A"/>
    <w:rsid w:val="0163ACCD"/>
    <w:rsid w:val="01706A8E"/>
    <w:rsid w:val="017CBC1E"/>
    <w:rsid w:val="01828840"/>
    <w:rsid w:val="0186FD57"/>
    <w:rsid w:val="01A6C448"/>
    <w:rsid w:val="01AC65BF"/>
    <w:rsid w:val="01D3A48D"/>
    <w:rsid w:val="0212D3C3"/>
    <w:rsid w:val="021B486F"/>
    <w:rsid w:val="021BA5EF"/>
    <w:rsid w:val="025E6CA2"/>
    <w:rsid w:val="02795E89"/>
    <w:rsid w:val="02AD23D3"/>
    <w:rsid w:val="02BB4F90"/>
    <w:rsid w:val="02BD7F9E"/>
    <w:rsid w:val="02E416DA"/>
    <w:rsid w:val="02EC655E"/>
    <w:rsid w:val="031AE16A"/>
    <w:rsid w:val="033C6044"/>
    <w:rsid w:val="034F609B"/>
    <w:rsid w:val="036248D0"/>
    <w:rsid w:val="03627774"/>
    <w:rsid w:val="03687032"/>
    <w:rsid w:val="039838F8"/>
    <w:rsid w:val="03A86DAF"/>
    <w:rsid w:val="03AB6F07"/>
    <w:rsid w:val="03B6E3A6"/>
    <w:rsid w:val="03EB61C8"/>
    <w:rsid w:val="04481746"/>
    <w:rsid w:val="044D1781"/>
    <w:rsid w:val="04542500"/>
    <w:rsid w:val="045EA9B0"/>
    <w:rsid w:val="04794F64"/>
    <w:rsid w:val="048A1489"/>
    <w:rsid w:val="04961AE2"/>
    <w:rsid w:val="04A21A57"/>
    <w:rsid w:val="04B13601"/>
    <w:rsid w:val="04B5188A"/>
    <w:rsid w:val="04C8B418"/>
    <w:rsid w:val="04C8C97D"/>
    <w:rsid w:val="04DA9134"/>
    <w:rsid w:val="04DF179C"/>
    <w:rsid w:val="04E88A63"/>
    <w:rsid w:val="04EECBFB"/>
    <w:rsid w:val="04EF19D5"/>
    <w:rsid w:val="050A9E27"/>
    <w:rsid w:val="051FABCA"/>
    <w:rsid w:val="05453B2A"/>
    <w:rsid w:val="0585A819"/>
    <w:rsid w:val="058EBD0D"/>
    <w:rsid w:val="059B3A1E"/>
    <w:rsid w:val="05A62813"/>
    <w:rsid w:val="05DBF803"/>
    <w:rsid w:val="05E1E739"/>
    <w:rsid w:val="0635D20A"/>
    <w:rsid w:val="0636C77B"/>
    <w:rsid w:val="06620A1C"/>
    <w:rsid w:val="066DB1AC"/>
    <w:rsid w:val="068B35DB"/>
    <w:rsid w:val="068D53BD"/>
    <w:rsid w:val="06ABF2C1"/>
    <w:rsid w:val="06C00216"/>
    <w:rsid w:val="06CB579E"/>
    <w:rsid w:val="06D6B1B6"/>
    <w:rsid w:val="06EE3D2E"/>
    <w:rsid w:val="06FA65BE"/>
    <w:rsid w:val="06FE6F67"/>
    <w:rsid w:val="0713F00B"/>
    <w:rsid w:val="071C0B2A"/>
    <w:rsid w:val="07311894"/>
    <w:rsid w:val="0743AAAF"/>
    <w:rsid w:val="077903E0"/>
    <w:rsid w:val="07942CB2"/>
    <w:rsid w:val="07990CF9"/>
    <w:rsid w:val="07AF72F9"/>
    <w:rsid w:val="07BFC7B2"/>
    <w:rsid w:val="07C31A65"/>
    <w:rsid w:val="07C8E4E9"/>
    <w:rsid w:val="07E53F79"/>
    <w:rsid w:val="07F8A4F2"/>
    <w:rsid w:val="08037781"/>
    <w:rsid w:val="0817FF05"/>
    <w:rsid w:val="082F92D0"/>
    <w:rsid w:val="08374D85"/>
    <w:rsid w:val="083BDDB6"/>
    <w:rsid w:val="0865B7CD"/>
    <w:rsid w:val="086782F1"/>
    <w:rsid w:val="086A6692"/>
    <w:rsid w:val="087ACDF0"/>
    <w:rsid w:val="08878AFE"/>
    <w:rsid w:val="0891FB15"/>
    <w:rsid w:val="08A411EB"/>
    <w:rsid w:val="08AE0753"/>
    <w:rsid w:val="08B6DD58"/>
    <w:rsid w:val="08BB2C5C"/>
    <w:rsid w:val="08BE460B"/>
    <w:rsid w:val="08CCE8F5"/>
    <w:rsid w:val="08F7E577"/>
    <w:rsid w:val="0905FF81"/>
    <w:rsid w:val="0906CB21"/>
    <w:rsid w:val="092E1456"/>
    <w:rsid w:val="0936795E"/>
    <w:rsid w:val="093B2746"/>
    <w:rsid w:val="095330E0"/>
    <w:rsid w:val="095DE032"/>
    <w:rsid w:val="097654C8"/>
    <w:rsid w:val="098FBA8E"/>
    <w:rsid w:val="09920F3C"/>
    <w:rsid w:val="09BE68BA"/>
    <w:rsid w:val="09C4F47F"/>
    <w:rsid w:val="09D1022E"/>
    <w:rsid w:val="09D1CC99"/>
    <w:rsid w:val="09D79117"/>
    <w:rsid w:val="09DA2841"/>
    <w:rsid w:val="09DE0F4A"/>
    <w:rsid w:val="09E7B2BC"/>
    <w:rsid w:val="09EC4548"/>
    <w:rsid w:val="09F4AAD9"/>
    <w:rsid w:val="0A0B3A85"/>
    <w:rsid w:val="0A144C43"/>
    <w:rsid w:val="0A25F5AD"/>
    <w:rsid w:val="0A3DF6E2"/>
    <w:rsid w:val="0A3F064D"/>
    <w:rsid w:val="0A3F639A"/>
    <w:rsid w:val="0A5E39B9"/>
    <w:rsid w:val="0A7C699B"/>
    <w:rsid w:val="0A863F0D"/>
    <w:rsid w:val="0A965ACD"/>
    <w:rsid w:val="0AA0BFF9"/>
    <w:rsid w:val="0AA5F32F"/>
    <w:rsid w:val="0AE6FE06"/>
    <w:rsid w:val="0AEBBFB8"/>
    <w:rsid w:val="0AF21353"/>
    <w:rsid w:val="0AF473CB"/>
    <w:rsid w:val="0B1CE03B"/>
    <w:rsid w:val="0B346B62"/>
    <w:rsid w:val="0B34A66A"/>
    <w:rsid w:val="0BC1AE51"/>
    <w:rsid w:val="0BC5B029"/>
    <w:rsid w:val="0BDDD379"/>
    <w:rsid w:val="0C0FE9E8"/>
    <w:rsid w:val="0C163F60"/>
    <w:rsid w:val="0C3A4483"/>
    <w:rsid w:val="0C5C03F3"/>
    <w:rsid w:val="0C6015F1"/>
    <w:rsid w:val="0C718E31"/>
    <w:rsid w:val="0C92CBBF"/>
    <w:rsid w:val="0C97CDDD"/>
    <w:rsid w:val="0C999385"/>
    <w:rsid w:val="0CA6B425"/>
    <w:rsid w:val="0CADBBE0"/>
    <w:rsid w:val="0CB57144"/>
    <w:rsid w:val="0CB6888F"/>
    <w:rsid w:val="0CB8B09C"/>
    <w:rsid w:val="0CD1D8F9"/>
    <w:rsid w:val="0CE138A9"/>
    <w:rsid w:val="0D0336C4"/>
    <w:rsid w:val="0D0BD916"/>
    <w:rsid w:val="0D31EE02"/>
    <w:rsid w:val="0D3F21B9"/>
    <w:rsid w:val="0D607074"/>
    <w:rsid w:val="0D800C1D"/>
    <w:rsid w:val="0D910D11"/>
    <w:rsid w:val="0DB72CCC"/>
    <w:rsid w:val="0DBB1C62"/>
    <w:rsid w:val="0DC31608"/>
    <w:rsid w:val="0DCDEA93"/>
    <w:rsid w:val="0DCF1D07"/>
    <w:rsid w:val="0E0CF858"/>
    <w:rsid w:val="0E279796"/>
    <w:rsid w:val="0E341D5B"/>
    <w:rsid w:val="0E3684B4"/>
    <w:rsid w:val="0E491023"/>
    <w:rsid w:val="0E694C8A"/>
    <w:rsid w:val="0E73625C"/>
    <w:rsid w:val="0E99C1E1"/>
    <w:rsid w:val="0EB33659"/>
    <w:rsid w:val="0EC73CBD"/>
    <w:rsid w:val="0EF07293"/>
    <w:rsid w:val="0EF644CB"/>
    <w:rsid w:val="0EF94F13"/>
    <w:rsid w:val="0EFF1694"/>
    <w:rsid w:val="0F013C99"/>
    <w:rsid w:val="0F23C74D"/>
    <w:rsid w:val="0F29882C"/>
    <w:rsid w:val="0F2CDD72"/>
    <w:rsid w:val="0F420632"/>
    <w:rsid w:val="0F59E301"/>
    <w:rsid w:val="0F63C131"/>
    <w:rsid w:val="0F71A99D"/>
    <w:rsid w:val="0F80E20B"/>
    <w:rsid w:val="0F875D6E"/>
    <w:rsid w:val="0F8D8137"/>
    <w:rsid w:val="0F952D6E"/>
    <w:rsid w:val="0F97CF5E"/>
    <w:rsid w:val="0FAEE5D7"/>
    <w:rsid w:val="0FB94613"/>
    <w:rsid w:val="0FCEAE92"/>
    <w:rsid w:val="100EA324"/>
    <w:rsid w:val="101D8144"/>
    <w:rsid w:val="102793B7"/>
    <w:rsid w:val="102B38E4"/>
    <w:rsid w:val="1049126D"/>
    <w:rsid w:val="1061131E"/>
    <w:rsid w:val="108045BB"/>
    <w:rsid w:val="109566AE"/>
    <w:rsid w:val="10B0F9DC"/>
    <w:rsid w:val="10B41DB6"/>
    <w:rsid w:val="10BF97AE"/>
    <w:rsid w:val="10D47795"/>
    <w:rsid w:val="10D683CD"/>
    <w:rsid w:val="10D880C7"/>
    <w:rsid w:val="1100D9F2"/>
    <w:rsid w:val="110DEA38"/>
    <w:rsid w:val="1133B9E5"/>
    <w:rsid w:val="113D7770"/>
    <w:rsid w:val="1143D8EC"/>
    <w:rsid w:val="11506FD2"/>
    <w:rsid w:val="1152E127"/>
    <w:rsid w:val="115A9012"/>
    <w:rsid w:val="115B0A2F"/>
    <w:rsid w:val="115E4DF7"/>
    <w:rsid w:val="116813BE"/>
    <w:rsid w:val="11740C38"/>
    <w:rsid w:val="11956F9E"/>
    <w:rsid w:val="11B72696"/>
    <w:rsid w:val="11E9212F"/>
    <w:rsid w:val="11F53CDA"/>
    <w:rsid w:val="120CFB96"/>
    <w:rsid w:val="1211219A"/>
    <w:rsid w:val="1214B178"/>
    <w:rsid w:val="1219F6CE"/>
    <w:rsid w:val="121B33D4"/>
    <w:rsid w:val="121C9539"/>
    <w:rsid w:val="121FF7DB"/>
    <w:rsid w:val="12203F61"/>
    <w:rsid w:val="12387AB4"/>
    <w:rsid w:val="123FB84B"/>
    <w:rsid w:val="124E04FB"/>
    <w:rsid w:val="1299E5B1"/>
    <w:rsid w:val="129DD1FF"/>
    <w:rsid w:val="12A46C88"/>
    <w:rsid w:val="12BA94CF"/>
    <w:rsid w:val="12BF72E3"/>
    <w:rsid w:val="12C3C957"/>
    <w:rsid w:val="12E2634C"/>
    <w:rsid w:val="134F5F8F"/>
    <w:rsid w:val="13645C37"/>
    <w:rsid w:val="1368C22E"/>
    <w:rsid w:val="13711F20"/>
    <w:rsid w:val="139402D0"/>
    <w:rsid w:val="139AADE0"/>
    <w:rsid w:val="13BD8097"/>
    <w:rsid w:val="13C1E246"/>
    <w:rsid w:val="13E046C5"/>
    <w:rsid w:val="13FC06A1"/>
    <w:rsid w:val="13FF9498"/>
    <w:rsid w:val="1411C1BF"/>
    <w:rsid w:val="14149E62"/>
    <w:rsid w:val="141AB887"/>
    <w:rsid w:val="143D92DC"/>
    <w:rsid w:val="145058CC"/>
    <w:rsid w:val="14590DF3"/>
    <w:rsid w:val="1486FD9C"/>
    <w:rsid w:val="14AF874D"/>
    <w:rsid w:val="14B3DB6B"/>
    <w:rsid w:val="14BC3A30"/>
    <w:rsid w:val="14C2D2EE"/>
    <w:rsid w:val="14EB6A05"/>
    <w:rsid w:val="14F851EF"/>
    <w:rsid w:val="14FE3BC7"/>
    <w:rsid w:val="1502BA8B"/>
    <w:rsid w:val="15293673"/>
    <w:rsid w:val="15462573"/>
    <w:rsid w:val="154F66AD"/>
    <w:rsid w:val="155950F8"/>
    <w:rsid w:val="1567BF2C"/>
    <w:rsid w:val="15742401"/>
    <w:rsid w:val="15878ED9"/>
    <w:rsid w:val="159455CC"/>
    <w:rsid w:val="15CE41A4"/>
    <w:rsid w:val="15DBEF5C"/>
    <w:rsid w:val="1610F880"/>
    <w:rsid w:val="16188B61"/>
    <w:rsid w:val="16437267"/>
    <w:rsid w:val="1662EEFF"/>
    <w:rsid w:val="166B1B91"/>
    <w:rsid w:val="16B8E80F"/>
    <w:rsid w:val="16D2E7AC"/>
    <w:rsid w:val="16E5D528"/>
    <w:rsid w:val="16F31131"/>
    <w:rsid w:val="170460F8"/>
    <w:rsid w:val="17072355"/>
    <w:rsid w:val="1736BDDC"/>
    <w:rsid w:val="174CC9A3"/>
    <w:rsid w:val="17661AA4"/>
    <w:rsid w:val="17827490"/>
    <w:rsid w:val="178A1FCC"/>
    <w:rsid w:val="178CC864"/>
    <w:rsid w:val="179B71F3"/>
    <w:rsid w:val="17BC17E3"/>
    <w:rsid w:val="1812935D"/>
    <w:rsid w:val="181FF74D"/>
    <w:rsid w:val="182B54B5"/>
    <w:rsid w:val="1865D8F3"/>
    <w:rsid w:val="1876560B"/>
    <w:rsid w:val="187CFE87"/>
    <w:rsid w:val="18A7E400"/>
    <w:rsid w:val="18C5814B"/>
    <w:rsid w:val="18E9C7F9"/>
    <w:rsid w:val="18F52EAF"/>
    <w:rsid w:val="1913901E"/>
    <w:rsid w:val="191B9502"/>
    <w:rsid w:val="191F5E75"/>
    <w:rsid w:val="19290A65"/>
    <w:rsid w:val="19330ADB"/>
    <w:rsid w:val="194B7DB2"/>
    <w:rsid w:val="1955A32C"/>
    <w:rsid w:val="196F5E56"/>
    <w:rsid w:val="197403FC"/>
    <w:rsid w:val="19964411"/>
    <w:rsid w:val="199B1A84"/>
    <w:rsid w:val="19B379BA"/>
    <w:rsid w:val="19CEDCA0"/>
    <w:rsid w:val="19F83991"/>
    <w:rsid w:val="19F92F3E"/>
    <w:rsid w:val="19FFCCDF"/>
    <w:rsid w:val="1A55C86F"/>
    <w:rsid w:val="1A56D56B"/>
    <w:rsid w:val="1A699D16"/>
    <w:rsid w:val="1A75439F"/>
    <w:rsid w:val="1A79E5F0"/>
    <w:rsid w:val="1A8DC349"/>
    <w:rsid w:val="1AD8ABFB"/>
    <w:rsid w:val="1AF44F64"/>
    <w:rsid w:val="1B0FD45D"/>
    <w:rsid w:val="1B36C2CF"/>
    <w:rsid w:val="1B3A58AB"/>
    <w:rsid w:val="1B3AF18B"/>
    <w:rsid w:val="1B421360"/>
    <w:rsid w:val="1B5A5F0C"/>
    <w:rsid w:val="1B75AC71"/>
    <w:rsid w:val="1B8C027D"/>
    <w:rsid w:val="1B90EDE3"/>
    <w:rsid w:val="1B9417C2"/>
    <w:rsid w:val="1BAAEE19"/>
    <w:rsid w:val="1BB793A6"/>
    <w:rsid w:val="1BBEA994"/>
    <w:rsid w:val="1C26B7B2"/>
    <w:rsid w:val="1C26C6F8"/>
    <w:rsid w:val="1C392274"/>
    <w:rsid w:val="1C6A9E0B"/>
    <w:rsid w:val="1C6AAB9D"/>
    <w:rsid w:val="1CDCCFE5"/>
    <w:rsid w:val="1D0F7568"/>
    <w:rsid w:val="1D17AB8E"/>
    <w:rsid w:val="1D1FBF1D"/>
    <w:rsid w:val="1D30EE59"/>
    <w:rsid w:val="1D42EB6C"/>
    <w:rsid w:val="1D61B32C"/>
    <w:rsid w:val="1D6E2286"/>
    <w:rsid w:val="1D835747"/>
    <w:rsid w:val="1DB5B138"/>
    <w:rsid w:val="1DB748F9"/>
    <w:rsid w:val="1DD181B8"/>
    <w:rsid w:val="1DDBBFB6"/>
    <w:rsid w:val="1E21BCEF"/>
    <w:rsid w:val="1E7923EE"/>
    <w:rsid w:val="1E8A4842"/>
    <w:rsid w:val="1E9A4C6F"/>
    <w:rsid w:val="1E9B3944"/>
    <w:rsid w:val="1ED8CF8D"/>
    <w:rsid w:val="1EDA285E"/>
    <w:rsid w:val="1EF30AA1"/>
    <w:rsid w:val="1EFCDE46"/>
    <w:rsid w:val="1F3844D5"/>
    <w:rsid w:val="1F5D72FE"/>
    <w:rsid w:val="1F6E7DCC"/>
    <w:rsid w:val="1F7FA7DF"/>
    <w:rsid w:val="1FA3BD89"/>
    <w:rsid w:val="1FA4822C"/>
    <w:rsid w:val="1FA7FF86"/>
    <w:rsid w:val="1FC0E7AE"/>
    <w:rsid w:val="1FD5F4BA"/>
    <w:rsid w:val="1FF1FAF9"/>
    <w:rsid w:val="2002E8E6"/>
    <w:rsid w:val="2022BC14"/>
    <w:rsid w:val="202D3B91"/>
    <w:rsid w:val="20330817"/>
    <w:rsid w:val="204E2E31"/>
    <w:rsid w:val="205239C1"/>
    <w:rsid w:val="207BA546"/>
    <w:rsid w:val="20A379BE"/>
    <w:rsid w:val="20AFB119"/>
    <w:rsid w:val="20D9F90D"/>
    <w:rsid w:val="20EC94F7"/>
    <w:rsid w:val="20F20F20"/>
    <w:rsid w:val="21098377"/>
    <w:rsid w:val="210B72F2"/>
    <w:rsid w:val="210C6EA4"/>
    <w:rsid w:val="21123934"/>
    <w:rsid w:val="21165F00"/>
    <w:rsid w:val="2126EAA2"/>
    <w:rsid w:val="2135AEC4"/>
    <w:rsid w:val="213E6454"/>
    <w:rsid w:val="2155BE3C"/>
    <w:rsid w:val="2159E996"/>
    <w:rsid w:val="216A9937"/>
    <w:rsid w:val="216E245D"/>
    <w:rsid w:val="21B616ED"/>
    <w:rsid w:val="21C81536"/>
    <w:rsid w:val="21D5C104"/>
    <w:rsid w:val="21DF8FC3"/>
    <w:rsid w:val="21EE17B4"/>
    <w:rsid w:val="2207FC0D"/>
    <w:rsid w:val="2235A4C8"/>
    <w:rsid w:val="227B4C1B"/>
    <w:rsid w:val="22ACC5C5"/>
    <w:rsid w:val="22C5E56E"/>
    <w:rsid w:val="22E146C9"/>
    <w:rsid w:val="22EF4109"/>
    <w:rsid w:val="22FE61B0"/>
    <w:rsid w:val="231036F0"/>
    <w:rsid w:val="231680D0"/>
    <w:rsid w:val="231CCDC4"/>
    <w:rsid w:val="2334A4DC"/>
    <w:rsid w:val="235AED3D"/>
    <w:rsid w:val="2363E597"/>
    <w:rsid w:val="237D3561"/>
    <w:rsid w:val="238BDE54"/>
    <w:rsid w:val="23957633"/>
    <w:rsid w:val="23BA9C9D"/>
    <w:rsid w:val="23BE823E"/>
    <w:rsid w:val="23C0EAB6"/>
    <w:rsid w:val="23C3AF9E"/>
    <w:rsid w:val="23CDA282"/>
    <w:rsid w:val="23D1B64E"/>
    <w:rsid w:val="23D93F03"/>
    <w:rsid w:val="23FE80FF"/>
    <w:rsid w:val="24032C17"/>
    <w:rsid w:val="242595C7"/>
    <w:rsid w:val="2445785D"/>
    <w:rsid w:val="244B9E8E"/>
    <w:rsid w:val="245D2EBB"/>
    <w:rsid w:val="24629158"/>
    <w:rsid w:val="2467D04A"/>
    <w:rsid w:val="2468A2D4"/>
    <w:rsid w:val="246C98F8"/>
    <w:rsid w:val="2531AD9C"/>
    <w:rsid w:val="255E39EB"/>
    <w:rsid w:val="255EDB8E"/>
    <w:rsid w:val="2563D3BC"/>
    <w:rsid w:val="257B6787"/>
    <w:rsid w:val="257FA9C5"/>
    <w:rsid w:val="2586A1E7"/>
    <w:rsid w:val="259DB2A3"/>
    <w:rsid w:val="259EFC78"/>
    <w:rsid w:val="25AD5D37"/>
    <w:rsid w:val="25C556A4"/>
    <w:rsid w:val="25ED5BF8"/>
    <w:rsid w:val="25F8403C"/>
    <w:rsid w:val="25FA5BC5"/>
    <w:rsid w:val="262EAF2B"/>
    <w:rsid w:val="264BA6A3"/>
    <w:rsid w:val="264F5CB9"/>
    <w:rsid w:val="266245C1"/>
    <w:rsid w:val="26736453"/>
    <w:rsid w:val="267BB7B4"/>
    <w:rsid w:val="26ADE006"/>
    <w:rsid w:val="26D97841"/>
    <w:rsid w:val="26D9E1D0"/>
    <w:rsid w:val="26E0E1EF"/>
    <w:rsid w:val="26F0935A"/>
    <w:rsid w:val="26FA83B6"/>
    <w:rsid w:val="27065DDE"/>
    <w:rsid w:val="271E429D"/>
    <w:rsid w:val="2725EED4"/>
    <w:rsid w:val="2736C9DE"/>
    <w:rsid w:val="273D77CF"/>
    <w:rsid w:val="27425C15"/>
    <w:rsid w:val="27532B5B"/>
    <w:rsid w:val="27728A82"/>
    <w:rsid w:val="279F2D88"/>
    <w:rsid w:val="27B892FB"/>
    <w:rsid w:val="27B96C5D"/>
    <w:rsid w:val="27C4FFC0"/>
    <w:rsid w:val="27C65E60"/>
    <w:rsid w:val="27EDE202"/>
    <w:rsid w:val="27F4305E"/>
    <w:rsid w:val="2803F02A"/>
    <w:rsid w:val="2839CE1C"/>
    <w:rsid w:val="283C8E45"/>
    <w:rsid w:val="2841B65E"/>
    <w:rsid w:val="285EB625"/>
    <w:rsid w:val="28685CBB"/>
    <w:rsid w:val="2881A67A"/>
    <w:rsid w:val="289720C1"/>
    <w:rsid w:val="28B810F3"/>
    <w:rsid w:val="28BA3C02"/>
    <w:rsid w:val="28BD482C"/>
    <w:rsid w:val="28BF11D9"/>
    <w:rsid w:val="28C8527E"/>
    <w:rsid w:val="28EF7DC0"/>
    <w:rsid w:val="291306B8"/>
    <w:rsid w:val="2941240C"/>
    <w:rsid w:val="296C99F7"/>
    <w:rsid w:val="296D9239"/>
    <w:rsid w:val="29811A96"/>
    <w:rsid w:val="2981B01A"/>
    <w:rsid w:val="2988DD82"/>
    <w:rsid w:val="29C3F053"/>
    <w:rsid w:val="29DEC661"/>
    <w:rsid w:val="29E8B4AD"/>
    <w:rsid w:val="29EC05D1"/>
    <w:rsid w:val="2A0741B2"/>
    <w:rsid w:val="2A094236"/>
    <w:rsid w:val="2A1882B1"/>
    <w:rsid w:val="2A2274A2"/>
    <w:rsid w:val="2A23C51A"/>
    <w:rsid w:val="2A27E468"/>
    <w:rsid w:val="2A2F0E69"/>
    <w:rsid w:val="2A697E72"/>
    <w:rsid w:val="2A6DBA76"/>
    <w:rsid w:val="2A850496"/>
    <w:rsid w:val="2A85F959"/>
    <w:rsid w:val="2AB25538"/>
    <w:rsid w:val="2AB70687"/>
    <w:rsid w:val="2AC308E6"/>
    <w:rsid w:val="2AD1298D"/>
    <w:rsid w:val="2AE75D81"/>
    <w:rsid w:val="2AE93811"/>
    <w:rsid w:val="2AF79918"/>
    <w:rsid w:val="2B086A58"/>
    <w:rsid w:val="2B0FB72A"/>
    <w:rsid w:val="2B13D621"/>
    <w:rsid w:val="2B3B90EC"/>
    <w:rsid w:val="2B4449E4"/>
    <w:rsid w:val="2B483B32"/>
    <w:rsid w:val="2B4ABAF9"/>
    <w:rsid w:val="2B6A150C"/>
    <w:rsid w:val="2B6FB66B"/>
    <w:rsid w:val="2BB22E87"/>
    <w:rsid w:val="2BBC7C99"/>
    <w:rsid w:val="2BC3D115"/>
    <w:rsid w:val="2BD76133"/>
    <w:rsid w:val="2BEDF5E5"/>
    <w:rsid w:val="2C2C7DBF"/>
    <w:rsid w:val="2C53C760"/>
    <w:rsid w:val="2C55C895"/>
    <w:rsid w:val="2C6B3973"/>
    <w:rsid w:val="2C88AF5B"/>
    <w:rsid w:val="2C8B92CA"/>
    <w:rsid w:val="2CAF6691"/>
    <w:rsid w:val="2CD51DB2"/>
    <w:rsid w:val="2CD9FAB7"/>
    <w:rsid w:val="2CE1B8D8"/>
    <w:rsid w:val="2CEFC0D5"/>
    <w:rsid w:val="2CFB50D6"/>
    <w:rsid w:val="2D00B71A"/>
    <w:rsid w:val="2D03F92D"/>
    <w:rsid w:val="2D0D98EF"/>
    <w:rsid w:val="2D2491DD"/>
    <w:rsid w:val="2D3E5B4F"/>
    <w:rsid w:val="2D4FFB25"/>
    <w:rsid w:val="2D516987"/>
    <w:rsid w:val="2D74925A"/>
    <w:rsid w:val="2D83F136"/>
    <w:rsid w:val="2D986B10"/>
    <w:rsid w:val="2DBC5CE6"/>
    <w:rsid w:val="2DE445ED"/>
    <w:rsid w:val="2DF9EA3E"/>
    <w:rsid w:val="2E1E0189"/>
    <w:rsid w:val="2E466860"/>
    <w:rsid w:val="2E4B07A4"/>
    <w:rsid w:val="2E4DB191"/>
    <w:rsid w:val="2E4E13C7"/>
    <w:rsid w:val="2E9FC98E"/>
    <w:rsid w:val="2EC96A08"/>
    <w:rsid w:val="2EF56AFA"/>
    <w:rsid w:val="2F26E61F"/>
    <w:rsid w:val="2F2870EB"/>
    <w:rsid w:val="2F405142"/>
    <w:rsid w:val="2F4CF66A"/>
    <w:rsid w:val="2FB6DC7C"/>
    <w:rsid w:val="2FE238C1"/>
    <w:rsid w:val="300F3691"/>
    <w:rsid w:val="3035C14F"/>
    <w:rsid w:val="30510B46"/>
    <w:rsid w:val="308BB719"/>
    <w:rsid w:val="309C644A"/>
    <w:rsid w:val="30B0D0CE"/>
    <w:rsid w:val="30BCA338"/>
    <w:rsid w:val="30C3D498"/>
    <w:rsid w:val="30C9548E"/>
    <w:rsid w:val="30D22224"/>
    <w:rsid w:val="30F43B6A"/>
    <w:rsid w:val="310C0BF4"/>
    <w:rsid w:val="31367648"/>
    <w:rsid w:val="314D856C"/>
    <w:rsid w:val="3158E384"/>
    <w:rsid w:val="315B452D"/>
    <w:rsid w:val="31604EA3"/>
    <w:rsid w:val="316DBB13"/>
    <w:rsid w:val="316F4412"/>
    <w:rsid w:val="317DC6FA"/>
    <w:rsid w:val="31A3EF24"/>
    <w:rsid w:val="31BFFB0B"/>
    <w:rsid w:val="31C60FDB"/>
    <w:rsid w:val="31D8295D"/>
    <w:rsid w:val="31E010D7"/>
    <w:rsid w:val="31EC4696"/>
    <w:rsid w:val="31FA2344"/>
    <w:rsid w:val="31FA4AE6"/>
    <w:rsid w:val="32172A42"/>
    <w:rsid w:val="3245DF03"/>
    <w:rsid w:val="3246A2B7"/>
    <w:rsid w:val="324BFC92"/>
    <w:rsid w:val="325D3769"/>
    <w:rsid w:val="3286295B"/>
    <w:rsid w:val="32900BCB"/>
    <w:rsid w:val="3294B593"/>
    <w:rsid w:val="32B1D638"/>
    <w:rsid w:val="32C3BFA4"/>
    <w:rsid w:val="32D1668A"/>
    <w:rsid w:val="32EC2A9A"/>
    <w:rsid w:val="32F172AC"/>
    <w:rsid w:val="32F30233"/>
    <w:rsid w:val="32FB7ECC"/>
    <w:rsid w:val="3317F3DF"/>
    <w:rsid w:val="3336A5CE"/>
    <w:rsid w:val="33579DDE"/>
    <w:rsid w:val="335AE5E8"/>
    <w:rsid w:val="336F974B"/>
    <w:rsid w:val="33733AB1"/>
    <w:rsid w:val="339C9A2F"/>
    <w:rsid w:val="33BF0748"/>
    <w:rsid w:val="33BF761F"/>
    <w:rsid w:val="33D81CF4"/>
    <w:rsid w:val="34774096"/>
    <w:rsid w:val="3485CFEC"/>
    <w:rsid w:val="3487ED2B"/>
    <w:rsid w:val="34A72AE5"/>
    <w:rsid w:val="34AA0400"/>
    <w:rsid w:val="34C4835A"/>
    <w:rsid w:val="34F36414"/>
    <w:rsid w:val="34F9A57A"/>
    <w:rsid w:val="35011E6F"/>
    <w:rsid w:val="3503DB79"/>
    <w:rsid w:val="35093272"/>
    <w:rsid w:val="350ADE5A"/>
    <w:rsid w:val="352E6BA0"/>
    <w:rsid w:val="35363A1F"/>
    <w:rsid w:val="357E4379"/>
    <w:rsid w:val="358CBC5A"/>
    <w:rsid w:val="35A77503"/>
    <w:rsid w:val="35B5D1FF"/>
    <w:rsid w:val="35D62D5A"/>
    <w:rsid w:val="35F6CE1E"/>
    <w:rsid w:val="3602BDF1"/>
    <w:rsid w:val="360CA6D0"/>
    <w:rsid w:val="360FEB11"/>
    <w:rsid w:val="3621DDB6"/>
    <w:rsid w:val="3627C670"/>
    <w:rsid w:val="3633533E"/>
    <w:rsid w:val="36380528"/>
    <w:rsid w:val="3669ABE2"/>
    <w:rsid w:val="366AE9C4"/>
    <w:rsid w:val="36716E72"/>
    <w:rsid w:val="3673F784"/>
    <w:rsid w:val="36A17596"/>
    <w:rsid w:val="36B78560"/>
    <w:rsid w:val="36C09D61"/>
    <w:rsid w:val="36F53195"/>
    <w:rsid w:val="3719FBD8"/>
    <w:rsid w:val="371A13DA"/>
    <w:rsid w:val="371F3FA3"/>
    <w:rsid w:val="3725F020"/>
    <w:rsid w:val="37434564"/>
    <w:rsid w:val="3758DE29"/>
    <w:rsid w:val="375BE95D"/>
    <w:rsid w:val="37602B6C"/>
    <w:rsid w:val="376E6292"/>
    <w:rsid w:val="378CE8BD"/>
    <w:rsid w:val="37CE7577"/>
    <w:rsid w:val="37ECC0EA"/>
    <w:rsid w:val="37FF52D2"/>
    <w:rsid w:val="38114EE1"/>
    <w:rsid w:val="382B04D6"/>
    <w:rsid w:val="383A4F48"/>
    <w:rsid w:val="3840CB41"/>
    <w:rsid w:val="3840D334"/>
    <w:rsid w:val="38589AC9"/>
    <w:rsid w:val="3859CD2D"/>
    <w:rsid w:val="387D565D"/>
    <w:rsid w:val="38A6138B"/>
    <w:rsid w:val="38A849FC"/>
    <w:rsid w:val="38B5BE20"/>
    <w:rsid w:val="38C04369"/>
    <w:rsid w:val="38CA00F4"/>
    <w:rsid w:val="38D46673"/>
    <w:rsid w:val="38D65E8E"/>
    <w:rsid w:val="38F36F79"/>
    <w:rsid w:val="3913F011"/>
    <w:rsid w:val="391FFC5E"/>
    <w:rsid w:val="39287266"/>
    <w:rsid w:val="3951C3B8"/>
    <w:rsid w:val="39567499"/>
    <w:rsid w:val="3993151B"/>
    <w:rsid w:val="399C7421"/>
    <w:rsid w:val="39A510ED"/>
    <w:rsid w:val="39C7AFDE"/>
    <w:rsid w:val="39F46B2A"/>
    <w:rsid w:val="39F9C8AB"/>
    <w:rsid w:val="3A07DEB1"/>
    <w:rsid w:val="3A0EE76D"/>
    <w:rsid w:val="3A4424F5"/>
    <w:rsid w:val="3A6D78E8"/>
    <w:rsid w:val="3A7036D4"/>
    <w:rsid w:val="3A72866A"/>
    <w:rsid w:val="3A883834"/>
    <w:rsid w:val="3A94AEFE"/>
    <w:rsid w:val="3A998F6E"/>
    <w:rsid w:val="3A9B1DB0"/>
    <w:rsid w:val="3AC34D6E"/>
    <w:rsid w:val="3AE35C34"/>
    <w:rsid w:val="3AE4DFB6"/>
    <w:rsid w:val="3AEE838F"/>
    <w:rsid w:val="3AF06F77"/>
    <w:rsid w:val="3AF5F5A8"/>
    <w:rsid w:val="3B188B06"/>
    <w:rsid w:val="3B20AD31"/>
    <w:rsid w:val="3B2FEF89"/>
    <w:rsid w:val="3B47C722"/>
    <w:rsid w:val="3B67391F"/>
    <w:rsid w:val="3B7B0A83"/>
    <w:rsid w:val="3B8E32BD"/>
    <w:rsid w:val="3B9418AB"/>
    <w:rsid w:val="3BAB9E72"/>
    <w:rsid w:val="3BCF148E"/>
    <w:rsid w:val="3BE062BE"/>
    <w:rsid w:val="3C16EEA3"/>
    <w:rsid w:val="3C1E26B0"/>
    <w:rsid w:val="3C3DF56C"/>
    <w:rsid w:val="3C5370CE"/>
    <w:rsid w:val="3C5AFC12"/>
    <w:rsid w:val="3C5D0AE2"/>
    <w:rsid w:val="3C635EB1"/>
    <w:rsid w:val="3C68AAFF"/>
    <w:rsid w:val="3C755E2A"/>
    <w:rsid w:val="3C7DE57B"/>
    <w:rsid w:val="3C8146FB"/>
    <w:rsid w:val="3C8AFC87"/>
    <w:rsid w:val="3C9AB86B"/>
    <w:rsid w:val="3CC0320D"/>
    <w:rsid w:val="3D07539B"/>
    <w:rsid w:val="3D1CB18F"/>
    <w:rsid w:val="3D1F3065"/>
    <w:rsid w:val="3D24E27C"/>
    <w:rsid w:val="3D32FAF2"/>
    <w:rsid w:val="3D584020"/>
    <w:rsid w:val="3D86669A"/>
    <w:rsid w:val="3D98C07D"/>
    <w:rsid w:val="3DA37839"/>
    <w:rsid w:val="3DA8EB72"/>
    <w:rsid w:val="3DD0F0C6"/>
    <w:rsid w:val="3DD1C63D"/>
    <w:rsid w:val="3DEEDEED"/>
    <w:rsid w:val="3E0425B9"/>
    <w:rsid w:val="3E0A059F"/>
    <w:rsid w:val="3E1AB234"/>
    <w:rsid w:val="3E323489"/>
    <w:rsid w:val="3E3A6134"/>
    <w:rsid w:val="3E4A9FEC"/>
    <w:rsid w:val="3E505FD6"/>
    <w:rsid w:val="3E5C3688"/>
    <w:rsid w:val="3E626688"/>
    <w:rsid w:val="3E9052F1"/>
    <w:rsid w:val="3EB79C9C"/>
    <w:rsid w:val="3EC61F17"/>
    <w:rsid w:val="3ED50232"/>
    <w:rsid w:val="3EE62BFE"/>
    <w:rsid w:val="3F09A9AD"/>
    <w:rsid w:val="3F4AC7B1"/>
    <w:rsid w:val="3F797477"/>
    <w:rsid w:val="3F99BA47"/>
    <w:rsid w:val="3F9C8BC8"/>
    <w:rsid w:val="3FB5CBBC"/>
    <w:rsid w:val="3FCFD7A6"/>
    <w:rsid w:val="3FDEE9CF"/>
    <w:rsid w:val="3FFC70EB"/>
    <w:rsid w:val="40079EA7"/>
    <w:rsid w:val="400F02EE"/>
    <w:rsid w:val="403482B7"/>
    <w:rsid w:val="407A2C83"/>
    <w:rsid w:val="408232B6"/>
    <w:rsid w:val="4089FD0B"/>
    <w:rsid w:val="40EB0839"/>
    <w:rsid w:val="410FB4C5"/>
    <w:rsid w:val="4120D36D"/>
    <w:rsid w:val="4124B8DA"/>
    <w:rsid w:val="4143AD4B"/>
    <w:rsid w:val="415478E3"/>
    <w:rsid w:val="41B00823"/>
    <w:rsid w:val="41D91130"/>
    <w:rsid w:val="41E0EE6A"/>
    <w:rsid w:val="41E1C964"/>
    <w:rsid w:val="42222D89"/>
    <w:rsid w:val="42401C7A"/>
    <w:rsid w:val="42666D86"/>
    <w:rsid w:val="426E91F1"/>
    <w:rsid w:val="4272EEB2"/>
    <w:rsid w:val="427B48B9"/>
    <w:rsid w:val="42A1D233"/>
    <w:rsid w:val="42BC9DE8"/>
    <w:rsid w:val="42BEC79B"/>
    <w:rsid w:val="42C9D787"/>
    <w:rsid w:val="42D228B9"/>
    <w:rsid w:val="42DB4FC7"/>
    <w:rsid w:val="42E1510D"/>
    <w:rsid w:val="42E1D0F4"/>
    <w:rsid w:val="42EE53E5"/>
    <w:rsid w:val="43448FEE"/>
    <w:rsid w:val="4344A878"/>
    <w:rsid w:val="4369D031"/>
    <w:rsid w:val="43814CCB"/>
    <w:rsid w:val="43982D69"/>
    <w:rsid w:val="43D7090A"/>
    <w:rsid w:val="43E8BCD1"/>
    <w:rsid w:val="43FDF093"/>
    <w:rsid w:val="4401C720"/>
    <w:rsid w:val="440A0E9D"/>
    <w:rsid w:val="442A8D4A"/>
    <w:rsid w:val="44353FFC"/>
    <w:rsid w:val="444CF887"/>
    <w:rsid w:val="44529E9C"/>
    <w:rsid w:val="446ABC1D"/>
    <w:rsid w:val="447EE532"/>
    <w:rsid w:val="4486CC6A"/>
    <w:rsid w:val="44907A5B"/>
    <w:rsid w:val="44CA91C8"/>
    <w:rsid w:val="44DD2BFF"/>
    <w:rsid w:val="44FBED9F"/>
    <w:rsid w:val="450ADC0D"/>
    <w:rsid w:val="451CF7EF"/>
    <w:rsid w:val="4534A3AC"/>
    <w:rsid w:val="455B5766"/>
    <w:rsid w:val="4564E747"/>
    <w:rsid w:val="45703CCF"/>
    <w:rsid w:val="457A8CBC"/>
    <w:rsid w:val="4587F4A5"/>
    <w:rsid w:val="459E81C7"/>
    <w:rsid w:val="45A0A90E"/>
    <w:rsid w:val="45BD30A6"/>
    <w:rsid w:val="45BD7BBD"/>
    <w:rsid w:val="45C455FE"/>
    <w:rsid w:val="45C48CF7"/>
    <w:rsid w:val="45CC7F93"/>
    <w:rsid w:val="45E0BECB"/>
    <w:rsid w:val="45EE6EFD"/>
    <w:rsid w:val="4601DE58"/>
    <w:rsid w:val="460D60E3"/>
    <w:rsid w:val="46359908"/>
    <w:rsid w:val="465A1287"/>
    <w:rsid w:val="4665E663"/>
    <w:rsid w:val="46662A46"/>
    <w:rsid w:val="4669D646"/>
    <w:rsid w:val="4689913B"/>
    <w:rsid w:val="46983363"/>
    <w:rsid w:val="46AA5000"/>
    <w:rsid w:val="46B0C513"/>
    <w:rsid w:val="46B34C13"/>
    <w:rsid w:val="470337AF"/>
    <w:rsid w:val="470F070F"/>
    <w:rsid w:val="471300BD"/>
    <w:rsid w:val="4732C46F"/>
    <w:rsid w:val="4749BB33"/>
    <w:rsid w:val="474B950F"/>
    <w:rsid w:val="4754D461"/>
    <w:rsid w:val="4755D996"/>
    <w:rsid w:val="4760265F"/>
    <w:rsid w:val="47681EA7"/>
    <w:rsid w:val="477E3CBC"/>
    <w:rsid w:val="47A80312"/>
    <w:rsid w:val="47AC2DE0"/>
    <w:rsid w:val="47B2FB0F"/>
    <w:rsid w:val="47F1CF1C"/>
    <w:rsid w:val="47F7421C"/>
    <w:rsid w:val="47F82195"/>
    <w:rsid w:val="481B1CE4"/>
    <w:rsid w:val="485F20F2"/>
    <w:rsid w:val="48C8684C"/>
    <w:rsid w:val="48CD7D8E"/>
    <w:rsid w:val="48ECD7A1"/>
    <w:rsid w:val="49176CAB"/>
    <w:rsid w:val="492BDF6C"/>
    <w:rsid w:val="49654CA7"/>
    <w:rsid w:val="498E03FA"/>
    <w:rsid w:val="49A2EEDF"/>
    <w:rsid w:val="49D8CC3F"/>
    <w:rsid w:val="49F041D4"/>
    <w:rsid w:val="49F3DAA2"/>
    <w:rsid w:val="49FC356F"/>
    <w:rsid w:val="4A4C99BD"/>
    <w:rsid w:val="4A51C4BC"/>
    <w:rsid w:val="4A6D3241"/>
    <w:rsid w:val="4A7C59C6"/>
    <w:rsid w:val="4A835B9F"/>
    <w:rsid w:val="4A864A22"/>
    <w:rsid w:val="4A8F8DD6"/>
    <w:rsid w:val="4AAEE3DC"/>
    <w:rsid w:val="4AB3344D"/>
    <w:rsid w:val="4AC31967"/>
    <w:rsid w:val="4AD15281"/>
    <w:rsid w:val="4AFE05BD"/>
    <w:rsid w:val="4B1C1821"/>
    <w:rsid w:val="4B26486A"/>
    <w:rsid w:val="4B29D45B"/>
    <w:rsid w:val="4B2F6C83"/>
    <w:rsid w:val="4B4D0601"/>
    <w:rsid w:val="4B749CA0"/>
    <w:rsid w:val="4B7805F0"/>
    <w:rsid w:val="4B780944"/>
    <w:rsid w:val="4B7FC3F9"/>
    <w:rsid w:val="4B938E86"/>
    <w:rsid w:val="4BA7C116"/>
    <w:rsid w:val="4BA8955A"/>
    <w:rsid w:val="4BAB7BB8"/>
    <w:rsid w:val="4BC27751"/>
    <w:rsid w:val="4BC78AAD"/>
    <w:rsid w:val="4BD453F9"/>
    <w:rsid w:val="4C03E753"/>
    <w:rsid w:val="4C24833E"/>
    <w:rsid w:val="4C6142A7"/>
    <w:rsid w:val="4C693256"/>
    <w:rsid w:val="4C70DF5F"/>
    <w:rsid w:val="4C817D9A"/>
    <w:rsid w:val="4CAB3380"/>
    <w:rsid w:val="4CB97C5B"/>
    <w:rsid w:val="4CC2FA1C"/>
    <w:rsid w:val="4CD630B1"/>
    <w:rsid w:val="4D0637DE"/>
    <w:rsid w:val="4D11B8AD"/>
    <w:rsid w:val="4D299024"/>
    <w:rsid w:val="4D34EE8D"/>
    <w:rsid w:val="4D51E028"/>
    <w:rsid w:val="4D578ED5"/>
    <w:rsid w:val="4D768C78"/>
    <w:rsid w:val="4DB65679"/>
    <w:rsid w:val="4DEB8114"/>
    <w:rsid w:val="4E197C41"/>
    <w:rsid w:val="4E257D6C"/>
    <w:rsid w:val="4E2671AE"/>
    <w:rsid w:val="4E3B4E18"/>
    <w:rsid w:val="4E3CB48F"/>
    <w:rsid w:val="4E4816EF"/>
    <w:rsid w:val="4E584BB1"/>
    <w:rsid w:val="4E701651"/>
    <w:rsid w:val="4E99407A"/>
    <w:rsid w:val="4E99DDD6"/>
    <w:rsid w:val="4EBC2B13"/>
    <w:rsid w:val="4ED9FCA7"/>
    <w:rsid w:val="4F034B4A"/>
    <w:rsid w:val="4F1E54CA"/>
    <w:rsid w:val="4F2DCE12"/>
    <w:rsid w:val="4F439CD9"/>
    <w:rsid w:val="4F44DD36"/>
    <w:rsid w:val="4F484305"/>
    <w:rsid w:val="4F62A4EA"/>
    <w:rsid w:val="4F6DA558"/>
    <w:rsid w:val="4F715C95"/>
    <w:rsid w:val="4F73308C"/>
    <w:rsid w:val="4F846B63"/>
    <w:rsid w:val="4FA0D318"/>
    <w:rsid w:val="4FAFE7A2"/>
    <w:rsid w:val="4FD6F640"/>
    <w:rsid w:val="4FDF8AFF"/>
    <w:rsid w:val="4FF3B50A"/>
    <w:rsid w:val="504624D6"/>
    <w:rsid w:val="50563E12"/>
    <w:rsid w:val="5085E175"/>
    <w:rsid w:val="508BDECA"/>
    <w:rsid w:val="50ABEE8B"/>
    <w:rsid w:val="50D9F0EB"/>
    <w:rsid w:val="50DD41DF"/>
    <w:rsid w:val="50F616F4"/>
    <w:rsid w:val="50FD6D99"/>
    <w:rsid w:val="510A88FD"/>
    <w:rsid w:val="5130F4C9"/>
    <w:rsid w:val="51376B1A"/>
    <w:rsid w:val="5146F830"/>
    <w:rsid w:val="514FE9F3"/>
    <w:rsid w:val="519D0AC0"/>
    <w:rsid w:val="51A0BE7C"/>
    <w:rsid w:val="51D5CA95"/>
    <w:rsid w:val="51D8D278"/>
    <w:rsid w:val="51E1DF64"/>
    <w:rsid w:val="520A7302"/>
    <w:rsid w:val="5238E801"/>
    <w:rsid w:val="5247A108"/>
    <w:rsid w:val="524BDE1C"/>
    <w:rsid w:val="524CBC50"/>
    <w:rsid w:val="5291F02B"/>
    <w:rsid w:val="52D873DA"/>
    <w:rsid w:val="52DE5FAD"/>
    <w:rsid w:val="52ED08B0"/>
    <w:rsid w:val="53061608"/>
    <w:rsid w:val="533DD08C"/>
    <w:rsid w:val="537B5A2F"/>
    <w:rsid w:val="53899349"/>
    <w:rsid w:val="539EBBBF"/>
    <w:rsid w:val="53BBB287"/>
    <w:rsid w:val="53C2B543"/>
    <w:rsid w:val="53D3E096"/>
    <w:rsid w:val="53D866DC"/>
    <w:rsid w:val="53D89D90"/>
    <w:rsid w:val="53D8DCAC"/>
    <w:rsid w:val="5400D438"/>
    <w:rsid w:val="5424382B"/>
    <w:rsid w:val="543C6469"/>
    <w:rsid w:val="545B58DA"/>
    <w:rsid w:val="5479A0A3"/>
    <w:rsid w:val="54904805"/>
    <w:rsid w:val="54AAE6F4"/>
    <w:rsid w:val="54C39815"/>
    <w:rsid w:val="54D246E1"/>
    <w:rsid w:val="54DE0570"/>
    <w:rsid w:val="54EF1D9E"/>
    <w:rsid w:val="54F1D482"/>
    <w:rsid w:val="54FAA4DC"/>
    <w:rsid w:val="55014BF5"/>
    <w:rsid w:val="5508208A"/>
    <w:rsid w:val="55179677"/>
    <w:rsid w:val="5526D5BC"/>
    <w:rsid w:val="55357AFF"/>
    <w:rsid w:val="5556D811"/>
    <w:rsid w:val="55746DF1"/>
    <w:rsid w:val="5575C2C5"/>
    <w:rsid w:val="557AFCDA"/>
    <w:rsid w:val="5585A571"/>
    <w:rsid w:val="55B44682"/>
    <w:rsid w:val="55D81A85"/>
    <w:rsid w:val="56017052"/>
    <w:rsid w:val="5604E3B6"/>
    <w:rsid w:val="5615D5AB"/>
    <w:rsid w:val="562A503C"/>
    <w:rsid w:val="56318FCC"/>
    <w:rsid w:val="563E40A1"/>
    <w:rsid w:val="5645D836"/>
    <w:rsid w:val="56465C25"/>
    <w:rsid w:val="568C9C22"/>
    <w:rsid w:val="5699C1ED"/>
    <w:rsid w:val="569D1C56"/>
    <w:rsid w:val="56A42B83"/>
    <w:rsid w:val="56BAB897"/>
    <w:rsid w:val="56CE8EB7"/>
    <w:rsid w:val="56D9745B"/>
    <w:rsid w:val="56F669EC"/>
    <w:rsid w:val="573C50F9"/>
    <w:rsid w:val="574B4776"/>
    <w:rsid w:val="5763173E"/>
    <w:rsid w:val="5781FBE1"/>
    <w:rsid w:val="578B017E"/>
    <w:rsid w:val="579707ED"/>
    <w:rsid w:val="57971A21"/>
    <w:rsid w:val="579AAA26"/>
    <w:rsid w:val="57A21A20"/>
    <w:rsid w:val="57A6DEC9"/>
    <w:rsid w:val="57AE205A"/>
    <w:rsid w:val="57D7E5F3"/>
    <w:rsid w:val="5823D7E6"/>
    <w:rsid w:val="5854A141"/>
    <w:rsid w:val="585E767E"/>
    <w:rsid w:val="587E0187"/>
    <w:rsid w:val="58A922C1"/>
    <w:rsid w:val="58AAECA0"/>
    <w:rsid w:val="58B13886"/>
    <w:rsid w:val="58B29D9C"/>
    <w:rsid w:val="58C06161"/>
    <w:rsid w:val="58C5377A"/>
    <w:rsid w:val="58E8E7AB"/>
    <w:rsid w:val="58FE62D3"/>
    <w:rsid w:val="590131AF"/>
    <w:rsid w:val="59084DA8"/>
    <w:rsid w:val="5924FE82"/>
    <w:rsid w:val="59538866"/>
    <w:rsid w:val="596CA2D8"/>
    <w:rsid w:val="597ED4A5"/>
    <w:rsid w:val="599A0C7F"/>
    <w:rsid w:val="59A1A5CA"/>
    <w:rsid w:val="59A2EBDE"/>
    <w:rsid w:val="59B55904"/>
    <w:rsid w:val="59BACE27"/>
    <w:rsid w:val="59D7BA88"/>
    <w:rsid w:val="59DBA800"/>
    <w:rsid w:val="59DBCC45"/>
    <w:rsid w:val="59E4AB6F"/>
    <w:rsid w:val="59ED071C"/>
    <w:rsid w:val="59F18301"/>
    <w:rsid w:val="59FA46DF"/>
    <w:rsid w:val="5A4367EE"/>
    <w:rsid w:val="5A5A3984"/>
    <w:rsid w:val="5A6107DB"/>
    <w:rsid w:val="5A7594D2"/>
    <w:rsid w:val="5AAEF5FB"/>
    <w:rsid w:val="5AB56C18"/>
    <w:rsid w:val="5ABF8A92"/>
    <w:rsid w:val="5AE8FC72"/>
    <w:rsid w:val="5AEB3D2D"/>
    <w:rsid w:val="5AF0724B"/>
    <w:rsid w:val="5B0A7442"/>
    <w:rsid w:val="5B184EDD"/>
    <w:rsid w:val="5B2013D1"/>
    <w:rsid w:val="5B26B702"/>
    <w:rsid w:val="5B2941F8"/>
    <w:rsid w:val="5B3BE294"/>
    <w:rsid w:val="5B54CA64"/>
    <w:rsid w:val="5B5870AB"/>
    <w:rsid w:val="5B7E4719"/>
    <w:rsid w:val="5B91E394"/>
    <w:rsid w:val="5B92ADF0"/>
    <w:rsid w:val="5BCBAD0A"/>
    <w:rsid w:val="5BCFFF30"/>
    <w:rsid w:val="5BD6D5BA"/>
    <w:rsid w:val="5BE5291D"/>
    <w:rsid w:val="5BF50870"/>
    <w:rsid w:val="5BFCD83C"/>
    <w:rsid w:val="5C087E44"/>
    <w:rsid w:val="5C1ADCE6"/>
    <w:rsid w:val="5C3E56D5"/>
    <w:rsid w:val="5C660618"/>
    <w:rsid w:val="5C823A03"/>
    <w:rsid w:val="5C982630"/>
    <w:rsid w:val="5C99E579"/>
    <w:rsid w:val="5C9BE1AC"/>
    <w:rsid w:val="5CB579DA"/>
    <w:rsid w:val="5CD9468C"/>
    <w:rsid w:val="5CDC0B99"/>
    <w:rsid w:val="5CF4AEAE"/>
    <w:rsid w:val="5CFCC6E7"/>
    <w:rsid w:val="5D136D07"/>
    <w:rsid w:val="5D252C0C"/>
    <w:rsid w:val="5D2D8A3F"/>
    <w:rsid w:val="5D2DABB8"/>
    <w:rsid w:val="5D36D8F8"/>
    <w:rsid w:val="5D47C64C"/>
    <w:rsid w:val="5D48B5DF"/>
    <w:rsid w:val="5D5D4AB5"/>
    <w:rsid w:val="5D7109E3"/>
    <w:rsid w:val="5D7A8097"/>
    <w:rsid w:val="5D8C8CF2"/>
    <w:rsid w:val="5D98A89D"/>
    <w:rsid w:val="5DB8B3A4"/>
    <w:rsid w:val="5DC92E33"/>
    <w:rsid w:val="5DEDD639"/>
    <w:rsid w:val="5DFB8B45"/>
    <w:rsid w:val="5E145F71"/>
    <w:rsid w:val="5E17BCEB"/>
    <w:rsid w:val="5E1EF834"/>
    <w:rsid w:val="5E421504"/>
    <w:rsid w:val="5E48A2BA"/>
    <w:rsid w:val="5E54AE40"/>
    <w:rsid w:val="5EAEB9C0"/>
    <w:rsid w:val="5EB57233"/>
    <w:rsid w:val="5EE69862"/>
    <w:rsid w:val="5EEC9BFD"/>
    <w:rsid w:val="5EF6958B"/>
    <w:rsid w:val="5F212A95"/>
    <w:rsid w:val="5F2AAA4C"/>
    <w:rsid w:val="5F30586B"/>
    <w:rsid w:val="5F895456"/>
    <w:rsid w:val="600154D1"/>
    <w:rsid w:val="6010E74E"/>
    <w:rsid w:val="603E50EC"/>
    <w:rsid w:val="605C48A0"/>
    <w:rsid w:val="6084E922"/>
    <w:rsid w:val="6085764F"/>
    <w:rsid w:val="608F10C8"/>
    <w:rsid w:val="60915A3D"/>
    <w:rsid w:val="6093223C"/>
    <w:rsid w:val="60994BC0"/>
    <w:rsid w:val="60D42C1F"/>
    <w:rsid w:val="60FB0179"/>
    <w:rsid w:val="612524B7"/>
    <w:rsid w:val="6137C18F"/>
    <w:rsid w:val="614964D8"/>
    <w:rsid w:val="616DC8A3"/>
    <w:rsid w:val="61887B2C"/>
    <w:rsid w:val="61B7F0A7"/>
    <w:rsid w:val="61CDFCAB"/>
    <w:rsid w:val="61D9C848"/>
    <w:rsid w:val="61DD19C8"/>
    <w:rsid w:val="61E6D554"/>
    <w:rsid w:val="61E6DE2A"/>
    <w:rsid w:val="61EACA67"/>
    <w:rsid w:val="62000687"/>
    <w:rsid w:val="6201EF74"/>
    <w:rsid w:val="6203CC23"/>
    <w:rsid w:val="620558C4"/>
    <w:rsid w:val="620B24A9"/>
    <w:rsid w:val="620B74B8"/>
    <w:rsid w:val="6218351E"/>
    <w:rsid w:val="6221E004"/>
    <w:rsid w:val="6256950D"/>
    <w:rsid w:val="627CE02F"/>
    <w:rsid w:val="6297DE1C"/>
    <w:rsid w:val="62C8257A"/>
    <w:rsid w:val="62EEA1CF"/>
    <w:rsid w:val="62EFE65B"/>
    <w:rsid w:val="6321EDAD"/>
    <w:rsid w:val="63558DC4"/>
    <w:rsid w:val="635EBA9A"/>
    <w:rsid w:val="6366852D"/>
    <w:rsid w:val="637B9F5E"/>
    <w:rsid w:val="639260D3"/>
    <w:rsid w:val="63B4FB57"/>
    <w:rsid w:val="63B7F763"/>
    <w:rsid w:val="63CAE201"/>
    <w:rsid w:val="63CBC1FC"/>
    <w:rsid w:val="63D6D79D"/>
    <w:rsid w:val="63E44DC8"/>
    <w:rsid w:val="63E7FF9D"/>
    <w:rsid w:val="63EAC3FB"/>
    <w:rsid w:val="63F7B3BC"/>
    <w:rsid w:val="640D3E4C"/>
    <w:rsid w:val="644EC1B7"/>
    <w:rsid w:val="645CC579"/>
    <w:rsid w:val="64629B5E"/>
    <w:rsid w:val="64792D2E"/>
    <w:rsid w:val="648B7B48"/>
    <w:rsid w:val="648C9314"/>
    <w:rsid w:val="6495C352"/>
    <w:rsid w:val="64982E2B"/>
    <w:rsid w:val="64A68EEA"/>
    <w:rsid w:val="64B78EB9"/>
    <w:rsid w:val="64C5E8FD"/>
    <w:rsid w:val="64D81AB1"/>
    <w:rsid w:val="64E274F6"/>
    <w:rsid w:val="64E2DE97"/>
    <w:rsid w:val="6518508A"/>
    <w:rsid w:val="651F2065"/>
    <w:rsid w:val="653459D1"/>
    <w:rsid w:val="653574F6"/>
    <w:rsid w:val="653CF986"/>
    <w:rsid w:val="653DFB84"/>
    <w:rsid w:val="6540BB80"/>
    <w:rsid w:val="6553C7C4"/>
    <w:rsid w:val="657CFB9B"/>
    <w:rsid w:val="6581F3C9"/>
    <w:rsid w:val="6595878A"/>
    <w:rsid w:val="65992D85"/>
    <w:rsid w:val="65ADA1EF"/>
    <w:rsid w:val="65B47CB4"/>
    <w:rsid w:val="65C17501"/>
    <w:rsid w:val="65C327CE"/>
    <w:rsid w:val="65C63201"/>
    <w:rsid w:val="65D72970"/>
    <w:rsid w:val="65DBAF0F"/>
    <w:rsid w:val="661274AE"/>
    <w:rsid w:val="66140008"/>
    <w:rsid w:val="663DA486"/>
    <w:rsid w:val="66677B09"/>
    <w:rsid w:val="66704FA4"/>
    <w:rsid w:val="667221B5"/>
    <w:rsid w:val="66A1D323"/>
    <w:rsid w:val="66B4E615"/>
    <w:rsid w:val="66BA4F4D"/>
    <w:rsid w:val="66EF9825"/>
    <w:rsid w:val="67185746"/>
    <w:rsid w:val="67509E12"/>
    <w:rsid w:val="6768E13C"/>
    <w:rsid w:val="678F58E1"/>
    <w:rsid w:val="679976F5"/>
    <w:rsid w:val="67AB76F7"/>
    <w:rsid w:val="67B427EF"/>
    <w:rsid w:val="67C6CBFB"/>
    <w:rsid w:val="67C93282"/>
    <w:rsid w:val="67E29062"/>
    <w:rsid w:val="67E3CAA9"/>
    <w:rsid w:val="6820B3F8"/>
    <w:rsid w:val="6827322B"/>
    <w:rsid w:val="682F4206"/>
    <w:rsid w:val="68362DDB"/>
    <w:rsid w:val="684C5B4C"/>
    <w:rsid w:val="684F1081"/>
    <w:rsid w:val="68571DFF"/>
    <w:rsid w:val="6860C42E"/>
    <w:rsid w:val="686F0DF6"/>
    <w:rsid w:val="6896F350"/>
    <w:rsid w:val="68D34616"/>
    <w:rsid w:val="68EB4C89"/>
    <w:rsid w:val="68ED84DA"/>
    <w:rsid w:val="68FC49D8"/>
    <w:rsid w:val="690C5E10"/>
    <w:rsid w:val="69360C81"/>
    <w:rsid w:val="6940802A"/>
    <w:rsid w:val="696ABD74"/>
    <w:rsid w:val="69727829"/>
    <w:rsid w:val="6974C515"/>
    <w:rsid w:val="698A6D04"/>
    <w:rsid w:val="698F69C4"/>
    <w:rsid w:val="69977236"/>
    <w:rsid w:val="699FC3D0"/>
    <w:rsid w:val="69AC288E"/>
    <w:rsid w:val="69B120BC"/>
    <w:rsid w:val="6A047639"/>
    <w:rsid w:val="6A2DF615"/>
    <w:rsid w:val="6A6516C4"/>
    <w:rsid w:val="6A6A512E"/>
    <w:rsid w:val="6A8A94A4"/>
    <w:rsid w:val="6AA18D14"/>
    <w:rsid w:val="6AAE272B"/>
    <w:rsid w:val="6AB59B77"/>
    <w:rsid w:val="6AC98F04"/>
    <w:rsid w:val="6AC9C1D5"/>
    <w:rsid w:val="6AD1DCE2"/>
    <w:rsid w:val="6AE0EC3A"/>
    <w:rsid w:val="6B1135C4"/>
    <w:rsid w:val="6B165069"/>
    <w:rsid w:val="6B3077FB"/>
    <w:rsid w:val="6B5151D3"/>
    <w:rsid w:val="6B7BCC0A"/>
    <w:rsid w:val="6B7E0FAC"/>
    <w:rsid w:val="6B8EBD42"/>
    <w:rsid w:val="6B9E5C8B"/>
    <w:rsid w:val="6C07CCF9"/>
    <w:rsid w:val="6C1F9395"/>
    <w:rsid w:val="6C23F1F6"/>
    <w:rsid w:val="6C3909C5"/>
    <w:rsid w:val="6C3EEDA8"/>
    <w:rsid w:val="6C569C87"/>
    <w:rsid w:val="6C589E53"/>
    <w:rsid w:val="6C6DAD43"/>
    <w:rsid w:val="6C7A7436"/>
    <w:rsid w:val="6C7DA239"/>
    <w:rsid w:val="6CC847EB"/>
    <w:rsid w:val="6CF53087"/>
    <w:rsid w:val="6D12525C"/>
    <w:rsid w:val="6D333255"/>
    <w:rsid w:val="6D61A65B"/>
    <w:rsid w:val="6D6A1CDF"/>
    <w:rsid w:val="6D6A6473"/>
    <w:rsid w:val="6D701480"/>
    <w:rsid w:val="6D91117E"/>
    <w:rsid w:val="6D94BF68"/>
    <w:rsid w:val="6DB3C545"/>
    <w:rsid w:val="6DBBD430"/>
    <w:rsid w:val="6DF46EB4"/>
    <w:rsid w:val="6E105825"/>
    <w:rsid w:val="6E3F82E1"/>
    <w:rsid w:val="6E4A610D"/>
    <w:rsid w:val="6E63E3E0"/>
    <w:rsid w:val="6E6B5EEA"/>
    <w:rsid w:val="6E7BF81E"/>
    <w:rsid w:val="6E9673AF"/>
    <w:rsid w:val="6E9B2973"/>
    <w:rsid w:val="6EAF5C5A"/>
    <w:rsid w:val="6EB94F0D"/>
    <w:rsid w:val="6ED148B5"/>
    <w:rsid w:val="6ED1DA00"/>
    <w:rsid w:val="6F07F55E"/>
    <w:rsid w:val="6F0B121E"/>
    <w:rsid w:val="6F0EE1D2"/>
    <w:rsid w:val="6F19FED9"/>
    <w:rsid w:val="6F1AB3E7"/>
    <w:rsid w:val="6F2C5D1D"/>
    <w:rsid w:val="6F311CFE"/>
    <w:rsid w:val="6F4349B4"/>
    <w:rsid w:val="6F4B5655"/>
    <w:rsid w:val="6F504E83"/>
    <w:rsid w:val="6F55050C"/>
    <w:rsid w:val="6F79D678"/>
    <w:rsid w:val="6F8B49C3"/>
    <w:rsid w:val="6FA54E05"/>
    <w:rsid w:val="6FAD15EC"/>
    <w:rsid w:val="6FD04C05"/>
    <w:rsid w:val="6FF6FFDE"/>
    <w:rsid w:val="70151023"/>
    <w:rsid w:val="70303FCB"/>
    <w:rsid w:val="7037D553"/>
    <w:rsid w:val="703E5FBB"/>
    <w:rsid w:val="7046FF9B"/>
    <w:rsid w:val="7059E9D8"/>
    <w:rsid w:val="7082003C"/>
    <w:rsid w:val="708F63AC"/>
    <w:rsid w:val="70A3F62F"/>
    <w:rsid w:val="70A420F3"/>
    <w:rsid w:val="70CD9117"/>
    <w:rsid w:val="70DD73C3"/>
    <w:rsid w:val="71231181"/>
    <w:rsid w:val="7134BCFC"/>
    <w:rsid w:val="713578EA"/>
    <w:rsid w:val="713ED585"/>
    <w:rsid w:val="714D6BAC"/>
    <w:rsid w:val="715D9C09"/>
    <w:rsid w:val="715E4B2B"/>
    <w:rsid w:val="7169978B"/>
    <w:rsid w:val="716B78C1"/>
    <w:rsid w:val="7172B1F9"/>
    <w:rsid w:val="719005A3"/>
    <w:rsid w:val="71AAF5F8"/>
    <w:rsid w:val="71B81664"/>
    <w:rsid w:val="71FB2B18"/>
    <w:rsid w:val="71FDE04D"/>
    <w:rsid w:val="720E411A"/>
    <w:rsid w:val="721C24C1"/>
    <w:rsid w:val="7242EEB7"/>
    <w:rsid w:val="7262B452"/>
    <w:rsid w:val="726FC402"/>
    <w:rsid w:val="7273E5DF"/>
    <w:rsid w:val="728E3594"/>
    <w:rsid w:val="72C0FE34"/>
    <w:rsid w:val="72C1E4F6"/>
    <w:rsid w:val="72C69C97"/>
    <w:rsid w:val="72CC616F"/>
    <w:rsid w:val="72CDCB91"/>
    <w:rsid w:val="72D8D4B2"/>
    <w:rsid w:val="72DCEEC7"/>
    <w:rsid w:val="72DF4FFB"/>
    <w:rsid w:val="72FDD7C8"/>
    <w:rsid w:val="731AC0A5"/>
    <w:rsid w:val="73962987"/>
    <w:rsid w:val="7398D255"/>
    <w:rsid w:val="739FF8E6"/>
    <w:rsid w:val="73ACF1B0"/>
    <w:rsid w:val="73BAB4DA"/>
    <w:rsid w:val="73D04238"/>
    <w:rsid w:val="73DD8F2F"/>
    <w:rsid w:val="73E7438A"/>
    <w:rsid w:val="7405A62D"/>
    <w:rsid w:val="741D7B4B"/>
    <w:rsid w:val="7429F374"/>
    <w:rsid w:val="74394670"/>
    <w:rsid w:val="7448C473"/>
    <w:rsid w:val="7457BE50"/>
    <w:rsid w:val="74626CF8"/>
    <w:rsid w:val="74704239"/>
    <w:rsid w:val="74736CEB"/>
    <w:rsid w:val="7478BF28"/>
    <w:rsid w:val="748A4CC3"/>
    <w:rsid w:val="7494E1A9"/>
    <w:rsid w:val="749B48A6"/>
    <w:rsid w:val="749B4A02"/>
    <w:rsid w:val="74C8BFFA"/>
    <w:rsid w:val="74D93EAD"/>
    <w:rsid w:val="74DA00E9"/>
    <w:rsid w:val="74F52189"/>
    <w:rsid w:val="7547DA1A"/>
    <w:rsid w:val="7572EEC2"/>
    <w:rsid w:val="75736B43"/>
    <w:rsid w:val="75745F55"/>
    <w:rsid w:val="75A214E8"/>
    <w:rsid w:val="75A69A7B"/>
    <w:rsid w:val="75EE3F2E"/>
    <w:rsid w:val="75F19161"/>
    <w:rsid w:val="76148F89"/>
    <w:rsid w:val="761B7C4F"/>
    <w:rsid w:val="76391240"/>
    <w:rsid w:val="763AA617"/>
    <w:rsid w:val="7640E020"/>
    <w:rsid w:val="76425716"/>
    <w:rsid w:val="765E46F2"/>
    <w:rsid w:val="76612B6E"/>
    <w:rsid w:val="7672C9BA"/>
    <w:rsid w:val="768D8A77"/>
    <w:rsid w:val="76F141C0"/>
    <w:rsid w:val="76F3E98C"/>
    <w:rsid w:val="7726438A"/>
    <w:rsid w:val="772CC4B7"/>
    <w:rsid w:val="772D8627"/>
    <w:rsid w:val="773BAD41"/>
    <w:rsid w:val="77764E32"/>
    <w:rsid w:val="7782C83F"/>
    <w:rsid w:val="77A673DD"/>
    <w:rsid w:val="77AD6EE1"/>
    <w:rsid w:val="77C98847"/>
    <w:rsid w:val="77CC275A"/>
    <w:rsid w:val="77DD172D"/>
    <w:rsid w:val="77DF66F2"/>
    <w:rsid w:val="7802450A"/>
    <w:rsid w:val="7811E721"/>
    <w:rsid w:val="7834D277"/>
    <w:rsid w:val="783E52A7"/>
    <w:rsid w:val="786D7A7B"/>
    <w:rsid w:val="7873E9C4"/>
    <w:rsid w:val="787ACD10"/>
    <w:rsid w:val="7893AD96"/>
    <w:rsid w:val="78A18C50"/>
    <w:rsid w:val="78A78FB1"/>
    <w:rsid w:val="78EFC816"/>
    <w:rsid w:val="79030D39"/>
    <w:rsid w:val="79101CF1"/>
    <w:rsid w:val="792A5569"/>
    <w:rsid w:val="79321547"/>
    <w:rsid w:val="7933991D"/>
    <w:rsid w:val="793D19AC"/>
    <w:rsid w:val="7967EBB2"/>
    <w:rsid w:val="7977ABE7"/>
    <w:rsid w:val="79954F43"/>
    <w:rsid w:val="79A99B3A"/>
    <w:rsid w:val="79AC726D"/>
    <w:rsid w:val="79C4A768"/>
    <w:rsid w:val="79CABC1F"/>
    <w:rsid w:val="79E2F033"/>
    <w:rsid w:val="79E4B44D"/>
    <w:rsid w:val="79FBC9EC"/>
    <w:rsid w:val="79FE6603"/>
    <w:rsid w:val="7A0840BA"/>
    <w:rsid w:val="7A0EE59A"/>
    <w:rsid w:val="7A1D74CB"/>
    <w:rsid w:val="7A6B19E4"/>
    <w:rsid w:val="7A77F405"/>
    <w:rsid w:val="7A808CCB"/>
    <w:rsid w:val="7AB9106D"/>
    <w:rsid w:val="7AD0EFF0"/>
    <w:rsid w:val="7ADB9F42"/>
    <w:rsid w:val="7AE22AC7"/>
    <w:rsid w:val="7AF0622D"/>
    <w:rsid w:val="7AF06CE0"/>
    <w:rsid w:val="7B22CAAC"/>
    <w:rsid w:val="7B55CF46"/>
    <w:rsid w:val="7B7BC07E"/>
    <w:rsid w:val="7B7CE43D"/>
    <w:rsid w:val="7B951F30"/>
    <w:rsid w:val="7B9EAA62"/>
    <w:rsid w:val="7BA20D5E"/>
    <w:rsid w:val="7BB26DD2"/>
    <w:rsid w:val="7BCB4E58"/>
    <w:rsid w:val="7BD72B5F"/>
    <w:rsid w:val="7BD92D12"/>
    <w:rsid w:val="7C03F5A5"/>
    <w:rsid w:val="7C127768"/>
    <w:rsid w:val="7C25AB78"/>
    <w:rsid w:val="7C28F828"/>
    <w:rsid w:val="7C3723B8"/>
    <w:rsid w:val="7C38CA26"/>
    <w:rsid w:val="7C445855"/>
    <w:rsid w:val="7C4472EE"/>
    <w:rsid w:val="7C48EDB2"/>
    <w:rsid w:val="7C499F5F"/>
    <w:rsid w:val="7C74BA6E"/>
    <w:rsid w:val="7C7E7ED0"/>
    <w:rsid w:val="7C947036"/>
    <w:rsid w:val="7CB0D2DE"/>
    <w:rsid w:val="7CBF9765"/>
    <w:rsid w:val="7CC609C4"/>
    <w:rsid w:val="7CCCF005"/>
    <w:rsid w:val="7CD85D9A"/>
    <w:rsid w:val="7CEF143D"/>
    <w:rsid w:val="7CF2BFB2"/>
    <w:rsid w:val="7CFD70E2"/>
    <w:rsid w:val="7D23F450"/>
    <w:rsid w:val="7D3A9466"/>
    <w:rsid w:val="7D45A1A4"/>
    <w:rsid w:val="7D4C46D6"/>
    <w:rsid w:val="7D698D65"/>
    <w:rsid w:val="7D7A59DB"/>
    <w:rsid w:val="7DA33614"/>
    <w:rsid w:val="7DAF94C7"/>
    <w:rsid w:val="7DBB6519"/>
    <w:rsid w:val="7DC83E51"/>
    <w:rsid w:val="7DD90D2B"/>
    <w:rsid w:val="7DF60BD7"/>
    <w:rsid w:val="7E134004"/>
    <w:rsid w:val="7E192F1C"/>
    <w:rsid w:val="7E1C381E"/>
    <w:rsid w:val="7E2C9AF6"/>
    <w:rsid w:val="7E38FFF0"/>
    <w:rsid w:val="7E3B3597"/>
    <w:rsid w:val="7E6AC2CF"/>
    <w:rsid w:val="7E7F998D"/>
    <w:rsid w:val="7E925F33"/>
    <w:rsid w:val="7EA5C962"/>
    <w:rsid w:val="7EE37282"/>
    <w:rsid w:val="7EF5A5A2"/>
    <w:rsid w:val="7EF9CFDD"/>
    <w:rsid w:val="7F1DC131"/>
    <w:rsid w:val="7F3B3201"/>
    <w:rsid w:val="7F5CA812"/>
    <w:rsid w:val="7F6B6A7B"/>
    <w:rsid w:val="7F6C2929"/>
    <w:rsid w:val="7F747B5E"/>
    <w:rsid w:val="7F85DEDB"/>
    <w:rsid w:val="7F8B1541"/>
    <w:rsid w:val="7F9058F2"/>
    <w:rsid w:val="7F9F9286"/>
    <w:rsid w:val="7FA89FA3"/>
    <w:rsid w:val="7FB6F98C"/>
    <w:rsid w:val="7FD316E2"/>
    <w:rsid w:val="7FD49A2C"/>
    <w:rsid w:val="7FF016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4085C"/>
  <w15:docId w15:val="{FEBD25D7-9B95-425E-86E3-849AD691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link w:val="HChChar"/>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link w:val="SingleTxtChar"/>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rsid w:val="00546F5D"/>
    <w:rPr>
      <w:sz w:val="6"/>
    </w:rPr>
  </w:style>
  <w:style w:type="character" w:styleId="FootnoteReference">
    <w:name w:val="footnote reference"/>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link w:val="FooterChar"/>
    <w:uiPriority w:val="99"/>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D1A3B"/>
    <w:pPr>
      <w:spacing w:line="240" w:lineRule="auto"/>
    </w:pPr>
  </w:style>
  <w:style w:type="character" w:customStyle="1" w:styleId="CommentTextChar">
    <w:name w:val="Comment Text Char"/>
    <w:basedOn w:val="DefaultParagraphFont"/>
    <w:link w:val="CommentText"/>
    <w:rsid w:val="00BD1A3B"/>
    <w:rPr>
      <w:spacing w:val="4"/>
      <w:w w:val="103"/>
      <w:kern w:val="14"/>
      <w:lang w:val="en-GB"/>
    </w:rPr>
  </w:style>
  <w:style w:type="paragraph" w:styleId="CommentSubject">
    <w:name w:val="annotation subject"/>
    <w:basedOn w:val="CommentText"/>
    <w:next w:val="CommentText"/>
    <w:link w:val="CommentSubjectChar"/>
    <w:rsid w:val="00BD1A3B"/>
    <w:rPr>
      <w:b/>
      <w:bCs/>
    </w:rPr>
  </w:style>
  <w:style w:type="character" w:customStyle="1" w:styleId="CommentSubjectChar">
    <w:name w:val="Comment Subject Char"/>
    <w:basedOn w:val="CommentTextChar"/>
    <w:link w:val="CommentSubject"/>
    <w:rsid w:val="00BD1A3B"/>
    <w:rPr>
      <w:b/>
      <w:bCs/>
      <w:spacing w:val="4"/>
      <w:w w:val="103"/>
      <w:kern w:val="14"/>
      <w:lang w:val="en-GB"/>
    </w:rPr>
  </w:style>
  <w:style w:type="character" w:customStyle="1" w:styleId="FootnoteTextChar">
    <w:name w:val="Footnote Text Char"/>
    <w:basedOn w:val="DefaultParagraphFont"/>
    <w:link w:val="FootnoteText"/>
    <w:rsid w:val="00ED5645"/>
    <w:rPr>
      <w:spacing w:val="5"/>
      <w:w w:val="103"/>
      <w:kern w:val="14"/>
      <w:sz w:val="17"/>
      <w:lang w:val="en-GB"/>
    </w:rPr>
  </w:style>
  <w:style w:type="character" w:customStyle="1" w:styleId="SingleTxtChar">
    <w:name w:val="__Single Txt Char"/>
    <w:link w:val="SingleTxt"/>
    <w:rsid w:val="00ED5645"/>
    <w:rPr>
      <w:spacing w:val="4"/>
      <w:w w:val="103"/>
      <w:kern w:val="14"/>
      <w:lang w:val="en-GB"/>
    </w:rPr>
  </w:style>
  <w:style w:type="character" w:customStyle="1" w:styleId="HChChar">
    <w:name w:val="_ H _Ch Char"/>
    <w:link w:val="HCh"/>
    <w:rsid w:val="00ED5645"/>
    <w:rPr>
      <w:b/>
      <w:spacing w:val="-2"/>
      <w:w w:val="103"/>
      <w:kern w:val="14"/>
      <w:sz w:val="28"/>
      <w:lang w:val="en-GB"/>
    </w:rPr>
  </w:style>
  <w:style w:type="paragraph" w:styleId="ListParagraph">
    <w:name w:val="List Paragraph"/>
    <w:basedOn w:val="Normal"/>
    <w:uiPriority w:val="34"/>
    <w:qFormat/>
    <w:rsid w:val="00EA1125"/>
    <w:pPr>
      <w:ind w:left="720"/>
      <w:contextualSpacing/>
    </w:pPr>
  </w:style>
  <w:style w:type="paragraph" w:styleId="Revision">
    <w:name w:val="Revision"/>
    <w:hidden/>
    <w:uiPriority w:val="99"/>
    <w:semiHidden/>
    <w:rsid w:val="006608BF"/>
    <w:rPr>
      <w:spacing w:val="4"/>
      <w:w w:val="103"/>
      <w:kern w:val="14"/>
      <w:lang w:val="en-GB"/>
    </w:rPr>
  </w:style>
  <w:style w:type="character" w:styleId="FollowedHyperlink">
    <w:name w:val="FollowedHyperlink"/>
    <w:basedOn w:val="DefaultParagraphFont"/>
    <w:semiHidden/>
    <w:unhideWhenUsed/>
    <w:rsid w:val="00B441A1"/>
    <w:rPr>
      <w:color w:val="0000FF"/>
      <w:u w:val="none"/>
    </w:rPr>
  </w:style>
  <w:style w:type="character" w:customStyle="1" w:styleId="UnresolvedMention1">
    <w:name w:val="Unresolved Mention1"/>
    <w:basedOn w:val="DefaultParagraphFont"/>
    <w:uiPriority w:val="99"/>
    <w:semiHidden/>
    <w:unhideWhenUsed/>
    <w:rsid w:val="00B441A1"/>
    <w:rPr>
      <w:color w:val="808080"/>
      <w:shd w:val="clear" w:color="auto" w:fill="E6E6E6"/>
    </w:rPr>
  </w:style>
  <w:style w:type="paragraph" w:customStyle="1" w:styleId="paragraph">
    <w:name w:val="paragraph"/>
    <w:basedOn w:val="Normal"/>
    <w:rsid w:val="004A139D"/>
    <w:pPr>
      <w:suppressAutoHyphens w:val="0"/>
      <w:spacing w:before="100" w:beforeAutospacing="1" w:after="100" w:afterAutospacing="1" w:line="240" w:lineRule="auto"/>
    </w:pPr>
    <w:rPr>
      <w:rFonts w:eastAsia="Times New Roman"/>
      <w:spacing w:val="0"/>
      <w:w w:val="100"/>
      <w:kern w:val="0"/>
      <w:sz w:val="24"/>
      <w:szCs w:val="24"/>
      <w:lang w:val="en-US" w:eastAsia="zh-CN"/>
    </w:rPr>
  </w:style>
  <w:style w:type="character" w:customStyle="1" w:styleId="normaltextrun">
    <w:name w:val="normaltextrun"/>
    <w:basedOn w:val="DefaultParagraphFont"/>
    <w:rsid w:val="004A139D"/>
  </w:style>
  <w:style w:type="character" w:customStyle="1" w:styleId="eop">
    <w:name w:val="eop"/>
    <w:basedOn w:val="DefaultParagraphFont"/>
    <w:rsid w:val="004A139D"/>
  </w:style>
  <w:style w:type="character" w:customStyle="1" w:styleId="FooterChar">
    <w:name w:val="Footer Char"/>
    <w:basedOn w:val="DefaultParagraphFont"/>
    <w:link w:val="Footer"/>
    <w:uiPriority w:val="99"/>
    <w:rsid w:val="00795C17"/>
    <w:rPr>
      <w:b/>
      <w:noProof/>
      <w:sz w:val="17"/>
    </w:rPr>
  </w:style>
  <w:style w:type="character" w:styleId="UnresolvedMention">
    <w:name w:val="Unresolved Mention"/>
    <w:basedOn w:val="DefaultParagraphFont"/>
    <w:uiPriority w:val="99"/>
    <w:semiHidden/>
    <w:unhideWhenUsed/>
    <w:rsid w:val="0063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665422">
      <w:bodyDiv w:val="1"/>
      <w:marLeft w:val="0"/>
      <w:marRight w:val="0"/>
      <w:marTop w:val="0"/>
      <w:marBottom w:val="0"/>
      <w:divBdr>
        <w:top w:val="none" w:sz="0" w:space="0" w:color="auto"/>
        <w:left w:val="none" w:sz="0" w:space="0" w:color="auto"/>
        <w:bottom w:val="none" w:sz="0" w:space="0" w:color="auto"/>
        <w:right w:val="none" w:sz="0" w:space="0" w:color="auto"/>
      </w:divBdr>
    </w:div>
    <w:div w:id="1163274442">
      <w:bodyDiv w:val="1"/>
      <w:marLeft w:val="0"/>
      <w:marRight w:val="0"/>
      <w:marTop w:val="0"/>
      <w:marBottom w:val="0"/>
      <w:divBdr>
        <w:top w:val="none" w:sz="0" w:space="0" w:color="auto"/>
        <w:left w:val="none" w:sz="0" w:space="0" w:color="auto"/>
        <w:bottom w:val="none" w:sz="0" w:space="0" w:color="auto"/>
        <w:right w:val="none" w:sz="0" w:space="0" w:color="auto"/>
      </w:divBdr>
      <w:divsChild>
        <w:div w:id="2054188306">
          <w:marLeft w:val="0"/>
          <w:marRight w:val="0"/>
          <w:marTop w:val="0"/>
          <w:marBottom w:val="0"/>
          <w:divBdr>
            <w:top w:val="none" w:sz="0" w:space="0" w:color="auto"/>
            <w:left w:val="none" w:sz="0" w:space="0" w:color="auto"/>
            <w:bottom w:val="none" w:sz="0" w:space="0" w:color="auto"/>
            <w:right w:val="none" w:sz="0" w:space="0" w:color="auto"/>
          </w:divBdr>
        </w:div>
        <w:div w:id="1688798378">
          <w:marLeft w:val="0"/>
          <w:marRight w:val="0"/>
          <w:marTop w:val="0"/>
          <w:marBottom w:val="0"/>
          <w:divBdr>
            <w:top w:val="none" w:sz="0" w:space="0" w:color="auto"/>
            <w:left w:val="none" w:sz="0" w:space="0" w:color="auto"/>
            <w:bottom w:val="none" w:sz="0" w:space="0" w:color="auto"/>
            <w:right w:val="none" w:sz="0" w:space="0" w:color="auto"/>
          </w:divBdr>
        </w:div>
        <w:div w:id="1989936196">
          <w:marLeft w:val="0"/>
          <w:marRight w:val="0"/>
          <w:marTop w:val="0"/>
          <w:marBottom w:val="0"/>
          <w:divBdr>
            <w:top w:val="none" w:sz="0" w:space="0" w:color="auto"/>
            <w:left w:val="none" w:sz="0" w:space="0" w:color="auto"/>
            <w:bottom w:val="none" w:sz="0" w:space="0" w:color="auto"/>
            <w:right w:val="none" w:sz="0" w:space="0" w:color="auto"/>
          </w:divBdr>
        </w:div>
        <w:div w:id="738794954">
          <w:marLeft w:val="0"/>
          <w:marRight w:val="0"/>
          <w:marTop w:val="0"/>
          <w:marBottom w:val="0"/>
          <w:divBdr>
            <w:top w:val="none" w:sz="0" w:space="0" w:color="auto"/>
            <w:left w:val="none" w:sz="0" w:space="0" w:color="auto"/>
            <w:bottom w:val="none" w:sz="0" w:space="0" w:color="auto"/>
            <w:right w:val="none" w:sz="0" w:space="0" w:color="auto"/>
          </w:divBdr>
        </w:div>
        <w:div w:id="1377310903">
          <w:marLeft w:val="0"/>
          <w:marRight w:val="0"/>
          <w:marTop w:val="0"/>
          <w:marBottom w:val="0"/>
          <w:divBdr>
            <w:top w:val="none" w:sz="0" w:space="0" w:color="auto"/>
            <w:left w:val="none" w:sz="0" w:space="0" w:color="auto"/>
            <w:bottom w:val="none" w:sz="0" w:space="0" w:color="auto"/>
            <w:right w:val="none" w:sz="0" w:space="0" w:color="auto"/>
          </w:divBdr>
        </w:div>
        <w:div w:id="1048187986">
          <w:marLeft w:val="0"/>
          <w:marRight w:val="0"/>
          <w:marTop w:val="0"/>
          <w:marBottom w:val="0"/>
          <w:divBdr>
            <w:top w:val="none" w:sz="0" w:space="0" w:color="auto"/>
            <w:left w:val="none" w:sz="0" w:space="0" w:color="auto"/>
            <w:bottom w:val="none" w:sz="0" w:space="0" w:color="auto"/>
            <w:right w:val="none" w:sz="0" w:space="0" w:color="auto"/>
          </w:divBdr>
        </w:div>
        <w:div w:id="169879401">
          <w:marLeft w:val="0"/>
          <w:marRight w:val="0"/>
          <w:marTop w:val="0"/>
          <w:marBottom w:val="0"/>
          <w:divBdr>
            <w:top w:val="none" w:sz="0" w:space="0" w:color="auto"/>
            <w:left w:val="none" w:sz="0" w:space="0" w:color="auto"/>
            <w:bottom w:val="none" w:sz="0" w:space="0" w:color="auto"/>
            <w:right w:val="none" w:sz="0" w:space="0" w:color="auto"/>
          </w:divBdr>
        </w:div>
        <w:div w:id="24792907">
          <w:marLeft w:val="0"/>
          <w:marRight w:val="0"/>
          <w:marTop w:val="0"/>
          <w:marBottom w:val="0"/>
          <w:divBdr>
            <w:top w:val="none" w:sz="0" w:space="0" w:color="auto"/>
            <w:left w:val="none" w:sz="0" w:space="0" w:color="auto"/>
            <w:bottom w:val="none" w:sz="0" w:space="0" w:color="auto"/>
            <w:right w:val="none" w:sz="0" w:space="0" w:color="auto"/>
          </w:divBdr>
        </w:div>
        <w:div w:id="527109747">
          <w:marLeft w:val="0"/>
          <w:marRight w:val="0"/>
          <w:marTop w:val="0"/>
          <w:marBottom w:val="0"/>
          <w:divBdr>
            <w:top w:val="none" w:sz="0" w:space="0" w:color="auto"/>
            <w:left w:val="none" w:sz="0" w:space="0" w:color="auto"/>
            <w:bottom w:val="none" w:sz="0" w:space="0" w:color="auto"/>
            <w:right w:val="none" w:sz="0" w:space="0" w:color="auto"/>
          </w:divBdr>
        </w:div>
        <w:div w:id="1843428807">
          <w:marLeft w:val="0"/>
          <w:marRight w:val="0"/>
          <w:marTop w:val="0"/>
          <w:marBottom w:val="0"/>
          <w:divBdr>
            <w:top w:val="none" w:sz="0" w:space="0" w:color="auto"/>
            <w:left w:val="none" w:sz="0" w:space="0" w:color="auto"/>
            <w:bottom w:val="none" w:sz="0" w:space="0" w:color="auto"/>
            <w:right w:val="none" w:sz="0" w:space="0" w:color="auto"/>
          </w:divBdr>
        </w:div>
        <w:div w:id="1696812410">
          <w:marLeft w:val="0"/>
          <w:marRight w:val="0"/>
          <w:marTop w:val="0"/>
          <w:marBottom w:val="0"/>
          <w:divBdr>
            <w:top w:val="none" w:sz="0" w:space="0" w:color="auto"/>
            <w:left w:val="none" w:sz="0" w:space="0" w:color="auto"/>
            <w:bottom w:val="none" w:sz="0" w:space="0" w:color="auto"/>
            <w:right w:val="none" w:sz="0" w:space="0" w:color="auto"/>
          </w:divBdr>
        </w:div>
        <w:div w:id="1400059410">
          <w:marLeft w:val="0"/>
          <w:marRight w:val="0"/>
          <w:marTop w:val="0"/>
          <w:marBottom w:val="0"/>
          <w:divBdr>
            <w:top w:val="none" w:sz="0" w:space="0" w:color="auto"/>
            <w:left w:val="none" w:sz="0" w:space="0" w:color="auto"/>
            <w:bottom w:val="none" w:sz="0" w:space="0" w:color="auto"/>
            <w:right w:val="none" w:sz="0" w:space="0" w:color="auto"/>
          </w:divBdr>
        </w:div>
        <w:div w:id="172826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undocs.org/DP/2021/29"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6670123d0797462d"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yperlink" Target="https://undocs.org/DP/FPA-ICEF-UNW/202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9C19DEB0DD104CB38C88BED4A6E68B" ma:contentTypeVersion="6" ma:contentTypeDescription="Create a new document." ma:contentTypeScope="" ma:versionID="9661f0ddf3a042b563c3ffc141a6e61c">
  <xsd:schema xmlns:xsd="http://www.w3.org/2001/XMLSchema" xmlns:xs="http://www.w3.org/2001/XMLSchema" xmlns:p="http://schemas.microsoft.com/office/2006/metadata/properties" xmlns:ns2="e474a048-931e-4477-aea0-c91620b6e635" xmlns:ns3="ea0ec693-b112-41c0-8629-e3b04af4f42e" targetNamespace="http://schemas.microsoft.com/office/2006/metadata/properties" ma:root="true" ma:fieldsID="abe8f4dc683a20f0374f8fe81d9d1384" ns2:_="" ns3:_="">
    <xsd:import namespace="e474a048-931e-4477-aea0-c91620b6e635"/>
    <xsd:import namespace="ea0ec693-b112-41c0-8629-e3b04af4f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4a048-931e-4477-aea0-c91620b6e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ec693-b112-41c0-8629-e3b04af4f4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B51D1-18DD-4569-87AC-C8350A80A3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B14BA8-6BA8-460E-96B8-09820772936B}">
  <ds:schemaRefs>
    <ds:schemaRef ds:uri="http://schemas.microsoft.com/sharepoint/v3/contenttype/forms"/>
  </ds:schemaRefs>
</ds:datastoreItem>
</file>

<file path=customXml/itemProps3.xml><?xml version="1.0" encoding="utf-8"?>
<ds:datastoreItem xmlns:ds="http://schemas.openxmlformats.org/officeDocument/2006/customXml" ds:itemID="{00E1E855-04EB-415A-9D1D-F97FC2D68679}">
  <ds:schemaRefs>
    <ds:schemaRef ds:uri="http://schemas.openxmlformats.org/officeDocument/2006/bibliography"/>
  </ds:schemaRefs>
</ds:datastoreItem>
</file>

<file path=customXml/itemProps4.xml><?xml version="1.0" encoding="utf-8"?>
<ds:datastoreItem xmlns:ds="http://schemas.openxmlformats.org/officeDocument/2006/customXml" ds:itemID="{5EA7AC4D-4CE2-4DDB-840D-77E69FEF5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4a048-931e-4477-aea0-c91620b6e635"/>
    <ds:schemaRef ds:uri="ea0ec693-b112-41c0-8629-e3b04af4f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Jayne Grodd</dc:creator>
  <cp:keywords/>
  <cp:lastModifiedBy>Svetlana Iazykova</cp:lastModifiedBy>
  <cp:revision>3</cp:revision>
  <cp:lastPrinted>2017-11-12T12:56:00Z</cp:lastPrinted>
  <dcterms:created xsi:type="dcterms:W3CDTF">2021-08-20T17:18:00Z</dcterms:created>
  <dcterms:modified xsi:type="dcterms:W3CDTF">2021-08-20T17:18:00Z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istribution">
    <vt:lpwstr>General</vt:lpwstr>
  </property>
  <property fmtid="{D5CDD505-2E9C-101B-9397-08002B2CF9AE}" pid="4" name="Publication Date">
    <vt:lpwstr>6 August 2015</vt:lpwstr>
  </property>
  <property fmtid="{D5CDD505-2E9C-101B-9397-08002B2CF9AE}" pid="5" name="Original">
    <vt:lpwstr>English</vt:lpwstr>
  </property>
  <property fmtid="{D5CDD505-2E9C-101B-9397-08002B2CF9AE}" pid="6" name="Release Date">
    <vt:lpwstr>120815</vt:lpwstr>
  </property>
  <property fmtid="{D5CDD505-2E9C-101B-9397-08002B2CF9AE}" pid="7" name="JobNo">
    <vt:lpwstr>1720142E</vt:lpwstr>
  </property>
  <property fmtid="{D5CDD505-2E9C-101B-9397-08002B2CF9AE}" pid="8" name="ODSRefJobNo">
    <vt:lpwstr>1738132E</vt:lpwstr>
  </property>
  <property fmtid="{D5CDD505-2E9C-101B-9397-08002B2CF9AE}" pid="9" name="Symbol1">
    <vt:lpwstr>DP/2017/40</vt:lpwstr>
  </property>
  <property fmtid="{D5CDD505-2E9C-101B-9397-08002B2CF9AE}" pid="10" name="Symbol2">
    <vt:lpwstr/>
  </property>
  <property fmtid="{D5CDD505-2E9C-101B-9397-08002B2CF9AE}" pid="11" name="Comment">
    <vt:lpwstr/>
  </property>
  <property fmtid="{D5CDD505-2E9C-101B-9397-08002B2CF9AE}" pid="12" name="DraftPages">
    <vt:lpwstr>4</vt:lpwstr>
  </property>
  <property fmtid="{D5CDD505-2E9C-101B-9397-08002B2CF9AE}" pid="13" name="Operator">
    <vt:lpwstr>dth (f)</vt:lpwstr>
  </property>
  <property fmtid="{D5CDD505-2E9C-101B-9397-08002B2CF9AE}" pid="14" name="ContentTypeId">
    <vt:lpwstr>0x010100FD9C19DEB0DD104CB38C88BED4A6E68B</vt:lpwstr>
  </property>
  <property fmtid="{D5CDD505-2E9C-101B-9397-08002B2CF9AE}" pid="15" name="Order">
    <vt:r8>100</vt:r8>
  </property>
</Properties>
</file>