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2B9E6B" w14:textId="6D3D9D10" w:rsidR="005C6168" w:rsidRPr="00517955" w:rsidRDefault="005C6168">
      <w:pPr>
        <w:pStyle w:val="Heading3"/>
        <w:jc w:val="left"/>
        <w:rPr>
          <w:rFonts w:asciiTheme="minorHAnsi" w:hAnsiTheme="minorHAnsi"/>
        </w:rPr>
      </w:pPr>
      <w:r w:rsidRPr="00517955">
        <w:rPr>
          <w:rFonts w:asciiTheme="minorHAnsi" w:hAnsiTheme="minorHAnsi"/>
        </w:rPr>
        <w:t>Country:</w:t>
      </w:r>
      <w:r w:rsidRPr="00517955">
        <w:rPr>
          <w:rFonts w:asciiTheme="minorHAnsi" w:hAnsiTheme="minorHAnsi"/>
        </w:rPr>
        <w:tab/>
      </w:r>
      <w:r w:rsidRPr="00517955">
        <w:rPr>
          <w:rFonts w:asciiTheme="minorHAnsi" w:hAnsiTheme="minorHAnsi"/>
        </w:rPr>
        <w:tab/>
      </w:r>
      <w:r w:rsidR="008647BD" w:rsidRPr="008A0A74">
        <w:rPr>
          <w:rFonts w:asciiTheme="minorHAnsi" w:hAnsiTheme="minorHAnsi"/>
          <w:b/>
        </w:rPr>
        <w:t>UZBEKISTAN</w:t>
      </w:r>
    </w:p>
    <w:p w14:paraId="402B9E6C" w14:textId="77777777" w:rsidR="005C6168" w:rsidRPr="00517955" w:rsidRDefault="005C6168">
      <w:pPr>
        <w:pStyle w:val="Heading3"/>
        <w:rPr>
          <w:rFonts w:asciiTheme="minorHAnsi" w:hAnsiTheme="minorHAnsi"/>
        </w:rPr>
      </w:pPr>
    </w:p>
    <w:p w14:paraId="402B9E6D" w14:textId="223FA9A3" w:rsidR="005C6168" w:rsidRPr="00517955" w:rsidRDefault="008A0A74">
      <w:pPr>
        <w:pStyle w:val="Heading3"/>
        <w:rPr>
          <w:rFonts w:asciiTheme="minorHAnsi" w:hAnsiTheme="minorHAnsi"/>
          <w:b/>
          <w:bCs w:val="0"/>
        </w:rPr>
      </w:pPr>
      <w:r>
        <w:rPr>
          <w:rFonts w:asciiTheme="minorHAnsi" w:hAnsiTheme="minorHAnsi"/>
          <w:b/>
          <w:bCs w:val="0"/>
        </w:rPr>
        <w:t xml:space="preserve">          </w:t>
      </w:r>
      <w:r w:rsidR="00BC38E0" w:rsidRPr="00517955">
        <w:rPr>
          <w:rFonts w:asciiTheme="minorHAnsi" w:hAnsiTheme="minorHAnsi"/>
          <w:b/>
          <w:bCs w:val="0"/>
        </w:rPr>
        <w:t>COUNTRY PROGRAMME</w:t>
      </w:r>
      <w:r w:rsidR="00B32ADA">
        <w:rPr>
          <w:rFonts w:asciiTheme="minorHAnsi" w:hAnsiTheme="minorHAnsi"/>
          <w:b/>
          <w:bCs w:val="0"/>
        </w:rPr>
        <w:t xml:space="preserve"> PERFORMANCE SUMMARY</w:t>
      </w:r>
      <w:r w:rsidR="001F3524">
        <w:rPr>
          <w:rStyle w:val="FootnoteReference"/>
          <w:rFonts w:asciiTheme="minorHAnsi" w:hAnsiTheme="minorHAnsi"/>
          <w:b/>
          <w:bCs w:val="0"/>
        </w:rPr>
        <w:footnoteReference w:id="1"/>
      </w:r>
    </w:p>
    <w:p w14:paraId="402B9E6E" w14:textId="77777777" w:rsidR="005C6168" w:rsidRPr="00517955" w:rsidRDefault="005C6168">
      <w:pPr>
        <w:pStyle w:val="Heading3"/>
        <w:rPr>
          <w:rFonts w:asciiTheme="minorHAnsi" w:hAnsiTheme="minorHAnsi"/>
          <w:b/>
        </w:rPr>
      </w:pPr>
    </w:p>
    <w:p w14:paraId="402B9E6F" w14:textId="2B833CF2" w:rsidR="005C6168" w:rsidRPr="00517955" w:rsidRDefault="008647BD">
      <w:pPr>
        <w:pStyle w:val="Heading3"/>
        <w:jc w:val="left"/>
        <w:rPr>
          <w:rFonts w:asciiTheme="minorHAnsi" w:hAnsiTheme="minorHAnsi"/>
        </w:rPr>
      </w:pPr>
      <w:r>
        <w:rPr>
          <w:rFonts w:asciiTheme="minorHAnsi" w:hAnsiTheme="minorHAnsi"/>
        </w:rPr>
        <w:t xml:space="preserve">Reporting period: </w:t>
      </w:r>
      <w:r>
        <w:rPr>
          <w:rFonts w:asciiTheme="minorHAnsi" w:hAnsiTheme="minorHAnsi"/>
        </w:rPr>
        <w:tab/>
      </w:r>
      <w:r w:rsidR="009B19D9" w:rsidRPr="008A0A74">
        <w:rPr>
          <w:rFonts w:asciiTheme="minorHAnsi" w:hAnsiTheme="minorHAnsi"/>
          <w:b/>
        </w:rPr>
        <w:t>2010-</w:t>
      </w:r>
      <w:r w:rsidR="003A224A" w:rsidRPr="008A0A74">
        <w:rPr>
          <w:rFonts w:asciiTheme="minorHAnsi" w:hAnsiTheme="minorHAnsi"/>
          <w:b/>
        </w:rPr>
        <w:t>201</w:t>
      </w:r>
      <w:r w:rsidR="008B6B69">
        <w:rPr>
          <w:rFonts w:asciiTheme="minorHAnsi" w:hAnsiTheme="minorHAnsi"/>
          <w:b/>
        </w:rPr>
        <w:t>5</w:t>
      </w:r>
    </w:p>
    <w:p w14:paraId="402B9E70" w14:textId="77777777" w:rsidR="005C6168" w:rsidRPr="00517955" w:rsidRDefault="005C6168">
      <w:pPr>
        <w:pStyle w:val="Heading3"/>
        <w:rPr>
          <w:rFonts w:asciiTheme="minorHAnsi" w:hAnsiTheme="minorHAnsi"/>
        </w:rPr>
      </w:pPr>
    </w:p>
    <w:p w14:paraId="402B9E71" w14:textId="77777777" w:rsidR="005C6168" w:rsidRPr="00517955" w:rsidRDefault="005C6168">
      <w:pPr>
        <w:rPr>
          <w:rFonts w:asciiTheme="minorHAnsi" w:hAnsiTheme="minorHAnsi"/>
        </w:rPr>
      </w:pPr>
    </w:p>
    <w:p w14:paraId="402B9E72" w14:textId="43883E6A" w:rsidR="005C6168" w:rsidRPr="00517955" w:rsidRDefault="005C6168">
      <w:pPr>
        <w:pStyle w:val="Heading3"/>
        <w:rPr>
          <w:rFonts w:asciiTheme="minorHAnsi" w:hAnsiTheme="minorHAnsi"/>
          <w:b/>
          <w:bCs w:val="0"/>
        </w:rPr>
      </w:pPr>
      <w:r w:rsidRPr="00517955">
        <w:rPr>
          <w:rFonts w:asciiTheme="minorHAnsi" w:hAnsiTheme="minorHAnsi"/>
          <w:b/>
          <w:bCs w:val="0"/>
        </w:rPr>
        <w:t xml:space="preserve">I.  </w:t>
      </w:r>
      <w:r w:rsidR="0064746F">
        <w:rPr>
          <w:rFonts w:asciiTheme="minorHAnsi" w:hAnsiTheme="minorHAnsi"/>
          <w:b/>
          <w:bCs w:val="0"/>
        </w:rPr>
        <w:t>EXECUTIVE SUMMARY</w:t>
      </w:r>
      <w:bookmarkStart w:id="0" w:name="_GoBack"/>
      <w:bookmarkEnd w:id="0"/>
    </w:p>
    <w:p w14:paraId="402B9E79" w14:textId="77777777" w:rsidR="005C6168" w:rsidRPr="00517955" w:rsidRDefault="005C6168" w:rsidP="00363EC5">
      <w:pPr>
        <w:pStyle w:val="BodyText"/>
        <w:rPr>
          <w:rFonts w:asciiTheme="minorHAnsi" w:hAnsiTheme="minorHAnsi"/>
        </w:rPr>
      </w:pPr>
    </w:p>
    <w:p w14:paraId="220D7BB6" w14:textId="77777777" w:rsidR="009D154C" w:rsidRDefault="009B19D9" w:rsidP="009D154C">
      <w:pPr>
        <w:spacing w:after="120"/>
        <w:jc w:val="both"/>
        <w:rPr>
          <w:rFonts w:ascii="Calibri" w:hAnsi="Calibri" w:cs="Calibri"/>
          <w:sz w:val="18"/>
          <w:szCs w:val="22"/>
        </w:rPr>
      </w:pPr>
      <w:r w:rsidRPr="00B10678">
        <w:rPr>
          <w:rFonts w:ascii="Calibri" w:hAnsi="Calibri" w:cs="Calibri"/>
          <w:sz w:val="18"/>
          <w:szCs w:val="22"/>
          <w:u w:val="single"/>
        </w:rPr>
        <w:t>Highlights of programmatic results:</w:t>
      </w:r>
      <w:r w:rsidRPr="00B10678">
        <w:rPr>
          <w:rFonts w:ascii="Calibri" w:hAnsi="Calibri" w:cs="Calibri"/>
          <w:sz w:val="18"/>
          <w:szCs w:val="22"/>
        </w:rPr>
        <w:t xml:space="preserve"> </w:t>
      </w:r>
    </w:p>
    <w:p w14:paraId="43861797" w14:textId="7A4FB9E6" w:rsidR="009D154C" w:rsidRPr="009D154C" w:rsidRDefault="009D154C" w:rsidP="009D154C">
      <w:pPr>
        <w:spacing w:after="120"/>
        <w:jc w:val="both"/>
        <w:rPr>
          <w:rFonts w:ascii="Calibri" w:hAnsi="Calibri" w:cs="Calibri"/>
          <w:sz w:val="18"/>
          <w:szCs w:val="22"/>
        </w:rPr>
      </w:pPr>
      <w:r w:rsidRPr="009D154C">
        <w:rPr>
          <w:rFonts w:ascii="Calibri" w:hAnsi="Calibri" w:cs="Calibri"/>
          <w:color w:val="000000" w:themeColor="text1"/>
          <w:sz w:val="18"/>
          <w:szCs w:val="22"/>
        </w:rPr>
        <w:t xml:space="preserve">Evaluation reports of the UNDAF 2010-2015 and Country Programme Action Plan both acknowledge that UNDP is well-recognized by the Government and other development partners as a respected partner largely responsive to national development needs. UNDP’s wide exposure to international experiences also enables it to facilitate the exchange of best practices, including with regard to the country’s international commitments. </w:t>
      </w:r>
    </w:p>
    <w:p w14:paraId="6711D63F" w14:textId="21278B76" w:rsidR="00B07366" w:rsidRPr="00B10678" w:rsidRDefault="003C74B9" w:rsidP="00577474">
      <w:pPr>
        <w:spacing w:after="120"/>
        <w:jc w:val="both"/>
        <w:rPr>
          <w:rFonts w:ascii="Calibri" w:hAnsi="Calibri" w:cs="Calibri"/>
          <w:color w:val="000000" w:themeColor="text1"/>
          <w:sz w:val="18"/>
          <w:szCs w:val="22"/>
        </w:rPr>
      </w:pPr>
      <w:r w:rsidRPr="003C74B9">
        <w:rPr>
          <w:rFonts w:ascii="Calibri" w:hAnsi="Calibri" w:cs="Calibri"/>
          <w:color w:val="000000" w:themeColor="text1"/>
          <w:sz w:val="18"/>
          <w:szCs w:val="22"/>
        </w:rPr>
        <w:t>UNDPs continuous capacity development</w:t>
      </w:r>
      <w:r w:rsidR="00BE04B4">
        <w:rPr>
          <w:rFonts w:ascii="Calibri" w:hAnsi="Calibri" w:cs="Calibri"/>
          <w:color w:val="000000" w:themeColor="text1"/>
          <w:sz w:val="18"/>
          <w:szCs w:val="22"/>
        </w:rPr>
        <w:t xml:space="preserve"> </w:t>
      </w:r>
      <w:r w:rsidR="00BE04B4" w:rsidRPr="003C74B9">
        <w:rPr>
          <w:rFonts w:ascii="Calibri" w:hAnsi="Calibri" w:cs="Calibri"/>
          <w:color w:val="000000" w:themeColor="text1"/>
          <w:sz w:val="18"/>
          <w:szCs w:val="22"/>
        </w:rPr>
        <w:t>of two leading national think tanks</w:t>
      </w:r>
      <w:r w:rsidR="00BE04B4">
        <w:rPr>
          <w:rFonts w:ascii="Calibri" w:hAnsi="Calibri" w:cs="Calibri"/>
          <w:color w:val="000000" w:themeColor="text1"/>
          <w:sz w:val="18"/>
          <w:szCs w:val="22"/>
        </w:rPr>
        <w:t xml:space="preserve"> in evidence-based policy making,</w:t>
      </w:r>
      <w:r w:rsidRPr="003C74B9">
        <w:rPr>
          <w:rFonts w:ascii="Calibri" w:hAnsi="Calibri" w:cs="Calibri"/>
          <w:color w:val="000000" w:themeColor="text1"/>
          <w:sz w:val="18"/>
          <w:szCs w:val="22"/>
        </w:rPr>
        <w:t xml:space="preserve"> enabled them to lead the preparation of Uzbekistan</w:t>
      </w:r>
      <w:r>
        <w:rPr>
          <w:rFonts w:ascii="Calibri" w:hAnsi="Calibri" w:cs="Calibri"/>
          <w:color w:val="000000" w:themeColor="text1"/>
          <w:sz w:val="18"/>
          <w:szCs w:val="22"/>
        </w:rPr>
        <w:t>’</w:t>
      </w:r>
      <w:r w:rsidRPr="003C74B9">
        <w:rPr>
          <w:rFonts w:ascii="Calibri" w:hAnsi="Calibri" w:cs="Calibri"/>
          <w:color w:val="000000" w:themeColor="text1"/>
          <w:sz w:val="18"/>
          <w:szCs w:val="22"/>
        </w:rPr>
        <w:t>s first long-term development strategy, Vision 2030</w:t>
      </w:r>
      <w:r>
        <w:rPr>
          <w:rFonts w:ascii="Calibri" w:hAnsi="Calibri" w:cs="Calibri"/>
          <w:color w:val="000000" w:themeColor="text1"/>
          <w:sz w:val="18"/>
          <w:szCs w:val="22"/>
        </w:rPr>
        <w:t>. Furthermore</w:t>
      </w:r>
      <w:r w:rsidR="000D387E">
        <w:rPr>
          <w:rFonts w:ascii="Calibri" w:hAnsi="Calibri" w:cs="Calibri"/>
          <w:color w:val="000000" w:themeColor="text1"/>
          <w:sz w:val="18"/>
          <w:szCs w:val="22"/>
        </w:rPr>
        <w:t>,</w:t>
      </w:r>
      <w:r>
        <w:rPr>
          <w:rFonts w:ascii="Calibri" w:hAnsi="Calibri" w:cs="Calibri"/>
          <w:color w:val="000000" w:themeColor="text1"/>
          <w:sz w:val="18"/>
          <w:szCs w:val="22"/>
        </w:rPr>
        <w:t xml:space="preserve"> U</w:t>
      </w:r>
      <w:r w:rsidR="002F7C97" w:rsidRPr="00B10678">
        <w:rPr>
          <w:rFonts w:ascii="Calibri" w:hAnsi="Calibri" w:cs="Calibri"/>
          <w:color w:val="000000" w:themeColor="text1"/>
          <w:sz w:val="18"/>
          <w:szCs w:val="22"/>
        </w:rPr>
        <w:t>NDP’</w:t>
      </w:r>
      <w:r w:rsidR="00602FDD" w:rsidRPr="00B10678">
        <w:rPr>
          <w:rFonts w:ascii="Calibri" w:hAnsi="Calibri" w:cs="Calibri"/>
          <w:color w:val="000000" w:themeColor="text1"/>
          <w:sz w:val="18"/>
          <w:szCs w:val="22"/>
        </w:rPr>
        <w:t>s</w:t>
      </w:r>
      <w:r w:rsidR="002F7C97" w:rsidRPr="00B10678">
        <w:rPr>
          <w:rFonts w:ascii="Calibri" w:hAnsi="Calibri" w:cs="Calibri"/>
          <w:color w:val="000000" w:themeColor="text1"/>
          <w:sz w:val="18"/>
          <w:szCs w:val="22"/>
        </w:rPr>
        <w:t xml:space="preserve"> </w:t>
      </w:r>
      <w:r w:rsidR="00EE5DB8">
        <w:rPr>
          <w:rFonts w:ascii="Calibri" w:hAnsi="Calibri" w:cs="Calibri"/>
          <w:color w:val="000000" w:themeColor="text1"/>
          <w:sz w:val="18"/>
          <w:szCs w:val="22"/>
        </w:rPr>
        <w:t>support to national partners</w:t>
      </w:r>
      <w:r w:rsidR="00602FDD" w:rsidRPr="00B10678">
        <w:rPr>
          <w:rFonts w:ascii="Calibri" w:hAnsi="Calibri" w:cs="Calibri"/>
          <w:color w:val="000000" w:themeColor="text1"/>
          <w:sz w:val="18"/>
          <w:szCs w:val="22"/>
        </w:rPr>
        <w:t xml:space="preserve"> such as </w:t>
      </w:r>
      <w:r w:rsidR="003B1345" w:rsidRPr="003B1345">
        <w:rPr>
          <w:rFonts w:ascii="Calibri" w:hAnsi="Calibri" w:cs="Calibri"/>
          <w:color w:val="000000" w:themeColor="text1"/>
          <w:sz w:val="18"/>
          <w:szCs w:val="22"/>
        </w:rPr>
        <w:t>C</w:t>
      </w:r>
      <w:r w:rsidR="000D387E">
        <w:rPr>
          <w:rFonts w:ascii="Calibri" w:hAnsi="Calibri" w:cs="Calibri"/>
          <w:color w:val="000000" w:themeColor="text1"/>
          <w:sz w:val="18"/>
          <w:szCs w:val="22"/>
        </w:rPr>
        <w:t>hamber of Commerce and Industry</w:t>
      </w:r>
      <w:r w:rsidR="00602FDD" w:rsidRPr="00B10678">
        <w:rPr>
          <w:rFonts w:ascii="Calibri" w:hAnsi="Calibri" w:cs="Calibri"/>
          <w:color w:val="000000" w:themeColor="text1"/>
          <w:sz w:val="18"/>
          <w:szCs w:val="22"/>
        </w:rPr>
        <w:t xml:space="preserve"> is</w:t>
      </w:r>
      <w:r w:rsidR="00C15636" w:rsidRPr="00B10678">
        <w:rPr>
          <w:rFonts w:ascii="Calibri" w:hAnsi="Calibri" w:cs="Calibri"/>
          <w:color w:val="000000" w:themeColor="text1"/>
          <w:sz w:val="18"/>
          <w:szCs w:val="22"/>
        </w:rPr>
        <w:t xml:space="preserve"> now </w:t>
      </w:r>
      <w:r w:rsidR="00602FDD" w:rsidRPr="00B10678">
        <w:rPr>
          <w:rFonts w:ascii="Calibri" w:hAnsi="Calibri" w:cs="Calibri"/>
          <w:color w:val="000000" w:themeColor="text1"/>
          <w:sz w:val="18"/>
          <w:szCs w:val="22"/>
        </w:rPr>
        <w:t>entailing progress in</w:t>
      </w:r>
      <w:r w:rsidR="00FF1FCD" w:rsidRPr="00B10678">
        <w:rPr>
          <w:rFonts w:ascii="Calibri" w:hAnsi="Calibri" w:cs="Calibri"/>
          <w:color w:val="000000" w:themeColor="text1"/>
          <w:sz w:val="18"/>
          <w:szCs w:val="22"/>
        </w:rPr>
        <w:t xml:space="preserve"> the </w:t>
      </w:r>
      <w:r w:rsidR="00644960">
        <w:rPr>
          <w:rFonts w:ascii="Calibri" w:hAnsi="Calibri" w:cs="Calibri"/>
          <w:color w:val="000000" w:themeColor="text1"/>
          <w:sz w:val="18"/>
          <w:szCs w:val="22"/>
        </w:rPr>
        <w:t xml:space="preserve">development of </w:t>
      </w:r>
      <w:r w:rsidR="009D154C">
        <w:rPr>
          <w:rFonts w:ascii="Calibri" w:hAnsi="Calibri" w:cs="Calibri"/>
          <w:color w:val="000000" w:themeColor="text1"/>
          <w:sz w:val="18"/>
          <w:szCs w:val="22"/>
        </w:rPr>
        <w:t xml:space="preserve">enabling </w:t>
      </w:r>
      <w:r w:rsidR="00602FDD" w:rsidRPr="00B10678">
        <w:rPr>
          <w:rFonts w:ascii="Calibri" w:hAnsi="Calibri" w:cs="Calibri"/>
          <w:color w:val="000000" w:themeColor="text1"/>
          <w:sz w:val="18"/>
          <w:szCs w:val="22"/>
        </w:rPr>
        <w:t>business environmen</w:t>
      </w:r>
      <w:r w:rsidR="00DE16F6" w:rsidRPr="00B10678">
        <w:rPr>
          <w:rFonts w:ascii="Calibri" w:hAnsi="Calibri" w:cs="Calibri"/>
          <w:color w:val="000000" w:themeColor="text1"/>
          <w:sz w:val="18"/>
          <w:szCs w:val="22"/>
        </w:rPr>
        <w:t>t</w:t>
      </w:r>
      <w:r w:rsidR="00FF1FCD" w:rsidRPr="00B10678">
        <w:rPr>
          <w:rFonts w:ascii="Calibri" w:hAnsi="Calibri" w:cs="Calibri"/>
          <w:color w:val="000000" w:themeColor="text1"/>
          <w:sz w:val="18"/>
          <w:szCs w:val="22"/>
        </w:rPr>
        <w:t xml:space="preserve">. </w:t>
      </w:r>
      <w:r w:rsidR="005D3B9D">
        <w:rPr>
          <w:rFonts w:ascii="Calibri" w:hAnsi="Calibri" w:cs="Calibri"/>
          <w:color w:val="000000" w:themeColor="text1"/>
          <w:sz w:val="18"/>
          <w:szCs w:val="22"/>
        </w:rPr>
        <w:t xml:space="preserve">At the same time </w:t>
      </w:r>
      <w:r w:rsidR="009D154C">
        <w:rPr>
          <w:rFonts w:ascii="Calibri" w:hAnsi="Calibri" w:cs="Calibri"/>
          <w:color w:val="000000" w:themeColor="text1"/>
          <w:sz w:val="18"/>
          <w:szCs w:val="22"/>
        </w:rPr>
        <w:t>the UNDP-</w:t>
      </w:r>
      <w:r w:rsidR="007A7255">
        <w:rPr>
          <w:rFonts w:ascii="Calibri" w:hAnsi="Calibri" w:cs="Calibri"/>
          <w:color w:val="000000" w:themeColor="text1"/>
          <w:sz w:val="18"/>
          <w:szCs w:val="22"/>
        </w:rPr>
        <w:t>promoted</w:t>
      </w:r>
      <w:r w:rsidR="00160E89">
        <w:rPr>
          <w:rFonts w:ascii="Calibri" w:hAnsi="Calibri" w:cs="Calibri"/>
          <w:color w:val="000000" w:themeColor="text1"/>
          <w:sz w:val="18"/>
          <w:szCs w:val="22"/>
        </w:rPr>
        <w:t xml:space="preserve"> </w:t>
      </w:r>
      <w:r w:rsidR="00615EC0">
        <w:rPr>
          <w:rFonts w:ascii="Calibri" w:hAnsi="Calibri" w:cs="Calibri"/>
          <w:color w:val="000000" w:themeColor="text1"/>
          <w:sz w:val="18"/>
          <w:szCs w:val="22"/>
        </w:rPr>
        <w:t>social enterprises have</w:t>
      </w:r>
      <w:r w:rsidR="003459B7" w:rsidRPr="00B10678">
        <w:rPr>
          <w:rFonts w:ascii="Calibri" w:hAnsi="Calibri" w:cs="Calibri"/>
          <w:color w:val="000000" w:themeColor="text1"/>
          <w:sz w:val="18"/>
          <w:szCs w:val="22"/>
        </w:rPr>
        <w:t xml:space="preserve"> </w:t>
      </w:r>
      <w:r w:rsidR="00F97A54">
        <w:rPr>
          <w:rFonts w:ascii="Calibri" w:hAnsi="Calibri" w:cs="Calibri"/>
          <w:color w:val="000000" w:themeColor="text1"/>
          <w:sz w:val="18"/>
          <w:szCs w:val="22"/>
        </w:rPr>
        <w:t>made a</w:t>
      </w:r>
      <w:r w:rsidR="003459B7" w:rsidRPr="00B10678">
        <w:rPr>
          <w:rFonts w:ascii="Calibri" w:hAnsi="Calibri" w:cs="Calibri"/>
          <w:color w:val="000000" w:themeColor="text1"/>
          <w:sz w:val="18"/>
          <w:szCs w:val="22"/>
        </w:rPr>
        <w:t xml:space="preserve"> </w:t>
      </w:r>
      <w:r w:rsidR="00615EC0">
        <w:rPr>
          <w:rFonts w:ascii="Calibri" w:hAnsi="Calibri" w:cs="Calibri"/>
          <w:color w:val="000000" w:themeColor="text1"/>
          <w:sz w:val="18"/>
          <w:szCs w:val="22"/>
        </w:rPr>
        <w:t xml:space="preserve">significant </w:t>
      </w:r>
      <w:r w:rsidR="00F97A54">
        <w:rPr>
          <w:rFonts w:ascii="Calibri" w:hAnsi="Calibri" w:cs="Calibri"/>
          <w:color w:val="000000" w:themeColor="text1"/>
          <w:sz w:val="18"/>
          <w:szCs w:val="22"/>
        </w:rPr>
        <w:t>contribution</w:t>
      </w:r>
      <w:r w:rsidR="00615EC0">
        <w:rPr>
          <w:rFonts w:ascii="Calibri" w:hAnsi="Calibri" w:cs="Calibri"/>
          <w:color w:val="000000" w:themeColor="text1"/>
          <w:sz w:val="18"/>
          <w:szCs w:val="22"/>
        </w:rPr>
        <w:t xml:space="preserve"> in the promotion</w:t>
      </w:r>
      <w:r w:rsidR="003459B7" w:rsidRPr="00B10678">
        <w:rPr>
          <w:rFonts w:ascii="Calibri" w:hAnsi="Calibri" w:cs="Calibri"/>
          <w:color w:val="000000" w:themeColor="text1"/>
          <w:sz w:val="18"/>
          <w:szCs w:val="22"/>
        </w:rPr>
        <w:t xml:space="preserve"> </w:t>
      </w:r>
      <w:r w:rsidR="00F97A54">
        <w:rPr>
          <w:rFonts w:ascii="Calibri" w:hAnsi="Calibri" w:cs="Calibri"/>
          <w:color w:val="000000" w:themeColor="text1"/>
          <w:sz w:val="18"/>
          <w:szCs w:val="22"/>
        </w:rPr>
        <w:t xml:space="preserve">of </w:t>
      </w:r>
      <w:r w:rsidR="003459B7" w:rsidRPr="00B10678">
        <w:rPr>
          <w:rFonts w:ascii="Calibri" w:hAnsi="Calibri" w:cs="Calibri"/>
          <w:color w:val="000000" w:themeColor="text1"/>
          <w:sz w:val="18"/>
          <w:szCs w:val="22"/>
        </w:rPr>
        <w:t xml:space="preserve">employment of vulnerable groups.  </w:t>
      </w:r>
    </w:p>
    <w:p w14:paraId="63A97371" w14:textId="2F82ACC6" w:rsidR="00B85E14" w:rsidRPr="00B10678" w:rsidRDefault="00B85E14" w:rsidP="00B85E14">
      <w:pPr>
        <w:spacing w:after="120"/>
        <w:jc w:val="both"/>
        <w:rPr>
          <w:rFonts w:ascii="Calibri" w:hAnsi="Calibri" w:cs="Calibri"/>
          <w:color w:val="000000" w:themeColor="text1"/>
          <w:sz w:val="18"/>
          <w:szCs w:val="22"/>
        </w:rPr>
      </w:pPr>
      <w:r w:rsidRPr="00B10678">
        <w:rPr>
          <w:rFonts w:ascii="Calibri" w:hAnsi="Calibri" w:cs="Calibri"/>
          <w:color w:val="000000" w:themeColor="text1"/>
          <w:sz w:val="18"/>
          <w:szCs w:val="22"/>
        </w:rPr>
        <w:t xml:space="preserve">In addition to </w:t>
      </w:r>
      <w:r w:rsidR="0066301B">
        <w:rPr>
          <w:rFonts w:ascii="Calibri" w:hAnsi="Calibri" w:cs="Calibri"/>
          <w:color w:val="000000" w:themeColor="text1"/>
          <w:sz w:val="18"/>
          <w:szCs w:val="22"/>
        </w:rPr>
        <w:t xml:space="preserve">the </w:t>
      </w:r>
      <w:r w:rsidRPr="00B10678">
        <w:rPr>
          <w:rFonts w:ascii="Calibri" w:hAnsi="Calibri" w:cs="Calibri"/>
          <w:color w:val="000000" w:themeColor="text1"/>
          <w:sz w:val="18"/>
          <w:szCs w:val="22"/>
        </w:rPr>
        <w:t>on-going support to</w:t>
      </w:r>
      <w:r w:rsidR="0066301B">
        <w:rPr>
          <w:rFonts w:ascii="Calibri" w:hAnsi="Calibri" w:cs="Calibri"/>
          <w:color w:val="000000" w:themeColor="text1"/>
          <w:sz w:val="18"/>
          <w:szCs w:val="22"/>
        </w:rPr>
        <w:t xml:space="preserve"> the Government</w:t>
      </w:r>
      <w:r w:rsidRPr="00B10678">
        <w:rPr>
          <w:rFonts w:ascii="Calibri" w:hAnsi="Calibri" w:cs="Calibri"/>
          <w:color w:val="000000" w:themeColor="text1"/>
          <w:sz w:val="18"/>
          <w:szCs w:val="22"/>
        </w:rPr>
        <w:t xml:space="preserve"> </w:t>
      </w:r>
      <w:r w:rsidR="0066301B">
        <w:rPr>
          <w:rFonts w:ascii="Calibri" w:hAnsi="Calibri" w:cs="Calibri"/>
          <w:color w:val="000000" w:themeColor="text1"/>
          <w:sz w:val="18"/>
          <w:szCs w:val="22"/>
        </w:rPr>
        <w:t>in e</w:t>
      </w:r>
      <w:r w:rsidR="00C53889">
        <w:rPr>
          <w:rFonts w:ascii="Calibri" w:hAnsi="Calibri" w:cs="Calibri"/>
          <w:color w:val="000000" w:themeColor="text1"/>
          <w:sz w:val="18"/>
          <w:szCs w:val="22"/>
        </w:rPr>
        <w:t>n</w:t>
      </w:r>
      <w:r w:rsidR="0066301B">
        <w:rPr>
          <w:rFonts w:ascii="Calibri" w:hAnsi="Calibri" w:cs="Calibri"/>
          <w:color w:val="000000" w:themeColor="text1"/>
          <w:sz w:val="18"/>
          <w:szCs w:val="22"/>
        </w:rPr>
        <w:t>suring</w:t>
      </w:r>
      <w:r w:rsidRPr="00B10678">
        <w:rPr>
          <w:rFonts w:ascii="Calibri" w:hAnsi="Calibri" w:cs="Calibri"/>
          <w:color w:val="000000" w:themeColor="text1"/>
          <w:sz w:val="18"/>
          <w:szCs w:val="22"/>
        </w:rPr>
        <w:t xml:space="preserve"> the country’s compliance with its obligations regarding international environment conventions, UNDP’s</w:t>
      </w:r>
      <w:r>
        <w:rPr>
          <w:rFonts w:ascii="Calibri" w:hAnsi="Calibri" w:cs="Calibri"/>
          <w:color w:val="000000" w:themeColor="text1"/>
          <w:sz w:val="18"/>
          <w:szCs w:val="22"/>
        </w:rPr>
        <w:t xml:space="preserve"> role has been vital in contributing to a transformational change in</w:t>
      </w:r>
      <w:r w:rsidRPr="00B10678">
        <w:rPr>
          <w:rFonts w:ascii="Calibri" w:hAnsi="Calibri" w:cs="Calibri"/>
          <w:color w:val="000000" w:themeColor="text1"/>
          <w:sz w:val="18"/>
          <w:szCs w:val="22"/>
        </w:rPr>
        <w:t xml:space="preserve"> energy efficiency</w:t>
      </w:r>
      <w:r>
        <w:rPr>
          <w:rFonts w:ascii="Calibri" w:hAnsi="Calibri" w:cs="Calibri"/>
          <w:color w:val="000000" w:themeColor="text1"/>
          <w:sz w:val="18"/>
          <w:szCs w:val="22"/>
        </w:rPr>
        <w:t xml:space="preserve"> sector and</w:t>
      </w:r>
      <w:r w:rsidRPr="00B10678">
        <w:rPr>
          <w:rFonts w:ascii="Calibri" w:hAnsi="Calibri" w:cs="Calibri"/>
          <w:color w:val="000000" w:themeColor="text1"/>
          <w:sz w:val="18"/>
          <w:szCs w:val="22"/>
        </w:rPr>
        <w:t xml:space="preserve"> </w:t>
      </w:r>
      <w:r w:rsidRPr="00A32B15">
        <w:rPr>
          <w:rFonts w:ascii="Calibri" w:hAnsi="Calibri" w:cs="Calibri"/>
          <w:color w:val="000000" w:themeColor="text1"/>
          <w:sz w:val="18"/>
          <w:szCs w:val="22"/>
        </w:rPr>
        <w:t>the water management policy</w:t>
      </w:r>
      <w:r>
        <w:rPr>
          <w:rFonts w:ascii="Calibri" w:hAnsi="Calibri" w:cs="Calibri"/>
          <w:color w:val="000000" w:themeColor="text1"/>
          <w:sz w:val="18"/>
          <w:szCs w:val="22"/>
        </w:rPr>
        <w:t xml:space="preserve">. </w:t>
      </w:r>
    </w:p>
    <w:p w14:paraId="0D636A8A" w14:textId="7764A28D" w:rsidR="00402D57" w:rsidRPr="00B10678" w:rsidRDefault="00402D57" w:rsidP="00402D57">
      <w:pPr>
        <w:spacing w:after="120"/>
        <w:jc w:val="both"/>
        <w:rPr>
          <w:rFonts w:ascii="Calibri" w:hAnsi="Calibri" w:cs="Calibri"/>
          <w:color w:val="000000" w:themeColor="text1"/>
          <w:sz w:val="18"/>
          <w:szCs w:val="22"/>
        </w:rPr>
      </w:pPr>
      <w:r w:rsidRPr="00B10678">
        <w:rPr>
          <w:rFonts w:ascii="Calibri" w:hAnsi="Calibri" w:cs="Calibri"/>
          <w:color w:val="000000" w:themeColor="text1"/>
          <w:sz w:val="18"/>
          <w:szCs w:val="22"/>
        </w:rPr>
        <w:t xml:space="preserve">UNDP’s long term support to the Government has contributed to several significant legislative changes, improving the quality of governance systems. The highlights of these developments have been the law on </w:t>
      </w:r>
      <w:r w:rsidR="009855AD">
        <w:rPr>
          <w:rFonts w:ascii="Calibri" w:hAnsi="Calibri" w:cs="Calibri"/>
          <w:color w:val="000000" w:themeColor="text1"/>
          <w:sz w:val="18"/>
          <w:szCs w:val="22"/>
        </w:rPr>
        <w:t>s</w:t>
      </w:r>
      <w:r w:rsidRPr="00B10678">
        <w:rPr>
          <w:rFonts w:ascii="Calibri" w:hAnsi="Calibri" w:cs="Calibri"/>
          <w:color w:val="000000" w:themeColor="text1"/>
          <w:sz w:val="18"/>
          <w:szCs w:val="22"/>
        </w:rPr>
        <w:t xml:space="preserve">ocial </w:t>
      </w:r>
      <w:r w:rsidR="009855AD">
        <w:rPr>
          <w:rFonts w:ascii="Calibri" w:hAnsi="Calibri" w:cs="Calibri"/>
          <w:color w:val="000000" w:themeColor="text1"/>
          <w:sz w:val="18"/>
          <w:szCs w:val="22"/>
        </w:rPr>
        <w:t>p</w:t>
      </w:r>
      <w:r w:rsidRPr="00B10678">
        <w:rPr>
          <w:rFonts w:ascii="Calibri" w:hAnsi="Calibri" w:cs="Calibri"/>
          <w:color w:val="000000" w:themeColor="text1"/>
          <w:sz w:val="18"/>
          <w:szCs w:val="22"/>
        </w:rPr>
        <w:t>artnership, law on transparency of government authorities, and the resolution on regulatory impact assessment of laws affecting entrepreneurship activities. The year 2014 showed results of UNDP’s substantive support in the preparation of the National Action Plan on follow-up to UPR recommendations as the plan was endorsed by the Government.</w:t>
      </w:r>
    </w:p>
    <w:p w14:paraId="507CF9DD" w14:textId="5571E615" w:rsidR="007B0DF0" w:rsidRDefault="00672188" w:rsidP="00975D01">
      <w:pPr>
        <w:spacing w:after="120"/>
        <w:jc w:val="both"/>
        <w:rPr>
          <w:rFonts w:ascii="Calibri" w:hAnsi="Calibri" w:cs="Calibri"/>
          <w:color w:val="000000" w:themeColor="text1"/>
          <w:sz w:val="18"/>
          <w:szCs w:val="22"/>
        </w:rPr>
      </w:pPr>
      <w:r w:rsidRPr="00B10678">
        <w:rPr>
          <w:rFonts w:ascii="Calibri" w:hAnsi="Calibri" w:cs="Calibri"/>
          <w:color w:val="000000" w:themeColor="text1"/>
          <w:sz w:val="18"/>
          <w:szCs w:val="22"/>
        </w:rPr>
        <w:t xml:space="preserve">In terms of </w:t>
      </w:r>
      <w:r w:rsidR="00197A95" w:rsidRPr="00B10678">
        <w:rPr>
          <w:rFonts w:ascii="Calibri" w:hAnsi="Calibri" w:cs="Calibri"/>
          <w:color w:val="000000" w:themeColor="text1"/>
          <w:sz w:val="18"/>
          <w:szCs w:val="22"/>
        </w:rPr>
        <w:t xml:space="preserve">gender mainstreaming </w:t>
      </w:r>
      <w:r w:rsidR="00C241B0" w:rsidRPr="00B10678">
        <w:rPr>
          <w:rFonts w:ascii="Calibri" w:hAnsi="Calibri" w:cs="Calibri"/>
          <w:color w:val="000000" w:themeColor="text1"/>
          <w:sz w:val="18"/>
          <w:szCs w:val="22"/>
        </w:rPr>
        <w:t xml:space="preserve">UNDP cooperated with the government in </w:t>
      </w:r>
      <w:r w:rsidR="004B70D3">
        <w:rPr>
          <w:rFonts w:ascii="Calibri" w:hAnsi="Calibri" w:cs="Calibri"/>
          <w:color w:val="000000" w:themeColor="text1"/>
          <w:sz w:val="18"/>
          <w:szCs w:val="22"/>
        </w:rPr>
        <w:t>developing</w:t>
      </w:r>
      <w:r w:rsidR="00417BE1" w:rsidRPr="00B10678">
        <w:rPr>
          <w:rFonts w:ascii="Calibri" w:hAnsi="Calibri" w:cs="Calibri"/>
          <w:color w:val="000000" w:themeColor="text1"/>
          <w:sz w:val="18"/>
          <w:szCs w:val="22"/>
        </w:rPr>
        <w:t xml:space="preserve"> guide</w:t>
      </w:r>
      <w:r w:rsidR="001E3FF4" w:rsidRPr="00B10678">
        <w:rPr>
          <w:rFonts w:ascii="Calibri" w:hAnsi="Calibri" w:cs="Calibri"/>
          <w:color w:val="000000" w:themeColor="text1"/>
          <w:sz w:val="18"/>
          <w:szCs w:val="22"/>
        </w:rPr>
        <w:t>lines and policy documents in areas such as</w:t>
      </w:r>
      <w:r w:rsidR="00197A95" w:rsidRPr="00B10678">
        <w:rPr>
          <w:rFonts w:ascii="Calibri" w:hAnsi="Calibri" w:cs="Calibri"/>
          <w:color w:val="000000" w:themeColor="text1"/>
          <w:sz w:val="18"/>
          <w:szCs w:val="22"/>
        </w:rPr>
        <w:t xml:space="preserve"> </w:t>
      </w:r>
      <w:r w:rsidR="00417BE1" w:rsidRPr="00B10678">
        <w:rPr>
          <w:rFonts w:ascii="Calibri" w:hAnsi="Calibri" w:cs="Calibri"/>
          <w:color w:val="000000" w:themeColor="text1"/>
          <w:sz w:val="18"/>
          <w:szCs w:val="22"/>
        </w:rPr>
        <w:t>g</w:t>
      </w:r>
      <w:r w:rsidR="00197A95" w:rsidRPr="00B10678">
        <w:rPr>
          <w:rFonts w:ascii="Calibri" w:hAnsi="Calibri" w:cs="Calibri"/>
          <w:color w:val="000000" w:themeColor="text1"/>
          <w:sz w:val="18"/>
          <w:szCs w:val="22"/>
        </w:rPr>
        <w:t>ender-sensitive budgeting for civil servants</w:t>
      </w:r>
      <w:r w:rsidR="002524FC" w:rsidRPr="00B10678">
        <w:rPr>
          <w:rFonts w:ascii="Calibri" w:hAnsi="Calibri" w:cs="Calibri"/>
          <w:color w:val="000000" w:themeColor="text1"/>
          <w:sz w:val="18"/>
          <w:szCs w:val="22"/>
        </w:rPr>
        <w:t xml:space="preserve"> and </w:t>
      </w:r>
      <w:r w:rsidR="002524FC" w:rsidRPr="00975D01">
        <w:rPr>
          <w:rFonts w:ascii="Calibri" w:hAnsi="Calibri" w:cs="Calibri"/>
          <w:color w:val="000000" w:themeColor="text1"/>
          <w:sz w:val="18"/>
          <w:szCs w:val="22"/>
        </w:rPr>
        <w:t>gender considerations in employment policies</w:t>
      </w:r>
      <w:r w:rsidR="00784F4E" w:rsidRPr="00B10678">
        <w:rPr>
          <w:rFonts w:ascii="Calibri" w:hAnsi="Calibri" w:cs="Calibri"/>
          <w:color w:val="000000" w:themeColor="text1"/>
          <w:sz w:val="18"/>
          <w:szCs w:val="22"/>
        </w:rPr>
        <w:t>.</w:t>
      </w:r>
      <w:r w:rsidR="00133ABE" w:rsidRPr="00B10678">
        <w:rPr>
          <w:rFonts w:ascii="Calibri" w:hAnsi="Calibri" w:cs="Calibri"/>
          <w:color w:val="000000" w:themeColor="text1"/>
          <w:sz w:val="18"/>
          <w:szCs w:val="22"/>
        </w:rPr>
        <w:t xml:space="preserve"> </w:t>
      </w:r>
      <w:r w:rsidR="00D75528" w:rsidRPr="00B10678">
        <w:rPr>
          <w:rFonts w:ascii="Calibri" w:hAnsi="Calibri" w:cs="Calibri"/>
          <w:color w:val="000000" w:themeColor="text1"/>
          <w:sz w:val="18"/>
          <w:szCs w:val="22"/>
        </w:rPr>
        <w:t xml:space="preserve">Overall </w:t>
      </w:r>
      <w:r w:rsidR="00C07BD1" w:rsidRPr="00B10678">
        <w:rPr>
          <w:rFonts w:ascii="Calibri" w:hAnsi="Calibri" w:cs="Calibri"/>
          <w:color w:val="000000" w:themeColor="text1"/>
          <w:sz w:val="18"/>
          <w:szCs w:val="22"/>
        </w:rPr>
        <w:t>UNDP has been successful in ensuring</w:t>
      </w:r>
      <w:r w:rsidR="00D75528" w:rsidRPr="00B10678">
        <w:rPr>
          <w:rFonts w:ascii="Calibri" w:hAnsi="Calibri" w:cs="Calibri"/>
          <w:color w:val="000000" w:themeColor="text1"/>
          <w:sz w:val="18"/>
          <w:szCs w:val="22"/>
        </w:rPr>
        <w:t xml:space="preserve"> women’</w:t>
      </w:r>
      <w:r w:rsidR="00254412" w:rsidRPr="00B10678">
        <w:rPr>
          <w:rFonts w:ascii="Calibri" w:hAnsi="Calibri" w:cs="Calibri"/>
          <w:color w:val="000000" w:themeColor="text1"/>
          <w:sz w:val="18"/>
          <w:szCs w:val="22"/>
        </w:rPr>
        <w:t xml:space="preserve">s participation </w:t>
      </w:r>
      <w:r w:rsidR="00C07BD1" w:rsidRPr="00B10678">
        <w:rPr>
          <w:rFonts w:ascii="Calibri" w:hAnsi="Calibri" w:cs="Calibri"/>
          <w:color w:val="000000" w:themeColor="text1"/>
          <w:sz w:val="18"/>
          <w:szCs w:val="22"/>
        </w:rPr>
        <w:t xml:space="preserve">in </w:t>
      </w:r>
      <w:r w:rsidR="00254412" w:rsidRPr="00B10678">
        <w:rPr>
          <w:rFonts w:ascii="Calibri" w:hAnsi="Calibri" w:cs="Calibri"/>
          <w:color w:val="000000" w:themeColor="text1"/>
          <w:sz w:val="18"/>
          <w:szCs w:val="22"/>
        </w:rPr>
        <w:t xml:space="preserve">diverse </w:t>
      </w:r>
      <w:r w:rsidR="00C07BD1" w:rsidRPr="00B10678">
        <w:rPr>
          <w:rFonts w:ascii="Calibri" w:hAnsi="Calibri" w:cs="Calibri"/>
          <w:color w:val="000000" w:themeColor="text1"/>
          <w:sz w:val="18"/>
          <w:szCs w:val="22"/>
        </w:rPr>
        <w:t xml:space="preserve">development </w:t>
      </w:r>
      <w:r w:rsidR="00254412" w:rsidRPr="00B10678">
        <w:rPr>
          <w:rFonts w:ascii="Calibri" w:hAnsi="Calibri" w:cs="Calibri"/>
          <w:color w:val="000000" w:themeColor="text1"/>
          <w:sz w:val="18"/>
          <w:szCs w:val="22"/>
        </w:rPr>
        <w:t>in</w:t>
      </w:r>
      <w:r w:rsidR="00C07BD1" w:rsidRPr="00B10678">
        <w:rPr>
          <w:rFonts w:ascii="Calibri" w:hAnsi="Calibri" w:cs="Calibri"/>
          <w:color w:val="000000" w:themeColor="text1"/>
          <w:sz w:val="18"/>
          <w:szCs w:val="22"/>
        </w:rPr>
        <w:t xml:space="preserve">itiatives such as </w:t>
      </w:r>
      <w:r w:rsidR="00C43D8B" w:rsidRPr="00B10678">
        <w:rPr>
          <w:rFonts w:ascii="Calibri" w:hAnsi="Calibri" w:cs="Calibri"/>
          <w:color w:val="000000" w:themeColor="text1"/>
          <w:sz w:val="18"/>
          <w:szCs w:val="22"/>
        </w:rPr>
        <w:t>the UN Joint Programme</w:t>
      </w:r>
      <w:r w:rsidR="00C07BD1" w:rsidRPr="00B10678">
        <w:rPr>
          <w:rFonts w:ascii="Calibri" w:hAnsi="Calibri" w:cs="Calibri"/>
          <w:color w:val="000000" w:themeColor="text1"/>
          <w:sz w:val="18"/>
          <w:szCs w:val="22"/>
        </w:rPr>
        <w:t xml:space="preserve"> for Aral Sea disaster where</w:t>
      </w:r>
      <w:r w:rsidR="0087714D">
        <w:rPr>
          <w:rFonts w:ascii="Calibri" w:hAnsi="Calibri" w:cs="Calibri"/>
          <w:color w:val="000000" w:themeColor="text1"/>
          <w:sz w:val="18"/>
          <w:szCs w:val="22"/>
        </w:rPr>
        <w:t xml:space="preserve"> </w:t>
      </w:r>
      <w:r w:rsidR="00C43D8B" w:rsidRPr="00B10678">
        <w:rPr>
          <w:rFonts w:ascii="Calibri" w:hAnsi="Calibri" w:cs="Calibri"/>
          <w:color w:val="000000" w:themeColor="text1"/>
          <w:sz w:val="18"/>
          <w:szCs w:val="22"/>
        </w:rPr>
        <w:t>46 % of the direct beneficiaries of the</w:t>
      </w:r>
      <w:r w:rsidR="00CE5300" w:rsidRPr="00B10678">
        <w:rPr>
          <w:rFonts w:ascii="Calibri" w:hAnsi="Calibri" w:cs="Calibri"/>
          <w:color w:val="000000" w:themeColor="text1"/>
          <w:sz w:val="18"/>
          <w:szCs w:val="22"/>
        </w:rPr>
        <w:t xml:space="preserve"> </w:t>
      </w:r>
      <w:r w:rsidR="00C43D8B" w:rsidRPr="00B10678">
        <w:rPr>
          <w:rFonts w:ascii="Calibri" w:hAnsi="Calibri" w:cs="Calibri"/>
          <w:color w:val="000000" w:themeColor="text1"/>
          <w:sz w:val="18"/>
          <w:szCs w:val="22"/>
        </w:rPr>
        <w:t xml:space="preserve">income generation </w:t>
      </w:r>
      <w:r w:rsidR="00CE5300" w:rsidRPr="00B10678">
        <w:rPr>
          <w:rFonts w:ascii="Calibri" w:hAnsi="Calibri" w:cs="Calibri"/>
          <w:color w:val="000000" w:themeColor="text1"/>
          <w:sz w:val="18"/>
          <w:szCs w:val="22"/>
        </w:rPr>
        <w:t>projects</w:t>
      </w:r>
      <w:r w:rsidR="00C43D8B" w:rsidRPr="00B10678">
        <w:rPr>
          <w:rFonts w:ascii="Calibri" w:hAnsi="Calibri" w:cs="Calibri"/>
          <w:color w:val="000000" w:themeColor="text1"/>
          <w:sz w:val="18"/>
          <w:szCs w:val="22"/>
        </w:rPr>
        <w:t xml:space="preserve"> </w:t>
      </w:r>
      <w:r w:rsidR="00B358BA" w:rsidRPr="00B10678">
        <w:rPr>
          <w:rFonts w:ascii="Calibri" w:hAnsi="Calibri" w:cs="Calibri"/>
          <w:color w:val="000000" w:themeColor="text1"/>
          <w:sz w:val="18"/>
          <w:szCs w:val="22"/>
        </w:rPr>
        <w:t>were women</w:t>
      </w:r>
      <w:r w:rsidR="006B1BDB" w:rsidRPr="00B10678">
        <w:rPr>
          <w:rFonts w:ascii="Calibri" w:hAnsi="Calibri" w:cs="Calibri"/>
          <w:color w:val="000000" w:themeColor="text1"/>
          <w:sz w:val="18"/>
          <w:szCs w:val="22"/>
        </w:rPr>
        <w:t>.</w:t>
      </w:r>
    </w:p>
    <w:p w14:paraId="0E971AF4" w14:textId="02466865" w:rsidR="00423C97" w:rsidRDefault="00583744" w:rsidP="00577474">
      <w:pPr>
        <w:spacing w:after="120"/>
        <w:jc w:val="both"/>
        <w:rPr>
          <w:rFonts w:ascii="Calibri" w:hAnsi="Calibri" w:cs="Calibri"/>
          <w:color w:val="000000" w:themeColor="text1"/>
          <w:sz w:val="18"/>
          <w:szCs w:val="22"/>
        </w:rPr>
      </w:pPr>
      <w:r w:rsidRPr="00B10678">
        <w:rPr>
          <w:rFonts w:ascii="Calibri" w:hAnsi="Calibri" w:cs="Calibri"/>
          <w:color w:val="000000" w:themeColor="text1"/>
          <w:sz w:val="18"/>
          <w:szCs w:val="22"/>
        </w:rPr>
        <w:t>Throughout the programme cycle UNDP has focused on</w:t>
      </w:r>
      <w:r w:rsidR="009B19D9" w:rsidRPr="00B10678">
        <w:rPr>
          <w:rFonts w:ascii="Calibri" w:hAnsi="Calibri" w:cs="Calibri"/>
          <w:color w:val="000000" w:themeColor="text1"/>
          <w:sz w:val="18"/>
          <w:szCs w:val="22"/>
        </w:rPr>
        <w:t xml:space="preserve"> building</w:t>
      </w:r>
      <w:r w:rsidRPr="00B10678">
        <w:rPr>
          <w:rFonts w:ascii="Calibri" w:hAnsi="Calibri" w:cs="Calibri"/>
          <w:color w:val="000000" w:themeColor="text1"/>
          <w:sz w:val="18"/>
          <w:szCs w:val="22"/>
        </w:rPr>
        <w:t xml:space="preserve"> steady and long-term partnership</w:t>
      </w:r>
      <w:r w:rsidR="00716581" w:rsidRPr="00B10678">
        <w:rPr>
          <w:rFonts w:ascii="Calibri" w:hAnsi="Calibri" w:cs="Calibri"/>
          <w:color w:val="000000" w:themeColor="text1"/>
          <w:sz w:val="18"/>
          <w:szCs w:val="22"/>
        </w:rPr>
        <w:t>s</w:t>
      </w:r>
      <w:r w:rsidR="009B19D9" w:rsidRPr="00B10678">
        <w:rPr>
          <w:rFonts w:ascii="Calibri" w:hAnsi="Calibri" w:cs="Calibri"/>
          <w:color w:val="000000" w:themeColor="text1"/>
          <w:sz w:val="18"/>
          <w:szCs w:val="22"/>
        </w:rPr>
        <w:t xml:space="preserve"> not only with the national counterparts</w:t>
      </w:r>
      <w:r w:rsidR="00716581" w:rsidRPr="00B10678">
        <w:rPr>
          <w:rFonts w:ascii="Calibri" w:hAnsi="Calibri" w:cs="Calibri"/>
          <w:color w:val="000000" w:themeColor="text1"/>
          <w:sz w:val="18"/>
          <w:szCs w:val="22"/>
        </w:rPr>
        <w:t xml:space="preserve"> and the UN agencies</w:t>
      </w:r>
      <w:r w:rsidR="009B19D9" w:rsidRPr="00B10678">
        <w:rPr>
          <w:rFonts w:ascii="Calibri" w:hAnsi="Calibri" w:cs="Calibri"/>
          <w:color w:val="000000" w:themeColor="text1"/>
          <w:sz w:val="18"/>
          <w:szCs w:val="22"/>
        </w:rPr>
        <w:t>, but also with donors such as the EU delegation, USAID, UK Embassy</w:t>
      </w:r>
      <w:r w:rsidR="003606CA" w:rsidRPr="00B10678">
        <w:rPr>
          <w:rFonts w:ascii="Calibri" w:hAnsi="Calibri" w:cs="Calibri"/>
          <w:color w:val="000000" w:themeColor="text1"/>
          <w:sz w:val="18"/>
          <w:szCs w:val="22"/>
        </w:rPr>
        <w:t>,</w:t>
      </w:r>
      <w:r w:rsidR="009B19D9" w:rsidRPr="00B10678">
        <w:rPr>
          <w:rFonts w:ascii="Calibri" w:hAnsi="Calibri" w:cs="Calibri"/>
          <w:color w:val="000000" w:themeColor="text1"/>
          <w:sz w:val="18"/>
          <w:szCs w:val="22"/>
        </w:rPr>
        <w:t xml:space="preserve"> and other bilateral/deve</w:t>
      </w:r>
      <w:r w:rsidRPr="00B10678">
        <w:rPr>
          <w:rFonts w:ascii="Calibri" w:hAnsi="Calibri" w:cs="Calibri"/>
          <w:color w:val="000000" w:themeColor="text1"/>
          <w:sz w:val="18"/>
          <w:szCs w:val="22"/>
        </w:rPr>
        <w:t xml:space="preserve">lopment missions, which have </w:t>
      </w:r>
      <w:r w:rsidR="009B19D9" w:rsidRPr="00B10678">
        <w:rPr>
          <w:rFonts w:ascii="Calibri" w:hAnsi="Calibri" w:cs="Calibri"/>
          <w:color w:val="000000" w:themeColor="text1"/>
          <w:sz w:val="18"/>
          <w:szCs w:val="22"/>
        </w:rPr>
        <w:t xml:space="preserve">resulted in concrete fundraising for new initiatives. Further to the resource mobilization from the traditional donors, there has been some trend towards </w:t>
      </w:r>
      <w:r w:rsidR="00BB5B1B" w:rsidRPr="00B10678">
        <w:rPr>
          <w:rFonts w:ascii="Calibri" w:hAnsi="Calibri" w:cs="Calibri"/>
          <w:color w:val="000000" w:themeColor="text1"/>
          <w:sz w:val="18"/>
          <w:szCs w:val="22"/>
        </w:rPr>
        <w:t xml:space="preserve">diversification of </w:t>
      </w:r>
      <w:r w:rsidR="009B19D9" w:rsidRPr="00B10678">
        <w:rPr>
          <w:rFonts w:ascii="Calibri" w:hAnsi="Calibri" w:cs="Calibri"/>
          <w:color w:val="000000" w:themeColor="text1"/>
          <w:sz w:val="18"/>
          <w:szCs w:val="22"/>
        </w:rPr>
        <w:t>funding opportunities</w:t>
      </w:r>
      <w:proofErr w:type="gramStart"/>
      <w:r w:rsidR="009B19D9" w:rsidRPr="00B10678">
        <w:rPr>
          <w:rFonts w:ascii="Calibri" w:hAnsi="Calibri" w:cs="Calibri"/>
          <w:color w:val="000000" w:themeColor="text1"/>
          <w:sz w:val="18"/>
          <w:szCs w:val="22"/>
        </w:rPr>
        <w:t>,.</w:t>
      </w:r>
      <w:proofErr w:type="gramEnd"/>
      <w:r w:rsidR="009B19D9" w:rsidRPr="00B10678">
        <w:rPr>
          <w:rFonts w:ascii="Calibri" w:hAnsi="Calibri" w:cs="Calibri"/>
          <w:color w:val="000000" w:themeColor="text1"/>
          <w:sz w:val="18"/>
          <w:szCs w:val="22"/>
        </w:rPr>
        <w:t xml:space="preserve"> </w:t>
      </w:r>
    </w:p>
    <w:p w14:paraId="2685AC31" w14:textId="1D2798CC" w:rsidR="00724314" w:rsidRPr="00B10678" w:rsidRDefault="00724314" w:rsidP="00577474">
      <w:pPr>
        <w:spacing w:after="120"/>
        <w:jc w:val="both"/>
        <w:rPr>
          <w:rFonts w:ascii="Calibri" w:hAnsi="Calibri" w:cs="Calibri"/>
          <w:color w:val="000000" w:themeColor="text1"/>
          <w:sz w:val="18"/>
          <w:szCs w:val="22"/>
        </w:rPr>
      </w:pPr>
      <w:r w:rsidRPr="00724314">
        <w:rPr>
          <w:rFonts w:ascii="Calibri" w:hAnsi="Calibri" w:cs="Calibri"/>
          <w:color w:val="000000" w:themeColor="text1"/>
          <w:sz w:val="18"/>
          <w:szCs w:val="22"/>
        </w:rPr>
        <w:t xml:space="preserve">In the period 2010-2015, in partnership with international community and the Government of </w:t>
      </w:r>
      <w:r w:rsidR="007E21C9">
        <w:rPr>
          <w:rFonts w:ascii="Calibri" w:hAnsi="Calibri" w:cs="Calibri"/>
          <w:color w:val="000000" w:themeColor="text1"/>
          <w:sz w:val="18"/>
          <w:szCs w:val="22"/>
        </w:rPr>
        <w:t>Uzbekistan</w:t>
      </w:r>
      <w:r w:rsidRPr="00724314">
        <w:rPr>
          <w:rFonts w:ascii="Calibri" w:hAnsi="Calibri" w:cs="Calibri"/>
          <w:color w:val="000000" w:themeColor="text1"/>
          <w:sz w:val="18"/>
          <w:szCs w:val="22"/>
        </w:rPr>
        <w:t xml:space="preserve">, UNDP mobilized and delivered programmes of a total value of </w:t>
      </w:r>
      <w:r w:rsidR="007E21C9">
        <w:rPr>
          <w:rFonts w:ascii="Calibri" w:hAnsi="Calibri" w:cs="Calibri"/>
          <w:color w:val="000000" w:themeColor="text1"/>
          <w:sz w:val="18"/>
          <w:szCs w:val="22"/>
        </w:rPr>
        <w:t>approximately</w:t>
      </w:r>
      <w:r w:rsidRPr="00724314">
        <w:rPr>
          <w:rFonts w:ascii="Calibri" w:hAnsi="Calibri" w:cs="Calibri"/>
          <w:color w:val="000000" w:themeColor="text1"/>
          <w:sz w:val="18"/>
          <w:szCs w:val="22"/>
        </w:rPr>
        <w:t xml:space="preserve"> US$</w:t>
      </w:r>
      <w:r w:rsidR="007E21C9">
        <w:rPr>
          <w:rFonts w:ascii="Calibri" w:hAnsi="Calibri" w:cs="Calibri"/>
          <w:color w:val="000000" w:themeColor="text1"/>
          <w:sz w:val="18"/>
          <w:szCs w:val="22"/>
        </w:rPr>
        <w:t>102</w:t>
      </w:r>
      <w:r w:rsidRPr="00724314">
        <w:rPr>
          <w:rFonts w:ascii="Calibri" w:hAnsi="Calibri" w:cs="Calibri"/>
          <w:color w:val="000000" w:themeColor="text1"/>
          <w:sz w:val="18"/>
          <w:szCs w:val="22"/>
        </w:rPr>
        <w:t xml:space="preserve"> million. The top </w:t>
      </w:r>
      <w:r w:rsidR="007E21C9">
        <w:rPr>
          <w:rFonts w:ascii="Calibri" w:hAnsi="Calibri" w:cs="Calibri"/>
          <w:color w:val="000000" w:themeColor="text1"/>
          <w:sz w:val="18"/>
          <w:szCs w:val="22"/>
        </w:rPr>
        <w:t>three</w:t>
      </w:r>
      <w:r w:rsidRPr="00724314">
        <w:rPr>
          <w:rFonts w:ascii="Calibri" w:hAnsi="Calibri" w:cs="Calibri"/>
          <w:color w:val="000000" w:themeColor="text1"/>
          <w:sz w:val="18"/>
          <w:szCs w:val="22"/>
        </w:rPr>
        <w:t xml:space="preserve"> financial contributors to the Country Programme in </w:t>
      </w:r>
      <w:r w:rsidR="007E21C9">
        <w:rPr>
          <w:rFonts w:ascii="Calibri" w:hAnsi="Calibri" w:cs="Calibri"/>
          <w:color w:val="000000" w:themeColor="text1"/>
          <w:sz w:val="18"/>
          <w:szCs w:val="22"/>
        </w:rPr>
        <w:t>Uzbekistan</w:t>
      </w:r>
      <w:r w:rsidRPr="00724314">
        <w:rPr>
          <w:rFonts w:ascii="Calibri" w:hAnsi="Calibri" w:cs="Calibri"/>
          <w:color w:val="000000" w:themeColor="text1"/>
          <w:sz w:val="18"/>
          <w:szCs w:val="22"/>
        </w:rPr>
        <w:t xml:space="preserve"> included the Global Fund to Fight AIDS, Tuberculosis and Malaria, </w:t>
      </w:r>
      <w:r w:rsidR="007E21C9">
        <w:rPr>
          <w:rFonts w:ascii="Calibri" w:hAnsi="Calibri" w:cs="Calibri"/>
          <w:color w:val="000000" w:themeColor="text1"/>
          <w:sz w:val="18"/>
          <w:szCs w:val="22"/>
        </w:rPr>
        <w:t>GEF, the European Commission.</w:t>
      </w:r>
      <w:r w:rsidR="00867235">
        <w:rPr>
          <w:rFonts w:ascii="Calibri" w:hAnsi="Calibri" w:cs="Calibri"/>
          <w:color w:val="000000" w:themeColor="text1"/>
          <w:sz w:val="18"/>
          <w:szCs w:val="22"/>
        </w:rPr>
        <w:t xml:space="preserve"> Cost-sharing provided by the Government of Uzbekistan exceeded $3.5 million. </w:t>
      </w:r>
    </w:p>
    <w:p w14:paraId="402B9E7B" w14:textId="77777777" w:rsidR="00E770DC" w:rsidRDefault="00E770DC" w:rsidP="00E770DC">
      <w:pPr>
        <w:pStyle w:val="BodyText2"/>
        <w:rPr>
          <w:rFonts w:ascii="Times New Roman" w:hAnsi="Times New Roman"/>
          <w:sz w:val="24"/>
        </w:rPr>
      </w:pPr>
    </w:p>
    <w:p w14:paraId="402B9E7C" w14:textId="77777777" w:rsidR="0037523B" w:rsidRDefault="0037523B" w:rsidP="00975566">
      <w:pPr>
        <w:pStyle w:val="BodyText2"/>
        <w:jc w:val="center"/>
        <w:rPr>
          <w:rFonts w:ascii="Times New Roman" w:hAnsi="Times New Roman"/>
          <w:b/>
          <w:sz w:val="24"/>
        </w:rPr>
      </w:pPr>
    </w:p>
    <w:p w14:paraId="402B9E7D" w14:textId="77777777" w:rsidR="0037523B" w:rsidRDefault="0037523B" w:rsidP="00975566">
      <w:pPr>
        <w:pStyle w:val="BodyText2"/>
        <w:jc w:val="center"/>
        <w:rPr>
          <w:rFonts w:ascii="Times New Roman" w:hAnsi="Times New Roman"/>
          <w:b/>
          <w:sz w:val="24"/>
        </w:rPr>
      </w:pPr>
    </w:p>
    <w:p w14:paraId="402B9E7E" w14:textId="77777777" w:rsidR="0037523B" w:rsidRDefault="0037523B" w:rsidP="00975566">
      <w:pPr>
        <w:pStyle w:val="BodyText2"/>
        <w:jc w:val="center"/>
        <w:rPr>
          <w:rFonts w:ascii="Times New Roman" w:hAnsi="Times New Roman"/>
          <w:b/>
          <w:sz w:val="24"/>
        </w:rPr>
      </w:pPr>
    </w:p>
    <w:p w14:paraId="402B9E83" w14:textId="77777777" w:rsidR="0037523B" w:rsidRDefault="0037523B" w:rsidP="00975566">
      <w:pPr>
        <w:pStyle w:val="BodyText2"/>
        <w:jc w:val="center"/>
        <w:rPr>
          <w:rFonts w:ascii="Times New Roman" w:hAnsi="Times New Roman"/>
          <w:b/>
          <w:sz w:val="24"/>
        </w:rPr>
      </w:pPr>
    </w:p>
    <w:p w14:paraId="402B9E84" w14:textId="77777777" w:rsidR="0037523B" w:rsidRDefault="0037523B" w:rsidP="00975566">
      <w:pPr>
        <w:pStyle w:val="BodyText2"/>
        <w:jc w:val="center"/>
        <w:rPr>
          <w:rFonts w:ascii="Times New Roman" w:hAnsi="Times New Roman"/>
          <w:b/>
          <w:sz w:val="24"/>
        </w:rPr>
      </w:pPr>
    </w:p>
    <w:p w14:paraId="402B9E85" w14:textId="77777777" w:rsidR="0037523B" w:rsidRDefault="0037523B" w:rsidP="00975566">
      <w:pPr>
        <w:pStyle w:val="BodyText2"/>
        <w:jc w:val="center"/>
        <w:rPr>
          <w:rFonts w:ascii="Times New Roman" w:hAnsi="Times New Roman"/>
          <w:b/>
          <w:sz w:val="24"/>
        </w:rPr>
      </w:pPr>
    </w:p>
    <w:p w14:paraId="402B9E86" w14:textId="77777777" w:rsidR="0037523B" w:rsidRDefault="0037523B" w:rsidP="00975566">
      <w:pPr>
        <w:pStyle w:val="BodyText2"/>
        <w:jc w:val="center"/>
        <w:rPr>
          <w:rFonts w:ascii="Times New Roman" w:hAnsi="Times New Roman"/>
          <w:b/>
          <w:sz w:val="24"/>
        </w:rPr>
      </w:pPr>
    </w:p>
    <w:p w14:paraId="402B9E87" w14:textId="77777777" w:rsidR="0037523B" w:rsidRDefault="0037523B" w:rsidP="00975566">
      <w:pPr>
        <w:pStyle w:val="BodyText2"/>
        <w:jc w:val="center"/>
        <w:rPr>
          <w:rFonts w:ascii="Times New Roman" w:hAnsi="Times New Roman"/>
          <w:b/>
          <w:sz w:val="24"/>
        </w:rPr>
      </w:pPr>
    </w:p>
    <w:p w14:paraId="402B9E88" w14:textId="77777777" w:rsidR="0037523B" w:rsidRDefault="0037523B" w:rsidP="00975566">
      <w:pPr>
        <w:pStyle w:val="BodyText2"/>
        <w:jc w:val="center"/>
        <w:rPr>
          <w:rFonts w:ascii="Times New Roman" w:hAnsi="Times New Roman"/>
          <w:b/>
          <w:sz w:val="24"/>
        </w:rPr>
      </w:pPr>
    </w:p>
    <w:p w14:paraId="402B9E89" w14:textId="77777777" w:rsidR="0037523B" w:rsidRDefault="0037523B" w:rsidP="00975566">
      <w:pPr>
        <w:pStyle w:val="BodyText2"/>
        <w:jc w:val="center"/>
        <w:rPr>
          <w:rFonts w:ascii="Times New Roman" w:hAnsi="Times New Roman"/>
          <w:b/>
          <w:sz w:val="24"/>
        </w:rPr>
      </w:pPr>
    </w:p>
    <w:p w14:paraId="402B9E8A" w14:textId="77777777" w:rsidR="0037523B" w:rsidRDefault="0037523B" w:rsidP="00975566">
      <w:pPr>
        <w:pStyle w:val="BodyText2"/>
        <w:jc w:val="center"/>
        <w:rPr>
          <w:rFonts w:ascii="Times New Roman" w:hAnsi="Times New Roman"/>
          <w:b/>
          <w:sz w:val="24"/>
        </w:rPr>
      </w:pPr>
    </w:p>
    <w:p w14:paraId="402B9E8B" w14:textId="77777777" w:rsidR="0037523B" w:rsidRDefault="0037523B" w:rsidP="00975566">
      <w:pPr>
        <w:pStyle w:val="BodyText2"/>
        <w:jc w:val="center"/>
        <w:rPr>
          <w:rFonts w:ascii="Times New Roman" w:hAnsi="Times New Roman"/>
          <w:b/>
          <w:sz w:val="24"/>
        </w:rPr>
      </w:pPr>
    </w:p>
    <w:p w14:paraId="402B9E8C" w14:textId="77777777" w:rsidR="0037523B" w:rsidRDefault="0037523B" w:rsidP="00975566">
      <w:pPr>
        <w:pStyle w:val="BodyText2"/>
        <w:jc w:val="center"/>
        <w:rPr>
          <w:rFonts w:ascii="Times New Roman" w:hAnsi="Times New Roman"/>
          <w:b/>
          <w:sz w:val="24"/>
        </w:rPr>
        <w:sectPr w:rsidR="0037523B">
          <w:headerReference w:type="default" r:id="rId13"/>
          <w:footerReference w:type="default" r:id="rId14"/>
          <w:endnotePr>
            <w:numFmt w:val="decimal"/>
          </w:endnotePr>
          <w:pgSz w:w="11907" w:h="16840" w:code="9"/>
          <w:pgMar w:top="1440" w:right="1440" w:bottom="1440" w:left="1440" w:header="720" w:footer="720" w:gutter="0"/>
          <w:cols w:space="720"/>
        </w:sectPr>
      </w:pPr>
    </w:p>
    <w:p w14:paraId="402B9E8D" w14:textId="77777777" w:rsidR="00975566" w:rsidRPr="00517955" w:rsidRDefault="006900FE" w:rsidP="008440D9">
      <w:pPr>
        <w:pStyle w:val="Heading3"/>
        <w:jc w:val="left"/>
        <w:rPr>
          <w:rFonts w:asciiTheme="minorHAnsi" w:hAnsiTheme="minorHAnsi"/>
          <w:b/>
        </w:rPr>
      </w:pPr>
      <w:r>
        <w:rPr>
          <w:rFonts w:asciiTheme="minorHAnsi" w:hAnsiTheme="minorHAnsi"/>
          <w:b/>
        </w:rPr>
        <w:lastRenderedPageBreak/>
        <w:t>II</w:t>
      </w:r>
      <w:r w:rsidR="0081403B" w:rsidRPr="00517955">
        <w:rPr>
          <w:rFonts w:asciiTheme="minorHAnsi" w:hAnsiTheme="minorHAnsi"/>
          <w:b/>
        </w:rPr>
        <w:t xml:space="preserve">: </w:t>
      </w:r>
      <w:r w:rsidR="000C09B4" w:rsidRPr="00517955">
        <w:rPr>
          <w:rFonts w:asciiTheme="minorHAnsi" w:hAnsiTheme="minorHAnsi"/>
          <w:b/>
        </w:rPr>
        <w:t xml:space="preserve">Country Programme Performance </w:t>
      </w:r>
      <w:r w:rsidR="00975566" w:rsidRPr="00517955">
        <w:rPr>
          <w:rFonts w:asciiTheme="minorHAnsi" w:hAnsiTheme="minorHAnsi"/>
          <w:b/>
        </w:rPr>
        <w:t>Summary</w:t>
      </w:r>
    </w:p>
    <w:p w14:paraId="402B9E8E" w14:textId="77777777" w:rsidR="00DC7354" w:rsidRDefault="00DC7354" w:rsidP="00975566">
      <w:pPr>
        <w:pStyle w:val="BodyText2"/>
        <w:jc w:val="center"/>
        <w:rPr>
          <w:rFonts w:ascii="Times New Roman" w:hAnsi="Times New Roman"/>
          <w:b/>
          <w:sz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90"/>
        <w:gridCol w:w="1440"/>
        <w:gridCol w:w="3960"/>
        <w:gridCol w:w="5490"/>
      </w:tblGrid>
      <w:tr w:rsidR="00CB647D" w:rsidRPr="00DC7354" w14:paraId="402B9E91" w14:textId="77777777" w:rsidTr="009E7526">
        <w:tc>
          <w:tcPr>
            <w:tcW w:w="3150" w:type="dxa"/>
            <w:gridSpan w:val="2"/>
            <w:tcBorders>
              <w:right w:val="nil"/>
            </w:tcBorders>
            <w:shd w:val="clear" w:color="auto" w:fill="FFC000"/>
          </w:tcPr>
          <w:p w14:paraId="402B9E8F" w14:textId="77777777" w:rsidR="00CB647D" w:rsidRPr="00A85E34" w:rsidRDefault="00CB647D">
            <w:pPr>
              <w:pStyle w:val="BodyText2"/>
              <w:rPr>
                <w:rFonts w:asciiTheme="minorHAnsi" w:hAnsiTheme="minorHAnsi"/>
                <w:b/>
                <w:sz w:val="24"/>
              </w:rPr>
            </w:pPr>
            <w:r w:rsidRPr="00A85E34">
              <w:rPr>
                <w:rFonts w:asciiTheme="minorHAnsi" w:hAnsiTheme="minorHAnsi"/>
                <w:b/>
              </w:rPr>
              <w:t>Country information</w:t>
            </w:r>
          </w:p>
        </w:tc>
        <w:tc>
          <w:tcPr>
            <w:tcW w:w="10890" w:type="dxa"/>
            <w:gridSpan w:val="3"/>
            <w:tcBorders>
              <w:left w:val="nil"/>
            </w:tcBorders>
            <w:shd w:val="clear" w:color="auto" w:fill="FFC000"/>
          </w:tcPr>
          <w:p w14:paraId="402B9E90" w14:textId="77777777" w:rsidR="00CB647D" w:rsidRPr="00A85E34" w:rsidRDefault="00CB647D">
            <w:pPr>
              <w:pStyle w:val="BodyText2"/>
              <w:rPr>
                <w:rFonts w:asciiTheme="minorHAnsi" w:hAnsiTheme="minorHAnsi"/>
                <w:b/>
                <w:sz w:val="24"/>
              </w:rPr>
            </w:pPr>
          </w:p>
        </w:tc>
      </w:tr>
      <w:tr w:rsidR="009B76A1" w:rsidRPr="00DC7354" w14:paraId="402B9E93" w14:textId="77777777" w:rsidTr="00E56EA0">
        <w:tc>
          <w:tcPr>
            <w:tcW w:w="14040" w:type="dxa"/>
            <w:gridSpan w:val="5"/>
          </w:tcPr>
          <w:p w14:paraId="402B9E92" w14:textId="1977F1F6" w:rsidR="009B76A1" w:rsidRPr="00DC7354" w:rsidRDefault="009B76A1">
            <w:pPr>
              <w:pStyle w:val="BodyText2"/>
              <w:rPr>
                <w:rFonts w:asciiTheme="minorHAnsi" w:hAnsiTheme="minorHAnsi"/>
                <w:b/>
                <w:sz w:val="24"/>
              </w:rPr>
            </w:pPr>
            <w:r w:rsidRPr="00230A0E">
              <w:rPr>
                <w:rFonts w:asciiTheme="minorHAnsi" w:hAnsiTheme="minorHAnsi"/>
                <w:b/>
              </w:rPr>
              <w:t>Country name:</w:t>
            </w:r>
            <w:r w:rsidR="00E81FC7">
              <w:rPr>
                <w:rFonts w:asciiTheme="minorHAnsi" w:hAnsiTheme="minorHAnsi"/>
                <w:b/>
              </w:rPr>
              <w:t xml:space="preserve"> UZBEKISTAN</w:t>
            </w:r>
          </w:p>
        </w:tc>
      </w:tr>
      <w:tr w:rsidR="009B76A1" w:rsidRPr="00843006" w14:paraId="402B9E95" w14:textId="77777777" w:rsidTr="00EC5A36">
        <w:tc>
          <w:tcPr>
            <w:tcW w:w="14040" w:type="dxa"/>
            <w:gridSpan w:val="5"/>
          </w:tcPr>
          <w:p w14:paraId="402B9E94" w14:textId="298A1D8B" w:rsidR="009B76A1" w:rsidRPr="00843006" w:rsidRDefault="009B76A1">
            <w:pPr>
              <w:pStyle w:val="BodyText2"/>
              <w:rPr>
                <w:rFonts w:asciiTheme="minorHAnsi" w:hAnsiTheme="minorHAnsi"/>
                <w:b/>
              </w:rPr>
            </w:pPr>
            <w:r w:rsidRPr="00843006">
              <w:rPr>
                <w:rFonts w:asciiTheme="minorHAnsi" w:hAnsiTheme="minorHAnsi"/>
                <w:b/>
              </w:rPr>
              <w:t>Current country program</w:t>
            </w:r>
            <w:r>
              <w:rPr>
                <w:rFonts w:asciiTheme="minorHAnsi" w:hAnsiTheme="minorHAnsi"/>
                <w:b/>
              </w:rPr>
              <w:t>me</w:t>
            </w:r>
            <w:r w:rsidRPr="00843006">
              <w:rPr>
                <w:rFonts w:asciiTheme="minorHAnsi" w:hAnsiTheme="minorHAnsi"/>
                <w:b/>
              </w:rPr>
              <w:t xml:space="preserve"> period:</w:t>
            </w:r>
            <w:r w:rsidR="00E81FC7">
              <w:rPr>
                <w:rFonts w:asciiTheme="minorHAnsi" w:hAnsiTheme="minorHAnsi"/>
                <w:b/>
              </w:rPr>
              <w:t xml:space="preserve"> 2010-2015</w:t>
            </w:r>
          </w:p>
        </w:tc>
      </w:tr>
      <w:tr w:rsidR="003B037A" w:rsidRPr="00DC7354" w14:paraId="402B9E9A" w14:textId="77777777" w:rsidTr="009E7526">
        <w:tc>
          <w:tcPr>
            <w:tcW w:w="3150" w:type="dxa"/>
            <w:gridSpan w:val="2"/>
          </w:tcPr>
          <w:p w14:paraId="402B9E96" w14:textId="77777777" w:rsidR="003B037A" w:rsidRPr="00DC7354" w:rsidRDefault="003B037A">
            <w:pPr>
              <w:pStyle w:val="BodyText2"/>
              <w:rPr>
                <w:rFonts w:asciiTheme="minorHAnsi" w:hAnsiTheme="minorHAnsi"/>
                <w:b/>
                <w:sz w:val="24"/>
              </w:rPr>
            </w:pPr>
            <w:r w:rsidRPr="00DC7354">
              <w:rPr>
                <w:rFonts w:asciiTheme="minorHAnsi" w:hAnsiTheme="minorHAnsi"/>
                <w:b/>
                <w:sz w:val="24"/>
              </w:rPr>
              <w:t>Outcome</w:t>
            </w:r>
            <w:r w:rsidR="00700521">
              <w:rPr>
                <w:rFonts w:asciiTheme="minorHAnsi" w:hAnsiTheme="minorHAnsi"/>
                <w:b/>
                <w:sz w:val="24"/>
              </w:rPr>
              <w:t>s</w:t>
            </w:r>
          </w:p>
        </w:tc>
        <w:tc>
          <w:tcPr>
            <w:tcW w:w="1440" w:type="dxa"/>
            <w:shd w:val="clear" w:color="auto" w:fill="auto"/>
          </w:tcPr>
          <w:p w14:paraId="402B9E97" w14:textId="77777777" w:rsidR="003B037A" w:rsidRPr="005F6261" w:rsidRDefault="003B037A">
            <w:pPr>
              <w:pStyle w:val="BodyText2"/>
              <w:rPr>
                <w:rFonts w:asciiTheme="minorHAnsi" w:hAnsiTheme="minorHAnsi"/>
                <w:b/>
                <w:sz w:val="22"/>
              </w:rPr>
            </w:pPr>
            <w:r w:rsidRPr="005F6261">
              <w:rPr>
                <w:rFonts w:asciiTheme="minorHAnsi" w:hAnsiTheme="minorHAnsi"/>
                <w:b/>
                <w:sz w:val="22"/>
              </w:rPr>
              <w:t>Total Expenditure</w:t>
            </w:r>
          </w:p>
        </w:tc>
        <w:tc>
          <w:tcPr>
            <w:tcW w:w="3960" w:type="dxa"/>
            <w:tcBorders>
              <w:left w:val="single" w:sz="4" w:space="0" w:color="auto"/>
            </w:tcBorders>
          </w:tcPr>
          <w:p w14:paraId="402B9E98" w14:textId="77777777" w:rsidR="003B037A" w:rsidRPr="005F6261" w:rsidRDefault="003B037A">
            <w:pPr>
              <w:pStyle w:val="BodyText2"/>
              <w:rPr>
                <w:rFonts w:asciiTheme="minorHAnsi" w:hAnsiTheme="minorHAnsi"/>
                <w:b/>
                <w:sz w:val="22"/>
              </w:rPr>
            </w:pPr>
            <w:r w:rsidRPr="005F6261">
              <w:rPr>
                <w:rFonts w:asciiTheme="minorHAnsi" w:hAnsiTheme="minorHAnsi"/>
                <w:b/>
                <w:sz w:val="22"/>
              </w:rPr>
              <w:t>Key Indicators of outcome (1-4 per outcome)</w:t>
            </w:r>
          </w:p>
        </w:tc>
        <w:tc>
          <w:tcPr>
            <w:tcW w:w="5490" w:type="dxa"/>
          </w:tcPr>
          <w:p w14:paraId="402B9E99" w14:textId="77777777" w:rsidR="003B037A" w:rsidRPr="005F6261" w:rsidRDefault="003B037A">
            <w:pPr>
              <w:pStyle w:val="BodyText2"/>
              <w:rPr>
                <w:rFonts w:asciiTheme="minorHAnsi" w:hAnsiTheme="minorHAnsi"/>
                <w:b/>
                <w:sz w:val="22"/>
              </w:rPr>
            </w:pPr>
            <w:r w:rsidRPr="005F6261">
              <w:rPr>
                <w:rFonts w:asciiTheme="minorHAnsi" w:hAnsiTheme="minorHAnsi"/>
                <w:b/>
                <w:sz w:val="22"/>
              </w:rPr>
              <w:t>Progress made against key indicators</w:t>
            </w:r>
          </w:p>
        </w:tc>
      </w:tr>
      <w:tr w:rsidR="000823AC" w:rsidRPr="00DC7354" w14:paraId="402B9EA3" w14:textId="77777777" w:rsidTr="000823AC">
        <w:tc>
          <w:tcPr>
            <w:tcW w:w="3150" w:type="dxa"/>
            <w:gridSpan w:val="2"/>
            <w:tcBorders>
              <w:bottom w:val="single" w:sz="4" w:space="0" w:color="auto"/>
            </w:tcBorders>
            <w:shd w:val="clear" w:color="auto" w:fill="95B3D7" w:themeFill="accent1" w:themeFillTint="99"/>
          </w:tcPr>
          <w:p w14:paraId="402B9E9B" w14:textId="7FADB8FC" w:rsidR="003B037A" w:rsidRPr="000823AC" w:rsidRDefault="003B037A" w:rsidP="000C4457">
            <w:pPr>
              <w:pStyle w:val="BodyText2"/>
              <w:rPr>
                <w:rFonts w:asciiTheme="minorHAnsi" w:hAnsiTheme="minorHAnsi"/>
                <w:b/>
              </w:rPr>
            </w:pPr>
            <w:r w:rsidRPr="000823AC">
              <w:rPr>
                <w:rFonts w:asciiTheme="minorHAnsi" w:hAnsiTheme="minorHAnsi"/>
                <w:b/>
              </w:rPr>
              <w:t xml:space="preserve">1. </w:t>
            </w:r>
            <w:r w:rsidR="007C109B" w:rsidRPr="007C109B">
              <w:rPr>
                <w:rFonts w:asciiTheme="minorHAnsi" w:hAnsiTheme="minorHAnsi"/>
                <w:b/>
              </w:rPr>
              <w:t>Capacity of the central and local authorities enhanced to develop and implement economic and social security policies aimed at welfare improvement of vulnerable groups.</w:t>
            </w:r>
          </w:p>
        </w:tc>
        <w:tc>
          <w:tcPr>
            <w:tcW w:w="1440" w:type="dxa"/>
            <w:tcBorders>
              <w:bottom w:val="single" w:sz="4" w:space="0" w:color="auto"/>
            </w:tcBorders>
            <w:shd w:val="clear" w:color="auto" w:fill="auto"/>
          </w:tcPr>
          <w:p w14:paraId="402B9E9C" w14:textId="5DF0969D" w:rsidR="003B037A" w:rsidRPr="00DC7354" w:rsidRDefault="00CD1BAC" w:rsidP="0067767C">
            <w:pPr>
              <w:pStyle w:val="BodyText2"/>
              <w:rPr>
                <w:rFonts w:asciiTheme="minorHAnsi" w:hAnsiTheme="minorHAnsi"/>
              </w:rPr>
            </w:pPr>
            <w:r>
              <w:rPr>
                <w:rFonts w:asciiTheme="minorHAnsi" w:hAnsiTheme="minorHAnsi"/>
              </w:rPr>
              <w:t>$10,</w:t>
            </w:r>
            <w:r w:rsidR="0067767C">
              <w:rPr>
                <w:rFonts w:asciiTheme="minorHAnsi" w:hAnsiTheme="minorHAnsi"/>
              </w:rPr>
              <w:t>678,076</w:t>
            </w:r>
          </w:p>
        </w:tc>
        <w:tc>
          <w:tcPr>
            <w:tcW w:w="3960" w:type="dxa"/>
            <w:tcBorders>
              <w:left w:val="single" w:sz="4" w:space="0" w:color="auto"/>
              <w:bottom w:val="single" w:sz="4" w:space="0" w:color="auto"/>
            </w:tcBorders>
          </w:tcPr>
          <w:p w14:paraId="01C7D334" w14:textId="0A05246F" w:rsidR="00066894" w:rsidRDefault="00BB5F4A" w:rsidP="00F25016">
            <w:pPr>
              <w:pStyle w:val="BodyText2"/>
              <w:rPr>
                <w:rFonts w:asciiTheme="minorHAnsi" w:hAnsiTheme="minorHAnsi"/>
              </w:rPr>
            </w:pPr>
            <w:r w:rsidRPr="00BB5F4A">
              <w:rPr>
                <w:rFonts w:asciiTheme="minorHAnsi" w:hAnsiTheme="minorHAnsi"/>
              </w:rPr>
              <w:t xml:space="preserve">No. and quality of government policies and programmes promoting </w:t>
            </w:r>
            <w:r w:rsidR="00D70BB4" w:rsidRPr="00BB5F4A">
              <w:rPr>
                <w:rFonts w:asciiTheme="minorHAnsi" w:hAnsiTheme="minorHAnsi"/>
              </w:rPr>
              <w:t>inclusive</w:t>
            </w:r>
            <w:r w:rsidRPr="00BB5F4A">
              <w:rPr>
                <w:rFonts w:asciiTheme="minorHAnsi" w:hAnsiTheme="minorHAnsi"/>
              </w:rPr>
              <w:t xml:space="preserve"> growth in line with Millennium Development Goals.</w:t>
            </w:r>
            <w:r w:rsidR="00F04A70">
              <w:rPr>
                <w:rFonts w:asciiTheme="minorHAnsi" w:hAnsiTheme="minorHAnsi"/>
              </w:rPr>
              <w:t xml:space="preserve"> </w:t>
            </w:r>
          </w:p>
          <w:p w14:paraId="54B0270C" w14:textId="77777777" w:rsidR="00066894" w:rsidRDefault="00066894" w:rsidP="00066894">
            <w:pPr>
              <w:pStyle w:val="BodyText2"/>
              <w:ind w:left="360"/>
              <w:rPr>
                <w:rFonts w:asciiTheme="minorHAnsi" w:hAnsiTheme="minorHAnsi"/>
              </w:rPr>
            </w:pPr>
          </w:p>
          <w:p w14:paraId="74CF442F" w14:textId="4FEC2512" w:rsidR="003B037A" w:rsidRPr="00F25016" w:rsidRDefault="00F04A70" w:rsidP="00066894">
            <w:pPr>
              <w:pStyle w:val="BodyText2"/>
              <w:ind w:left="360"/>
              <w:rPr>
                <w:rFonts w:asciiTheme="minorHAnsi" w:hAnsiTheme="minorHAnsi"/>
                <w:i/>
              </w:rPr>
            </w:pPr>
            <w:r w:rsidRPr="00F25016">
              <w:rPr>
                <w:rFonts w:asciiTheme="minorHAnsi" w:hAnsiTheme="minorHAnsi"/>
                <w:i/>
              </w:rPr>
              <w:t>(</w:t>
            </w:r>
            <w:r w:rsidR="008D5870" w:rsidRPr="00F25016">
              <w:rPr>
                <w:rFonts w:asciiTheme="minorHAnsi" w:hAnsiTheme="minorHAnsi"/>
                <w:i/>
              </w:rPr>
              <w:t xml:space="preserve">BASELINE 2010: </w:t>
            </w:r>
            <w:r w:rsidR="00087D27" w:rsidRPr="00F25016">
              <w:rPr>
                <w:rFonts w:asciiTheme="minorHAnsi" w:hAnsiTheme="minorHAnsi"/>
                <w:i/>
              </w:rPr>
              <w:t>Welfare Improvement S</w:t>
            </w:r>
            <w:r w:rsidR="00F25016">
              <w:rPr>
                <w:rFonts w:asciiTheme="minorHAnsi" w:hAnsiTheme="minorHAnsi"/>
                <w:i/>
              </w:rPr>
              <w:t>trategy exists,</w:t>
            </w:r>
            <w:r w:rsidR="00087D27" w:rsidRPr="00F25016">
              <w:rPr>
                <w:rFonts w:asciiTheme="minorHAnsi" w:hAnsiTheme="minorHAnsi"/>
                <w:i/>
              </w:rPr>
              <w:t xml:space="preserve"> </w:t>
            </w:r>
            <w:r w:rsidR="00473BE1" w:rsidRPr="00F25016">
              <w:rPr>
                <w:rFonts w:asciiTheme="minorHAnsi" w:hAnsiTheme="minorHAnsi"/>
                <w:i/>
              </w:rPr>
              <w:t>TARGET 2015</w:t>
            </w:r>
            <w:r w:rsidRPr="00F25016">
              <w:rPr>
                <w:rFonts w:asciiTheme="minorHAnsi" w:hAnsiTheme="minorHAnsi"/>
                <w:i/>
              </w:rPr>
              <w:t xml:space="preserve">: </w:t>
            </w:r>
            <w:r w:rsidR="00066894" w:rsidRPr="00F25016">
              <w:rPr>
                <w:rFonts w:asciiTheme="minorHAnsi" w:hAnsiTheme="minorHAnsi"/>
                <w:i/>
              </w:rPr>
              <w:t>At least 3 development policy documents promoting inclusive growth in line with MDGs</w:t>
            </w:r>
            <w:r w:rsidRPr="00F25016">
              <w:rPr>
                <w:rFonts w:asciiTheme="minorHAnsi" w:hAnsiTheme="minorHAnsi"/>
                <w:i/>
              </w:rPr>
              <w:t>)</w:t>
            </w:r>
          </w:p>
          <w:p w14:paraId="402B9E9F" w14:textId="51BF2D63" w:rsidR="00F04A70" w:rsidRPr="00920DBC" w:rsidRDefault="00F04A70" w:rsidP="00F04A70">
            <w:pPr>
              <w:pStyle w:val="BodyText2"/>
              <w:rPr>
                <w:rFonts w:asciiTheme="minorHAnsi" w:hAnsiTheme="minorHAnsi"/>
                <w:i/>
              </w:rPr>
            </w:pPr>
          </w:p>
        </w:tc>
        <w:tc>
          <w:tcPr>
            <w:tcW w:w="5490" w:type="dxa"/>
            <w:tcBorders>
              <w:bottom w:val="single" w:sz="4" w:space="0" w:color="auto"/>
            </w:tcBorders>
            <w:shd w:val="clear" w:color="auto" w:fill="auto"/>
          </w:tcPr>
          <w:p w14:paraId="432C2978" w14:textId="2644F3D9" w:rsidR="009652AF" w:rsidRDefault="00DC6911" w:rsidP="008A056C">
            <w:pPr>
              <w:pStyle w:val="BodyText2"/>
              <w:rPr>
                <w:rFonts w:asciiTheme="minorHAnsi" w:hAnsiTheme="minorHAnsi"/>
              </w:rPr>
            </w:pPr>
            <w:r>
              <w:rPr>
                <w:rFonts w:asciiTheme="minorHAnsi" w:hAnsiTheme="minorHAnsi"/>
              </w:rPr>
              <w:t>A</w:t>
            </w:r>
            <w:r w:rsidR="009652AF">
              <w:rPr>
                <w:rFonts w:asciiTheme="minorHAnsi" w:hAnsiTheme="minorHAnsi"/>
              </w:rPr>
              <w:t xml:space="preserve">ll together 4 regional </w:t>
            </w:r>
            <w:r w:rsidR="00993546">
              <w:rPr>
                <w:rFonts w:asciiTheme="minorHAnsi" w:hAnsiTheme="minorHAnsi"/>
              </w:rPr>
              <w:t>development strategies were developed</w:t>
            </w:r>
            <w:r w:rsidR="00AD2E58">
              <w:rPr>
                <w:rFonts w:asciiTheme="minorHAnsi" w:hAnsiTheme="minorHAnsi"/>
              </w:rPr>
              <w:t xml:space="preserve"> 2010-2014</w:t>
            </w:r>
            <w:r w:rsidR="00993546">
              <w:rPr>
                <w:rFonts w:asciiTheme="minorHAnsi" w:hAnsiTheme="minorHAnsi"/>
              </w:rPr>
              <w:t xml:space="preserve">. </w:t>
            </w:r>
          </w:p>
          <w:p w14:paraId="402B9EA2" w14:textId="06BF17F4" w:rsidR="003B037A" w:rsidRPr="008A056C" w:rsidRDefault="003B037A" w:rsidP="008A056C">
            <w:pPr>
              <w:pStyle w:val="BodyText2"/>
              <w:rPr>
                <w:rFonts w:asciiTheme="minorHAnsi" w:hAnsiTheme="minorHAnsi"/>
              </w:rPr>
            </w:pPr>
          </w:p>
        </w:tc>
      </w:tr>
      <w:tr w:rsidR="00530FDE" w:rsidRPr="00DC7354" w14:paraId="402B9EAD" w14:textId="77777777" w:rsidTr="009E7526">
        <w:tc>
          <w:tcPr>
            <w:tcW w:w="14040" w:type="dxa"/>
            <w:gridSpan w:val="5"/>
          </w:tcPr>
          <w:p w14:paraId="402B9EA7" w14:textId="77777777" w:rsidR="00B00E5C" w:rsidRPr="00FF2487" w:rsidRDefault="00B00E5C" w:rsidP="00EE1D60">
            <w:pPr>
              <w:pStyle w:val="BodyText2"/>
              <w:rPr>
                <w:rFonts w:asciiTheme="minorHAnsi" w:hAnsiTheme="minorHAnsi"/>
                <w:color w:val="000000" w:themeColor="text1"/>
              </w:rPr>
            </w:pPr>
            <w:r w:rsidRPr="00FF2487">
              <w:rPr>
                <w:rFonts w:asciiTheme="minorHAnsi" w:hAnsiTheme="minorHAnsi"/>
                <w:color w:val="000000" w:themeColor="text1"/>
                <w:u w:val="single"/>
              </w:rPr>
              <w:t>CP Outputs</w:t>
            </w:r>
            <w:r w:rsidR="00845340" w:rsidRPr="00FF2487">
              <w:rPr>
                <w:rFonts w:asciiTheme="minorHAnsi" w:hAnsiTheme="minorHAnsi"/>
                <w:color w:val="000000" w:themeColor="text1"/>
              </w:rPr>
              <w:t>:</w:t>
            </w:r>
          </w:p>
          <w:p w14:paraId="098D4833" w14:textId="4C7BF3C3" w:rsidR="00FF26C0" w:rsidRPr="004B450F" w:rsidRDefault="00AA7B30" w:rsidP="00B91691">
            <w:pPr>
              <w:pStyle w:val="BodyText2"/>
              <w:numPr>
                <w:ilvl w:val="0"/>
                <w:numId w:val="17"/>
              </w:numPr>
              <w:rPr>
                <w:rFonts w:asciiTheme="minorHAnsi" w:hAnsiTheme="minorHAnsi"/>
                <w:color w:val="000000" w:themeColor="text1"/>
              </w:rPr>
            </w:pPr>
            <w:r w:rsidRPr="004B450F">
              <w:rPr>
                <w:rFonts w:asciiTheme="minorHAnsi" w:hAnsiTheme="minorHAnsi"/>
                <w:color w:val="000000" w:themeColor="text1"/>
              </w:rPr>
              <w:t>Strengthened government capacity at national and local levels to improve macroeconomic forecasting, innovation, and to collect, analyze and report data in line with the Millennium Development Goals and</w:t>
            </w:r>
            <w:r w:rsidR="006A60E8" w:rsidRPr="004B450F">
              <w:rPr>
                <w:rFonts w:asciiTheme="minorHAnsi" w:hAnsiTheme="minorHAnsi"/>
                <w:color w:val="000000" w:themeColor="text1"/>
              </w:rPr>
              <w:t xml:space="preserve"> other international standards</w:t>
            </w:r>
            <w:r w:rsidRPr="004B450F">
              <w:rPr>
                <w:rFonts w:asciiTheme="minorHAnsi" w:hAnsiTheme="minorHAnsi"/>
                <w:color w:val="000000" w:themeColor="text1"/>
              </w:rPr>
              <w:t xml:space="preserve">  </w:t>
            </w:r>
          </w:p>
          <w:p w14:paraId="6B00D800" w14:textId="603F4298" w:rsidR="00FF26C0" w:rsidRPr="004B450F" w:rsidRDefault="00FF26C0" w:rsidP="00B91691">
            <w:pPr>
              <w:pStyle w:val="BodyText2"/>
              <w:numPr>
                <w:ilvl w:val="0"/>
                <w:numId w:val="17"/>
              </w:numPr>
              <w:rPr>
                <w:rFonts w:asciiTheme="minorHAnsi" w:hAnsiTheme="minorHAnsi"/>
                <w:color w:val="000000" w:themeColor="text1"/>
              </w:rPr>
            </w:pPr>
            <w:r w:rsidRPr="004B450F">
              <w:rPr>
                <w:rFonts w:asciiTheme="minorHAnsi" w:hAnsiTheme="minorHAnsi"/>
                <w:color w:val="000000" w:themeColor="text1"/>
              </w:rPr>
              <w:t>Improved Public Financial Ma</w:t>
            </w:r>
            <w:r w:rsidR="006A60E8" w:rsidRPr="004B450F">
              <w:rPr>
                <w:rFonts w:asciiTheme="minorHAnsi" w:hAnsiTheme="minorHAnsi"/>
                <w:color w:val="000000" w:themeColor="text1"/>
              </w:rPr>
              <w:t>nagement and Aid Co-ordination</w:t>
            </w:r>
          </w:p>
          <w:p w14:paraId="402B9EA9" w14:textId="77777777" w:rsidR="00B00E5C" w:rsidRPr="00E81FC7" w:rsidRDefault="00B00E5C" w:rsidP="00EE1D60">
            <w:pPr>
              <w:pStyle w:val="BodyText2"/>
              <w:rPr>
                <w:rFonts w:asciiTheme="minorHAnsi" w:hAnsiTheme="minorHAnsi"/>
                <w:color w:val="FF0000"/>
              </w:rPr>
            </w:pPr>
          </w:p>
          <w:p w14:paraId="402B9EAA" w14:textId="77777777" w:rsidR="00B00E5C" w:rsidRPr="00E81FC7" w:rsidRDefault="00B00E5C" w:rsidP="00EE1D60">
            <w:pPr>
              <w:pStyle w:val="BodyText2"/>
              <w:rPr>
                <w:rFonts w:asciiTheme="minorHAnsi" w:hAnsiTheme="minorHAnsi"/>
                <w:color w:val="FF0000"/>
              </w:rPr>
            </w:pPr>
            <w:r w:rsidRPr="007B72E8">
              <w:rPr>
                <w:rFonts w:asciiTheme="minorHAnsi" w:hAnsiTheme="minorHAnsi"/>
                <w:color w:val="000000" w:themeColor="text1"/>
                <w:u w:val="single"/>
              </w:rPr>
              <w:t>Progress and Achievements</w:t>
            </w:r>
            <w:r w:rsidR="00845340" w:rsidRPr="007B72E8">
              <w:rPr>
                <w:rFonts w:asciiTheme="minorHAnsi" w:hAnsiTheme="minorHAnsi"/>
                <w:color w:val="000000" w:themeColor="text1"/>
              </w:rPr>
              <w:t>:</w:t>
            </w:r>
          </w:p>
          <w:p w14:paraId="2CEE3966" w14:textId="5507D604" w:rsidR="00AC6DF2" w:rsidRPr="00785AF8" w:rsidRDefault="00FF2487" w:rsidP="00AC6DF2">
            <w:pPr>
              <w:pStyle w:val="BodyText2"/>
              <w:rPr>
                <w:rFonts w:asciiTheme="minorHAnsi" w:hAnsiTheme="minorHAnsi"/>
                <w:color w:val="000000" w:themeColor="text1"/>
              </w:rPr>
            </w:pPr>
            <w:r w:rsidRPr="00785AF8">
              <w:rPr>
                <w:rFonts w:asciiTheme="minorHAnsi" w:hAnsiTheme="minorHAnsi"/>
                <w:color w:val="000000" w:themeColor="text1"/>
              </w:rPr>
              <w:t>T</w:t>
            </w:r>
            <w:r w:rsidR="0081144F" w:rsidRPr="00785AF8">
              <w:rPr>
                <w:rFonts w:asciiTheme="minorHAnsi" w:hAnsiTheme="minorHAnsi"/>
                <w:color w:val="000000" w:themeColor="text1"/>
              </w:rPr>
              <w:t xml:space="preserve">hroughout the CPD cycle </w:t>
            </w:r>
            <w:r w:rsidR="00DF5C51" w:rsidRPr="00785AF8">
              <w:rPr>
                <w:rFonts w:asciiTheme="minorHAnsi" w:hAnsiTheme="minorHAnsi"/>
                <w:color w:val="000000" w:themeColor="text1"/>
              </w:rPr>
              <w:t>UNDP</w:t>
            </w:r>
            <w:r w:rsidR="0081144F" w:rsidRPr="00785AF8">
              <w:rPr>
                <w:rFonts w:asciiTheme="minorHAnsi" w:hAnsiTheme="minorHAnsi"/>
                <w:color w:val="000000" w:themeColor="text1"/>
              </w:rPr>
              <w:t xml:space="preserve"> has supported the government </w:t>
            </w:r>
            <w:r w:rsidR="00686DB6" w:rsidRPr="00785AF8">
              <w:rPr>
                <w:rFonts w:asciiTheme="minorHAnsi" w:hAnsiTheme="minorHAnsi"/>
                <w:color w:val="000000" w:themeColor="text1"/>
              </w:rPr>
              <w:t xml:space="preserve">in </w:t>
            </w:r>
            <w:r w:rsidR="00B24C68" w:rsidRPr="00785AF8">
              <w:rPr>
                <w:rFonts w:asciiTheme="minorHAnsi" w:hAnsiTheme="minorHAnsi"/>
                <w:color w:val="000000" w:themeColor="text1"/>
              </w:rPr>
              <w:t>strengthen</w:t>
            </w:r>
            <w:r w:rsidR="00686DB6" w:rsidRPr="00785AF8">
              <w:rPr>
                <w:rFonts w:asciiTheme="minorHAnsi" w:hAnsiTheme="minorHAnsi"/>
                <w:color w:val="000000" w:themeColor="text1"/>
              </w:rPr>
              <w:t>ing</w:t>
            </w:r>
            <w:r w:rsidR="00DB35AE" w:rsidRPr="00785AF8">
              <w:rPr>
                <w:rFonts w:asciiTheme="minorHAnsi" w:hAnsiTheme="minorHAnsi"/>
                <w:color w:val="000000" w:themeColor="text1"/>
              </w:rPr>
              <w:t xml:space="preserve"> its</w:t>
            </w:r>
            <w:r w:rsidR="00B24C68" w:rsidRPr="00785AF8">
              <w:rPr>
                <w:rFonts w:asciiTheme="minorHAnsi" w:hAnsiTheme="minorHAnsi"/>
                <w:color w:val="000000" w:themeColor="text1"/>
              </w:rPr>
              <w:t xml:space="preserve"> capacity</w:t>
            </w:r>
            <w:r w:rsidR="00D562C4" w:rsidRPr="00785AF8">
              <w:rPr>
                <w:rFonts w:asciiTheme="minorHAnsi" w:hAnsiTheme="minorHAnsi"/>
                <w:color w:val="000000" w:themeColor="text1"/>
              </w:rPr>
              <w:t xml:space="preserve"> in</w:t>
            </w:r>
            <w:r w:rsidR="00B24C68" w:rsidRPr="00785AF8">
              <w:rPr>
                <w:rFonts w:asciiTheme="minorHAnsi" w:hAnsiTheme="minorHAnsi"/>
                <w:color w:val="000000" w:themeColor="text1"/>
              </w:rPr>
              <w:t xml:space="preserve"> data collection, analysis,</w:t>
            </w:r>
            <w:r w:rsidR="005014EA" w:rsidRPr="00785AF8">
              <w:rPr>
                <w:rFonts w:asciiTheme="minorHAnsi" w:hAnsiTheme="minorHAnsi"/>
                <w:color w:val="000000" w:themeColor="text1"/>
              </w:rPr>
              <w:t xml:space="preserve"> and</w:t>
            </w:r>
            <w:r w:rsidR="00B24C68" w:rsidRPr="00785AF8">
              <w:rPr>
                <w:rFonts w:asciiTheme="minorHAnsi" w:hAnsiTheme="minorHAnsi"/>
                <w:color w:val="000000" w:themeColor="text1"/>
              </w:rPr>
              <w:t xml:space="preserve"> reporting</w:t>
            </w:r>
            <w:r w:rsidR="005014EA" w:rsidRPr="00785AF8">
              <w:rPr>
                <w:rFonts w:asciiTheme="minorHAnsi" w:hAnsiTheme="minorHAnsi"/>
                <w:color w:val="000000" w:themeColor="text1"/>
              </w:rPr>
              <w:t xml:space="preserve"> as well as in</w:t>
            </w:r>
            <w:r w:rsidR="00EB0EC0" w:rsidRPr="00785AF8">
              <w:rPr>
                <w:rFonts w:asciiTheme="minorHAnsi" w:hAnsiTheme="minorHAnsi"/>
                <w:color w:val="000000" w:themeColor="text1"/>
              </w:rPr>
              <w:t xml:space="preserve"> evidence-based policy making</w:t>
            </w:r>
            <w:r w:rsidR="00AD302C" w:rsidRPr="00785AF8">
              <w:rPr>
                <w:rFonts w:asciiTheme="minorHAnsi" w:hAnsiTheme="minorHAnsi"/>
                <w:color w:val="000000" w:themeColor="text1"/>
              </w:rPr>
              <w:t xml:space="preserve"> mainly through partnerships with leading national policy think-tanks</w:t>
            </w:r>
            <w:r w:rsidR="00942C3D" w:rsidRPr="00785AF8">
              <w:rPr>
                <w:rFonts w:asciiTheme="minorHAnsi" w:hAnsiTheme="minorHAnsi"/>
                <w:color w:val="000000" w:themeColor="text1"/>
              </w:rPr>
              <w:t xml:space="preserve">, </w:t>
            </w:r>
            <w:r w:rsidR="00AD302C" w:rsidRPr="00785AF8">
              <w:rPr>
                <w:rFonts w:asciiTheme="minorHAnsi" w:hAnsiTheme="minorHAnsi"/>
                <w:color w:val="000000" w:themeColor="text1"/>
              </w:rPr>
              <w:t>Centre for Economic Research</w:t>
            </w:r>
            <w:r w:rsidR="00C1582B" w:rsidRPr="00785AF8">
              <w:rPr>
                <w:rFonts w:asciiTheme="minorHAnsi" w:hAnsiTheme="minorHAnsi"/>
                <w:color w:val="000000" w:themeColor="text1"/>
              </w:rPr>
              <w:t xml:space="preserve"> (CER)</w:t>
            </w:r>
            <w:r w:rsidR="00AD302C" w:rsidRPr="00785AF8">
              <w:rPr>
                <w:rFonts w:asciiTheme="minorHAnsi" w:hAnsiTheme="minorHAnsi"/>
                <w:color w:val="000000" w:themeColor="text1"/>
              </w:rPr>
              <w:t xml:space="preserve"> and Institute of Forecasting and Macroeconomic Research (IFMR)</w:t>
            </w:r>
            <w:r w:rsidR="00B24C68" w:rsidRPr="00785AF8">
              <w:rPr>
                <w:rFonts w:asciiTheme="minorHAnsi" w:hAnsiTheme="minorHAnsi"/>
                <w:color w:val="000000" w:themeColor="text1"/>
              </w:rPr>
              <w:t>.</w:t>
            </w:r>
            <w:r w:rsidR="00DE21CD" w:rsidRPr="00785AF8">
              <w:rPr>
                <w:rFonts w:asciiTheme="minorHAnsi" w:hAnsiTheme="minorHAnsi"/>
                <w:color w:val="000000" w:themeColor="text1"/>
              </w:rPr>
              <w:t xml:space="preserve"> </w:t>
            </w:r>
            <w:r w:rsidR="00AC6DF2" w:rsidRPr="00785AF8">
              <w:rPr>
                <w:rFonts w:asciiTheme="minorHAnsi" w:hAnsiTheme="minorHAnsi"/>
                <w:color w:val="000000" w:themeColor="text1"/>
              </w:rPr>
              <w:t xml:space="preserve">Following Uzbekistan’s aspirations to become an industrialized upper middle-income country by the year 2030, the Government </w:t>
            </w:r>
            <w:r w:rsidR="004C7641" w:rsidRPr="00785AF8">
              <w:rPr>
                <w:rFonts w:asciiTheme="minorHAnsi" w:hAnsiTheme="minorHAnsi"/>
                <w:color w:val="000000" w:themeColor="text1"/>
              </w:rPr>
              <w:t xml:space="preserve">has </w:t>
            </w:r>
            <w:r w:rsidR="00AC6DF2" w:rsidRPr="00785AF8">
              <w:rPr>
                <w:rFonts w:asciiTheme="minorHAnsi" w:hAnsiTheme="minorHAnsi"/>
                <w:color w:val="000000" w:themeColor="text1"/>
              </w:rPr>
              <w:t>embarked on major strategic process, namely the development of the country’s long-term strategy (Vision 2030). In particular, UNDP’s continuous capacity development of the two leading national think-tanks CER and Institute of Forecasting and Macroeconomic Research enabled them to produce eight thematic chapters for the</w:t>
            </w:r>
            <w:r w:rsidR="006B41D0" w:rsidRPr="00785AF8">
              <w:rPr>
                <w:rFonts w:asciiTheme="minorHAnsi" w:hAnsiTheme="minorHAnsi"/>
                <w:color w:val="000000" w:themeColor="text1"/>
              </w:rPr>
              <w:t xml:space="preserve"> Vision 2030. In addition, UNDP </w:t>
            </w:r>
            <w:r w:rsidR="00AC6DF2" w:rsidRPr="00785AF8">
              <w:rPr>
                <w:rFonts w:asciiTheme="minorHAnsi" w:hAnsiTheme="minorHAnsi"/>
                <w:color w:val="000000" w:themeColor="text1"/>
              </w:rPr>
              <w:t xml:space="preserve">prepared input papers on social protection, environmental sustainability, and governance have put the issues of sustainable environment and socio-economic development at the core of the Vision 2030 discussions. </w:t>
            </w:r>
          </w:p>
          <w:p w14:paraId="3C4503C2" w14:textId="77777777" w:rsidR="00AC6DF2" w:rsidRPr="00785AF8" w:rsidRDefault="00AC6DF2" w:rsidP="00AC6DF2">
            <w:pPr>
              <w:pStyle w:val="BodyText2"/>
              <w:rPr>
                <w:rFonts w:asciiTheme="minorHAnsi" w:hAnsiTheme="minorHAnsi"/>
                <w:color w:val="000000" w:themeColor="text1"/>
              </w:rPr>
            </w:pPr>
          </w:p>
          <w:p w14:paraId="326F06DF" w14:textId="3190D61E" w:rsidR="00AC6DF2" w:rsidRPr="00785AF8" w:rsidRDefault="00AC6DF2" w:rsidP="00AC6DF2">
            <w:pPr>
              <w:pStyle w:val="BodyText2"/>
              <w:rPr>
                <w:rFonts w:asciiTheme="minorHAnsi" w:hAnsiTheme="minorHAnsi"/>
                <w:color w:val="000000" w:themeColor="text1"/>
              </w:rPr>
            </w:pPr>
            <w:r w:rsidRPr="00785AF8">
              <w:rPr>
                <w:rFonts w:asciiTheme="minorHAnsi" w:hAnsiTheme="minorHAnsi"/>
                <w:color w:val="000000" w:themeColor="text1"/>
              </w:rPr>
              <w:t>Coordinated by the UNDP partner, CER, the process of MDG report consultations involved a broad participation of stakeholders, which provided an entry point for sensitizing a number of important issues previously too sensitive for the government to acknowledge and discuss openly</w:t>
            </w:r>
            <w:r w:rsidR="00B40C87" w:rsidRPr="00785AF8">
              <w:rPr>
                <w:rStyle w:val="FootnoteReference"/>
                <w:rFonts w:asciiTheme="minorHAnsi" w:hAnsiTheme="minorHAnsi"/>
                <w:color w:val="000000" w:themeColor="text1"/>
              </w:rPr>
              <w:footnoteReference w:id="2"/>
            </w:r>
            <w:r w:rsidRPr="00785AF8">
              <w:rPr>
                <w:rFonts w:asciiTheme="minorHAnsi" w:hAnsiTheme="minorHAnsi"/>
                <w:color w:val="000000" w:themeColor="text1"/>
              </w:rPr>
              <w:t xml:space="preserve">. In particular, under the MDG1 the role and </w:t>
            </w:r>
            <w:r w:rsidRPr="00785AF8">
              <w:rPr>
                <w:rFonts w:asciiTheme="minorHAnsi" w:hAnsiTheme="minorHAnsi"/>
                <w:color w:val="000000" w:themeColor="text1"/>
              </w:rPr>
              <w:lastRenderedPageBreak/>
              <w:t>scale of labour migration and remittances were acknowledged as key factors in poverty alleviation, together with the issues of regional disparities despite the overall solid trend in poverty reduction in the country</w:t>
            </w:r>
            <w:r w:rsidR="007D26AE" w:rsidRPr="00785AF8">
              <w:rPr>
                <w:rStyle w:val="FootnoteReference"/>
                <w:rFonts w:asciiTheme="minorHAnsi" w:hAnsiTheme="minorHAnsi"/>
                <w:color w:val="000000" w:themeColor="text1"/>
              </w:rPr>
              <w:footnoteReference w:id="3"/>
            </w:r>
            <w:r w:rsidRPr="00785AF8">
              <w:rPr>
                <w:rFonts w:asciiTheme="minorHAnsi" w:hAnsiTheme="minorHAnsi"/>
                <w:color w:val="000000" w:themeColor="text1"/>
              </w:rPr>
              <w:t>. UNDP also helped provide an initial diagnostics and needs assessment of the current methodology of poverty and inequali</w:t>
            </w:r>
            <w:r w:rsidR="00D97429" w:rsidRPr="00785AF8">
              <w:rPr>
                <w:rFonts w:asciiTheme="minorHAnsi" w:hAnsiTheme="minorHAnsi"/>
                <w:color w:val="000000" w:themeColor="text1"/>
              </w:rPr>
              <w:t>ty assessment in Uzbekistan</w:t>
            </w:r>
            <w:r w:rsidR="00D97429" w:rsidRPr="00785AF8">
              <w:rPr>
                <w:rStyle w:val="FootnoteReference"/>
                <w:rFonts w:asciiTheme="minorHAnsi" w:hAnsiTheme="minorHAnsi"/>
                <w:color w:val="000000" w:themeColor="text1"/>
              </w:rPr>
              <w:footnoteReference w:id="4"/>
            </w:r>
            <w:r w:rsidRPr="00785AF8">
              <w:rPr>
                <w:rFonts w:asciiTheme="minorHAnsi" w:hAnsiTheme="minorHAnsi"/>
                <w:color w:val="000000" w:themeColor="text1"/>
              </w:rPr>
              <w:t>.</w:t>
            </w:r>
          </w:p>
          <w:p w14:paraId="3EADF3CE" w14:textId="77777777" w:rsidR="00AC6DF2" w:rsidRPr="00785AF8" w:rsidRDefault="00AC6DF2" w:rsidP="00AC6DF2">
            <w:pPr>
              <w:pStyle w:val="BodyText2"/>
              <w:rPr>
                <w:rFonts w:asciiTheme="minorHAnsi" w:hAnsiTheme="minorHAnsi"/>
                <w:color w:val="000000" w:themeColor="text1"/>
              </w:rPr>
            </w:pPr>
          </w:p>
          <w:p w14:paraId="7A6D1F60" w14:textId="15B36E43" w:rsidR="00537796" w:rsidRPr="00785AF8" w:rsidRDefault="00E14D41" w:rsidP="00381D00">
            <w:pPr>
              <w:pStyle w:val="BodyText2"/>
              <w:rPr>
                <w:rFonts w:asciiTheme="minorHAnsi" w:hAnsiTheme="minorHAnsi"/>
                <w:color w:val="000000" w:themeColor="text1"/>
              </w:rPr>
            </w:pPr>
            <w:r w:rsidRPr="00785AF8">
              <w:rPr>
                <w:rFonts w:asciiTheme="minorHAnsi" w:hAnsiTheme="minorHAnsi"/>
                <w:color w:val="000000" w:themeColor="text1"/>
              </w:rPr>
              <w:t xml:space="preserve">The second half of the CPD cycle evidenced </w:t>
            </w:r>
            <w:r w:rsidR="00224341" w:rsidRPr="00785AF8">
              <w:rPr>
                <w:rFonts w:asciiTheme="minorHAnsi" w:hAnsiTheme="minorHAnsi"/>
                <w:color w:val="000000" w:themeColor="text1"/>
              </w:rPr>
              <w:t>significant government efforts aimed at improving the public finance management in the country, in particular, through the adoption of a Budget Code aimed at increasing the efficiency, transparency and accountability of public funds use. Through its project with the Ministry of Finance, UNDP provided support in development and finalization of the Budget Code which consolidates the currently complex and fragmented legislation</w:t>
            </w:r>
            <w:r w:rsidR="00224341" w:rsidRPr="00785AF8">
              <w:rPr>
                <w:rStyle w:val="FootnoteReference"/>
                <w:rFonts w:asciiTheme="minorHAnsi" w:hAnsiTheme="minorHAnsi"/>
                <w:color w:val="000000" w:themeColor="text1"/>
              </w:rPr>
              <w:footnoteReference w:id="5"/>
            </w:r>
            <w:r w:rsidR="00224341" w:rsidRPr="00785AF8">
              <w:rPr>
                <w:rFonts w:asciiTheme="minorHAnsi" w:hAnsiTheme="minorHAnsi"/>
                <w:color w:val="000000" w:themeColor="text1"/>
              </w:rPr>
              <w:t>.</w:t>
            </w:r>
            <w:r w:rsidR="00DF5C51" w:rsidRPr="00785AF8">
              <w:rPr>
                <w:rFonts w:asciiTheme="minorHAnsi" w:hAnsiTheme="minorHAnsi"/>
                <w:color w:val="000000" w:themeColor="text1"/>
              </w:rPr>
              <w:t>Uzbekistan’s public procurement (PP) system has been long criticized for being non-transparent and inefficient, and the need for streamlining the system has been voiced by the IFIs and the national parliament. Following the government’s request,</w:t>
            </w:r>
            <w:r w:rsidR="00B248B8" w:rsidRPr="00785AF8">
              <w:rPr>
                <w:rFonts w:asciiTheme="minorHAnsi" w:hAnsiTheme="minorHAnsi"/>
                <w:color w:val="000000" w:themeColor="text1"/>
              </w:rPr>
              <w:t xml:space="preserve"> UNDP in cooperation with the World Bank</w:t>
            </w:r>
            <w:r w:rsidR="00DF5C51" w:rsidRPr="00785AF8">
              <w:rPr>
                <w:rFonts w:asciiTheme="minorHAnsi" w:hAnsiTheme="minorHAnsi"/>
                <w:color w:val="000000" w:themeColor="text1"/>
              </w:rPr>
              <w:t xml:space="preserve"> played a central role in drafting the law on PP that builds on the UNCITRAL’s model law and introduces significant transparency and efficiency elements to the system</w:t>
            </w:r>
            <w:r w:rsidR="00B66979" w:rsidRPr="00785AF8">
              <w:rPr>
                <w:rStyle w:val="FootnoteReference"/>
                <w:rFonts w:asciiTheme="minorHAnsi" w:hAnsiTheme="minorHAnsi"/>
                <w:color w:val="000000" w:themeColor="text1"/>
              </w:rPr>
              <w:footnoteReference w:id="6"/>
            </w:r>
            <w:r w:rsidR="00DF5C51" w:rsidRPr="00785AF8">
              <w:rPr>
                <w:rFonts w:asciiTheme="minorHAnsi" w:hAnsiTheme="minorHAnsi"/>
                <w:color w:val="000000" w:themeColor="text1"/>
              </w:rPr>
              <w:t>.</w:t>
            </w:r>
            <w:r w:rsidR="006811DF" w:rsidRPr="00785AF8">
              <w:rPr>
                <w:rFonts w:asciiTheme="minorHAnsi" w:hAnsiTheme="minorHAnsi"/>
                <w:color w:val="000000" w:themeColor="text1"/>
              </w:rPr>
              <w:t xml:space="preserve"> </w:t>
            </w:r>
          </w:p>
          <w:p w14:paraId="557E9C6D" w14:textId="77777777" w:rsidR="00537796" w:rsidRPr="00785AF8" w:rsidRDefault="00537796" w:rsidP="00381D00">
            <w:pPr>
              <w:pStyle w:val="BodyText2"/>
              <w:rPr>
                <w:rFonts w:asciiTheme="minorHAnsi" w:hAnsiTheme="minorHAnsi"/>
                <w:color w:val="000000" w:themeColor="text1"/>
              </w:rPr>
            </w:pPr>
          </w:p>
          <w:p w14:paraId="2DFABE99" w14:textId="40D476B6" w:rsidR="00381D00" w:rsidRPr="00785AF8" w:rsidRDefault="00B77567" w:rsidP="00381D00">
            <w:pPr>
              <w:pStyle w:val="BodyText2"/>
              <w:rPr>
                <w:rFonts w:asciiTheme="minorHAnsi" w:hAnsiTheme="minorHAnsi"/>
                <w:color w:val="000000" w:themeColor="text1"/>
              </w:rPr>
            </w:pPr>
            <w:r w:rsidRPr="00785AF8">
              <w:rPr>
                <w:rFonts w:asciiTheme="minorHAnsi" w:hAnsiTheme="minorHAnsi"/>
                <w:color w:val="000000" w:themeColor="text1"/>
              </w:rPr>
              <w:t>Moreover</w:t>
            </w:r>
            <w:r w:rsidR="006811DF" w:rsidRPr="00785AF8">
              <w:rPr>
                <w:rFonts w:asciiTheme="minorHAnsi" w:hAnsiTheme="minorHAnsi"/>
                <w:color w:val="000000" w:themeColor="text1"/>
              </w:rPr>
              <w:t>, the aid-coordination</w:t>
            </w:r>
            <w:r w:rsidR="00A80E4A" w:rsidRPr="00785AF8">
              <w:rPr>
                <w:rFonts w:asciiTheme="minorHAnsi" w:hAnsiTheme="minorHAnsi"/>
                <w:color w:val="000000" w:themeColor="text1"/>
              </w:rPr>
              <w:t xml:space="preserve"> shows signs </w:t>
            </w:r>
            <w:r w:rsidR="00030D29" w:rsidRPr="00785AF8">
              <w:rPr>
                <w:rFonts w:asciiTheme="minorHAnsi" w:hAnsiTheme="minorHAnsi"/>
                <w:color w:val="000000" w:themeColor="text1"/>
              </w:rPr>
              <w:t xml:space="preserve">of progress as the government coordinated sector groups have </w:t>
            </w:r>
            <w:r w:rsidR="00754505" w:rsidRPr="00785AF8">
              <w:rPr>
                <w:rFonts w:asciiTheme="minorHAnsi" w:hAnsiTheme="minorHAnsi"/>
                <w:color w:val="000000" w:themeColor="text1"/>
              </w:rPr>
              <w:t xml:space="preserve">been established </w:t>
            </w:r>
            <w:r w:rsidR="000C707C" w:rsidRPr="00785AF8">
              <w:rPr>
                <w:rFonts w:asciiTheme="minorHAnsi" w:hAnsiTheme="minorHAnsi"/>
                <w:color w:val="000000" w:themeColor="text1"/>
              </w:rPr>
              <w:t>with</w:t>
            </w:r>
            <w:r w:rsidR="00030D29" w:rsidRPr="00785AF8">
              <w:rPr>
                <w:rFonts w:asciiTheme="minorHAnsi" w:hAnsiTheme="minorHAnsi"/>
                <w:color w:val="000000" w:themeColor="text1"/>
              </w:rPr>
              <w:t xml:space="preserve"> UNDP</w:t>
            </w:r>
            <w:r w:rsidR="00754505" w:rsidRPr="00785AF8">
              <w:rPr>
                <w:rFonts w:asciiTheme="minorHAnsi" w:hAnsiTheme="minorHAnsi"/>
                <w:color w:val="000000" w:themeColor="text1"/>
              </w:rPr>
              <w:t>’</w:t>
            </w:r>
            <w:r w:rsidR="006E6BA5" w:rsidRPr="00785AF8">
              <w:rPr>
                <w:rFonts w:asciiTheme="minorHAnsi" w:hAnsiTheme="minorHAnsi"/>
                <w:color w:val="000000" w:themeColor="text1"/>
              </w:rPr>
              <w:t>s support</w:t>
            </w:r>
            <w:r w:rsidR="00030D29" w:rsidRPr="00785AF8">
              <w:rPr>
                <w:rFonts w:asciiTheme="minorHAnsi" w:hAnsiTheme="minorHAnsi"/>
                <w:color w:val="000000" w:themeColor="text1"/>
              </w:rPr>
              <w:t>.</w:t>
            </w:r>
            <w:r w:rsidR="0058642A" w:rsidRPr="00785AF8">
              <w:rPr>
                <w:rFonts w:asciiTheme="minorHAnsi" w:hAnsiTheme="minorHAnsi"/>
                <w:color w:val="000000" w:themeColor="text1"/>
              </w:rPr>
              <w:t xml:space="preserve"> The government also took important steps towards gender mainstreaming when developing an Induction Manual on Gender-sensitive budgeting for civil servants</w:t>
            </w:r>
            <w:r w:rsidR="008416CC" w:rsidRPr="00785AF8">
              <w:rPr>
                <w:rFonts w:asciiTheme="minorHAnsi" w:hAnsiTheme="minorHAnsi"/>
                <w:color w:val="000000" w:themeColor="text1"/>
              </w:rPr>
              <w:t xml:space="preserve"> with UNDP’s support. The manual</w:t>
            </w:r>
            <w:r w:rsidR="0058642A" w:rsidRPr="00785AF8">
              <w:rPr>
                <w:rFonts w:asciiTheme="minorHAnsi" w:hAnsiTheme="minorHAnsi"/>
                <w:color w:val="000000" w:themeColor="text1"/>
              </w:rPr>
              <w:t xml:space="preserve"> </w:t>
            </w:r>
            <w:r w:rsidR="00B36589" w:rsidRPr="00785AF8">
              <w:rPr>
                <w:rFonts w:asciiTheme="minorHAnsi" w:hAnsiTheme="minorHAnsi"/>
                <w:color w:val="000000" w:themeColor="text1"/>
              </w:rPr>
              <w:t>p</w:t>
            </w:r>
            <w:r w:rsidR="008416CC" w:rsidRPr="00785AF8">
              <w:rPr>
                <w:rFonts w:asciiTheme="minorHAnsi" w:hAnsiTheme="minorHAnsi"/>
                <w:color w:val="000000" w:themeColor="text1"/>
              </w:rPr>
              <w:t>rovides</w:t>
            </w:r>
            <w:r w:rsidR="00B36589" w:rsidRPr="00785AF8">
              <w:rPr>
                <w:rFonts w:asciiTheme="minorHAnsi" w:hAnsiTheme="minorHAnsi"/>
                <w:color w:val="000000" w:themeColor="text1"/>
              </w:rPr>
              <w:t xml:space="preserve"> </w:t>
            </w:r>
            <w:r w:rsidR="0058642A" w:rsidRPr="00785AF8">
              <w:rPr>
                <w:rFonts w:asciiTheme="minorHAnsi" w:hAnsiTheme="minorHAnsi"/>
                <w:color w:val="000000" w:themeColor="text1"/>
              </w:rPr>
              <w:t>basic concepts of gender-sensitive budgeting methodology as well as approaches in mainstreaming gender aspects into the budgeting process.</w:t>
            </w:r>
          </w:p>
          <w:p w14:paraId="402B9EAC" w14:textId="77777777" w:rsidR="00700521" w:rsidRPr="00DC7354" w:rsidRDefault="00700521" w:rsidP="00530FDE">
            <w:pPr>
              <w:pStyle w:val="BodyText2"/>
              <w:ind w:left="360"/>
              <w:rPr>
                <w:rFonts w:asciiTheme="minorHAnsi" w:hAnsiTheme="minorHAnsi"/>
              </w:rPr>
            </w:pPr>
          </w:p>
        </w:tc>
      </w:tr>
      <w:tr w:rsidR="003B037A" w:rsidRPr="00DC7354" w14:paraId="402B9EB4" w14:textId="77777777" w:rsidTr="000823AC">
        <w:tc>
          <w:tcPr>
            <w:tcW w:w="3060" w:type="dxa"/>
            <w:shd w:val="clear" w:color="auto" w:fill="95B3D7" w:themeFill="accent1" w:themeFillTint="99"/>
          </w:tcPr>
          <w:p w14:paraId="402B9EAE" w14:textId="1A9295F8" w:rsidR="003B037A" w:rsidRPr="000823AC" w:rsidRDefault="003B037A">
            <w:pPr>
              <w:pStyle w:val="BodyText2"/>
              <w:rPr>
                <w:rFonts w:asciiTheme="minorHAnsi" w:hAnsiTheme="minorHAnsi"/>
                <w:b/>
              </w:rPr>
            </w:pPr>
            <w:r w:rsidRPr="000823AC">
              <w:rPr>
                <w:rFonts w:asciiTheme="minorHAnsi" w:hAnsiTheme="minorHAnsi"/>
                <w:b/>
              </w:rPr>
              <w:lastRenderedPageBreak/>
              <w:t xml:space="preserve">2. </w:t>
            </w:r>
            <w:r w:rsidR="00CD4839" w:rsidRPr="00CD4839">
              <w:rPr>
                <w:rFonts w:asciiTheme="minorHAnsi" w:hAnsiTheme="minorHAnsi"/>
                <w:b/>
              </w:rPr>
              <w:t>Increased employment opportunities and economic security for vulnerable groups</w:t>
            </w:r>
          </w:p>
        </w:tc>
        <w:tc>
          <w:tcPr>
            <w:tcW w:w="1530" w:type="dxa"/>
            <w:gridSpan w:val="2"/>
            <w:shd w:val="clear" w:color="auto" w:fill="auto"/>
          </w:tcPr>
          <w:p w14:paraId="402B9EAF" w14:textId="2CC11594" w:rsidR="003B037A" w:rsidRPr="00DC7354" w:rsidRDefault="00CD1BAC" w:rsidP="0067767C">
            <w:pPr>
              <w:pStyle w:val="BodyText2"/>
              <w:rPr>
                <w:rFonts w:asciiTheme="minorHAnsi" w:hAnsiTheme="minorHAnsi"/>
              </w:rPr>
            </w:pPr>
            <w:r>
              <w:rPr>
                <w:rFonts w:asciiTheme="minorHAnsi" w:hAnsiTheme="minorHAnsi"/>
              </w:rPr>
              <w:t>$12,</w:t>
            </w:r>
            <w:r w:rsidR="0067767C">
              <w:rPr>
                <w:rFonts w:asciiTheme="minorHAnsi" w:hAnsiTheme="minorHAnsi"/>
              </w:rPr>
              <w:t>549,700</w:t>
            </w:r>
          </w:p>
        </w:tc>
        <w:tc>
          <w:tcPr>
            <w:tcW w:w="3960" w:type="dxa"/>
            <w:tcBorders>
              <w:left w:val="single" w:sz="4" w:space="0" w:color="auto"/>
            </w:tcBorders>
          </w:tcPr>
          <w:p w14:paraId="66B0AFA9" w14:textId="77777777" w:rsidR="003B037A" w:rsidRDefault="00CD4839" w:rsidP="00014083">
            <w:pPr>
              <w:pStyle w:val="BodyText2"/>
              <w:rPr>
                <w:rFonts w:asciiTheme="minorHAnsi" w:hAnsiTheme="minorHAnsi"/>
              </w:rPr>
            </w:pPr>
            <w:r w:rsidRPr="00014083">
              <w:rPr>
                <w:rFonts w:asciiTheme="minorHAnsi" w:hAnsiTheme="minorHAnsi"/>
              </w:rPr>
              <w:t>No. of poor communities who benefit from increased employment opportunities, as well as from improved access to microfinance, business advisory facilities and basic social services.</w:t>
            </w:r>
          </w:p>
          <w:p w14:paraId="71ACB43B" w14:textId="77777777" w:rsidR="00014083" w:rsidRPr="00014083" w:rsidRDefault="00014083" w:rsidP="00014083">
            <w:pPr>
              <w:pStyle w:val="BodyText2"/>
              <w:rPr>
                <w:rFonts w:asciiTheme="minorHAnsi" w:hAnsiTheme="minorHAnsi"/>
              </w:rPr>
            </w:pPr>
          </w:p>
          <w:p w14:paraId="402B9EB1" w14:textId="4834F0F3" w:rsidR="00CD4839" w:rsidRPr="00014083" w:rsidRDefault="00CD4839" w:rsidP="00CD4839">
            <w:pPr>
              <w:pStyle w:val="BodyText2"/>
              <w:ind w:left="360"/>
              <w:rPr>
                <w:rFonts w:asciiTheme="minorHAnsi" w:hAnsiTheme="minorHAnsi"/>
                <w:i/>
              </w:rPr>
            </w:pPr>
            <w:r w:rsidRPr="00014083">
              <w:rPr>
                <w:rFonts w:asciiTheme="minorHAnsi" w:hAnsiTheme="minorHAnsi"/>
                <w:i/>
              </w:rPr>
              <w:t>(BASELINE 2010: 200, TARGET 2015: 500)</w:t>
            </w:r>
          </w:p>
        </w:tc>
        <w:tc>
          <w:tcPr>
            <w:tcW w:w="5490" w:type="dxa"/>
            <w:shd w:val="clear" w:color="auto" w:fill="auto"/>
          </w:tcPr>
          <w:p w14:paraId="402B9EB3" w14:textId="72DA007F" w:rsidR="003B037A" w:rsidRPr="00920DBC" w:rsidRDefault="008642DC" w:rsidP="00DE5BBF">
            <w:pPr>
              <w:pStyle w:val="BodyText2"/>
              <w:rPr>
                <w:rFonts w:asciiTheme="minorHAnsi" w:hAnsiTheme="minorHAnsi"/>
                <w:i/>
              </w:rPr>
            </w:pPr>
            <w:r>
              <w:rPr>
                <w:rFonts w:asciiTheme="minorHAnsi" w:hAnsiTheme="minorHAnsi"/>
                <w:i/>
              </w:rPr>
              <w:t>B</w:t>
            </w:r>
            <w:r w:rsidR="007126FF">
              <w:rPr>
                <w:rFonts w:asciiTheme="minorHAnsi" w:hAnsiTheme="minorHAnsi"/>
                <w:i/>
              </w:rPr>
              <w:t>y the end of 2014</w:t>
            </w:r>
            <w:r w:rsidR="005624E1">
              <w:rPr>
                <w:rFonts w:asciiTheme="minorHAnsi" w:hAnsiTheme="minorHAnsi"/>
                <w:i/>
              </w:rPr>
              <w:t>:</w:t>
            </w:r>
            <w:r w:rsidR="007126FF">
              <w:rPr>
                <w:rFonts w:asciiTheme="minorHAnsi" w:hAnsiTheme="minorHAnsi"/>
                <w:i/>
              </w:rPr>
              <w:t xml:space="preserve"> 456</w:t>
            </w:r>
          </w:p>
        </w:tc>
      </w:tr>
      <w:tr w:rsidR="00700521" w:rsidRPr="00DC7354" w14:paraId="402B9EB9" w14:textId="77777777" w:rsidTr="009E7526">
        <w:tc>
          <w:tcPr>
            <w:tcW w:w="14040" w:type="dxa"/>
            <w:gridSpan w:val="5"/>
          </w:tcPr>
          <w:p w14:paraId="402B9EB7" w14:textId="77777777" w:rsidR="008B06DD" w:rsidRDefault="008B06DD" w:rsidP="00612159">
            <w:pPr>
              <w:pStyle w:val="BodyText2"/>
              <w:rPr>
                <w:rFonts w:asciiTheme="minorHAnsi" w:hAnsiTheme="minorHAnsi"/>
              </w:rPr>
            </w:pPr>
            <w:r w:rsidRPr="00B00E5C">
              <w:rPr>
                <w:rFonts w:asciiTheme="minorHAnsi" w:hAnsiTheme="minorHAnsi"/>
                <w:u w:val="single"/>
              </w:rPr>
              <w:t>CP Outputs</w:t>
            </w:r>
            <w:r w:rsidR="00845340">
              <w:rPr>
                <w:rFonts w:asciiTheme="minorHAnsi" w:hAnsiTheme="minorHAnsi"/>
              </w:rPr>
              <w:t>:</w:t>
            </w:r>
          </w:p>
          <w:p w14:paraId="3DC10E0C" w14:textId="41A3186B" w:rsidR="001F029D" w:rsidRDefault="001F029D" w:rsidP="00C23EB1">
            <w:pPr>
              <w:pStyle w:val="BodyText2"/>
              <w:numPr>
                <w:ilvl w:val="0"/>
                <w:numId w:val="22"/>
              </w:numPr>
              <w:rPr>
                <w:rFonts w:asciiTheme="minorHAnsi" w:hAnsiTheme="minorHAnsi"/>
                <w:i/>
                <w:color w:val="000000" w:themeColor="text1"/>
              </w:rPr>
            </w:pPr>
            <w:r w:rsidRPr="001F029D">
              <w:rPr>
                <w:rFonts w:asciiTheme="minorHAnsi" w:hAnsiTheme="minorHAnsi"/>
                <w:i/>
                <w:color w:val="000000" w:themeColor="text1"/>
              </w:rPr>
              <w:t xml:space="preserve">Inclusive microfinance, business advisory and support services facilitated, as well as investment attraction capacities increased.      </w:t>
            </w:r>
          </w:p>
          <w:p w14:paraId="3244A8F1" w14:textId="4293E6BF" w:rsidR="001F029D" w:rsidRPr="00AA7B30" w:rsidRDefault="001F029D" w:rsidP="00C23EB1">
            <w:pPr>
              <w:pStyle w:val="BodyText2"/>
              <w:numPr>
                <w:ilvl w:val="0"/>
                <w:numId w:val="22"/>
              </w:numPr>
              <w:rPr>
                <w:rFonts w:asciiTheme="minorHAnsi" w:hAnsiTheme="minorHAnsi"/>
                <w:i/>
                <w:color w:val="000000" w:themeColor="text1"/>
              </w:rPr>
            </w:pPr>
            <w:r w:rsidRPr="005E0288">
              <w:rPr>
                <w:rFonts w:asciiTheme="minorHAnsi" w:hAnsiTheme="minorHAnsi"/>
                <w:i/>
                <w:color w:val="000000" w:themeColor="text1"/>
              </w:rPr>
              <w:t>Community-based infrastructure rehabilitated to improve a</w:t>
            </w:r>
            <w:r w:rsidR="00951D81">
              <w:rPr>
                <w:rFonts w:asciiTheme="minorHAnsi" w:hAnsiTheme="minorHAnsi"/>
                <w:i/>
                <w:color w:val="000000" w:themeColor="text1"/>
              </w:rPr>
              <w:t>ccess to basic social services</w:t>
            </w:r>
          </w:p>
          <w:p w14:paraId="04DD6D91" w14:textId="77777777" w:rsidR="001F029D" w:rsidRDefault="001F029D" w:rsidP="00612159">
            <w:pPr>
              <w:pStyle w:val="BodyText2"/>
              <w:rPr>
                <w:rFonts w:asciiTheme="minorHAnsi" w:hAnsiTheme="minorHAnsi"/>
              </w:rPr>
            </w:pPr>
          </w:p>
          <w:p w14:paraId="6869CF76" w14:textId="77777777" w:rsidR="00700521" w:rsidRPr="00003AB5" w:rsidRDefault="008B06DD" w:rsidP="00D9192E">
            <w:pPr>
              <w:pStyle w:val="BodyText2"/>
              <w:rPr>
                <w:rFonts w:asciiTheme="minorHAnsi" w:hAnsiTheme="minorHAnsi"/>
                <w:color w:val="000000" w:themeColor="text1"/>
              </w:rPr>
            </w:pPr>
            <w:r w:rsidRPr="00003AB5">
              <w:rPr>
                <w:rFonts w:asciiTheme="minorHAnsi" w:hAnsiTheme="minorHAnsi"/>
                <w:color w:val="000000" w:themeColor="text1"/>
                <w:u w:val="single"/>
              </w:rPr>
              <w:t>Progress and Achievements</w:t>
            </w:r>
            <w:r w:rsidR="00845340" w:rsidRPr="00003AB5">
              <w:rPr>
                <w:rFonts w:asciiTheme="minorHAnsi" w:hAnsiTheme="minorHAnsi"/>
                <w:color w:val="000000" w:themeColor="text1"/>
              </w:rPr>
              <w:t>:</w:t>
            </w:r>
          </w:p>
          <w:p w14:paraId="3AC1A49C" w14:textId="4F6449A0" w:rsidR="003B71CC" w:rsidRPr="00003AB5" w:rsidRDefault="0063086A" w:rsidP="003B71CC">
            <w:pPr>
              <w:pStyle w:val="BodyText2"/>
              <w:rPr>
                <w:rFonts w:asciiTheme="minorHAnsi" w:hAnsiTheme="minorHAnsi"/>
                <w:color w:val="000000" w:themeColor="text1"/>
              </w:rPr>
            </w:pPr>
            <w:r w:rsidRPr="00003AB5">
              <w:rPr>
                <w:rFonts w:asciiTheme="minorHAnsi" w:hAnsiTheme="minorHAnsi"/>
                <w:color w:val="000000" w:themeColor="text1"/>
              </w:rPr>
              <w:t xml:space="preserve">UNDP </w:t>
            </w:r>
            <w:r w:rsidR="00863117" w:rsidRPr="00003AB5">
              <w:rPr>
                <w:rFonts w:asciiTheme="minorHAnsi" w:hAnsiTheme="minorHAnsi"/>
                <w:color w:val="000000" w:themeColor="text1"/>
              </w:rPr>
              <w:t>has worked closely with Chamber of Commerce and Industry (CCI)</w:t>
            </w:r>
            <w:r w:rsidR="009064CB" w:rsidRPr="00003AB5">
              <w:rPr>
                <w:rFonts w:asciiTheme="minorHAnsi" w:hAnsiTheme="minorHAnsi"/>
                <w:color w:val="000000" w:themeColor="text1"/>
              </w:rPr>
              <w:t xml:space="preserve"> in order to </w:t>
            </w:r>
            <w:r w:rsidR="00D654D5" w:rsidRPr="00003AB5">
              <w:rPr>
                <w:rFonts w:asciiTheme="minorHAnsi" w:hAnsiTheme="minorHAnsi"/>
                <w:color w:val="000000" w:themeColor="text1"/>
              </w:rPr>
              <w:t>enable</w:t>
            </w:r>
            <w:r w:rsidR="009064CB" w:rsidRPr="00003AB5">
              <w:rPr>
                <w:rFonts w:asciiTheme="minorHAnsi" w:hAnsiTheme="minorHAnsi"/>
                <w:color w:val="000000" w:themeColor="text1"/>
              </w:rPr>
              <w:t xml:space="preserve"> them</w:t>
            </w:r>
            <w:r w:rsidR="005624E1" w:rsidRPr="00003AB5">
              <w:rPr>
                <w:rFonts w:asciiTheme="minorHAnsi" w:hAnsiTheme="minorHAnsi"/>
                <w:color w:val="000000" w:themeColor="text1"/>
              </w:rPr>
              <w:t xml:space="preserve"> to bring in </w:t>
            </w:r>
            <w:r w:rsidR="00143B23" w:rsidRPr="00003AB5">
              <w:rPr>
                <w:rFonts w:asciiTheme="minorHAnsi" w:hAnsiTheme="minorHAnsi"/>
                <w:color w:val="000000" w:themeColor="text1"/>
              </w:rPr>
              <w:t xml:space="preserve">the </w:t>
            </w:r>
            <w:r w:rsidR="005624E1" w:rsidRPr="00003AB5">
              <w:rPr>
                <w:rFonts w:asciiTheme="minorHAnsi" w:hAnsiTheme="minorHAnsi"/>
                <w:color w:val="000000" w:themeColor="text1"/>
              </w:rPr>
              <w:t>stakeholders’ perspective to the Government’s reform efforts in creating a f</w:t>
            </w:r>
            <w:r w:rsidR="00A92D15" w:rsidRPr="00003AB5">
              <w:rPr>
                <w:rFonts w:asciiTheme="minorHAnsi" w:hAnsiTheme="minorHAnsi"/>
                <w:color w:val="000000" w:themeColor="text1"/>
              </w:rPr>
              <w:t>avorable business environment</w:t>
            </w:r>
            <w:r w:rsidR="009728BA" w:rsidRPr="00003AB5">
              <w:rPr>
                <w:rFonts w:asciiTheme="minorHAnsi" w:hAnsiTheme="minorHAnsi"/>
                <w:color w:val="000000" w:themeColor="text1"/>
              </w:rPr>
              <w:t xml:space="preserve"> and to pilot sustainable business projects</w:t>
            </w:r>
            <w:r w:rsidR="00722BFC" w:rsidRPr="00003AB5">
              <w:rPr>
                <w:rFonts w:asciiTheme="minorHAnsi" w:hAnsiTheme="minorHAnsi"/>
                <w:color w:val="000000" w:themeColor="text1"/>
              </w:rPr>
              <w:t xml:space="preserve">. </w:t>
            </w:r>
            <w:r w:rsidR="00D135C8" w:rsidRPr="00003AB5">
              <w:rPr>
                <w:rFonts w:asciiTheme="minorHAnsi" w:hAnsiTheme="minorHAnsi"/>
                <w:color w:val="000000" w:themeColor="text1"/>
              </w:rPr>
              <w:t xml:space="preserve">Following </w:t>
            </w:r>
            <w:r w:rsidR="00C66838" w:rsidRPr="00003AB5">
              <w:rPr>
                <w:rFonts w:asciiTheme="minorHAnsi" w:hAnsiTheme="minorHAnsi"/>
                <w:color w:val="000000" w:themeColor="text1"/>
              </w:rPr>
              <w:t>UNDP’s support</w:t>
            </w:r>
            <w:r w:rsidR="007854CA" w:rsidRPr="00003AB5">
              <w:rPr>
                <w:rFonts w:asciiTheme="minorHAnsi" w:hAnsiTheme="minorHAnsi"/>
                <w:color w:val="000000" w:themeColor="text1"/>
              </w:rPr>
              <w:t>, in 2014</w:t>
            </w:r>
            <w:r w:rsidR="00C66838" w:rsidRPr="00003AB5">
              <w:rPr>
                <w:rFonts w:asciiTheme="minorHAnsi" w:hAnsiTheme="minorHAnsi"/>
                <w:color w:val="000000" w:themeColor="text1"/>
              </w:rPr>
              <w:t xml:space="preserve"> </w:t>
            </w:r>
            <w:r w:rsidR="005624E1" w:rsidRPr="00003AB5">
              <w:rPr>
                <w:rFonts w:asciiTheme="minorHAnsi" w:hAnsiTheme="minorHAnsi"/>
                <w:color w:val="000000" w:themeColor="text1"/>
              </w:rPr>
              <w:t xml:space="preserve">CCI proposed changes to over 100 pieces of legislation </w:t>
            </w:r>
            <w:r w:rsidR="00E732F4" w:rsidRPr="00003AB5">
              <w:rPr>
                <w:rFonts w:asciiTheme="minorHAnsi" w:hAnsiTheme="minorHAnsi"/>
                <w:color w:val="000000" w:themeColor="text1"/>
              </w:rPr>
              <w:t>focusing</w:t>
            </w:r>
            <w:r w:rsidR="005624E1" w:rsidRPr="00003AB5">
              <w:rPr>
                <w:rFonts w:asciiTheme="minorHAnsi" w:hAnsiTheme="minorHAnsi"/>
                <w:color w:val="000000" w:themeColor="text1"/>
              </w:rPr>
              <w:t xml:space="preserve"> on unwinding complex bureaucratic procedures as well as providing long-sought relief for businesses. The results of this intervention can be exemplified by the abolishment of taxes to the Road Fund, the Pension Fund and the Fund for Repair of Educational and Health Institutions. Consequently, the total tax rate dropped from 97.5% to 42.2% as per WB Doing Business report, thus lifting the country’s rating in this category by 61 positions (from 179th to 118th). Starting from </w:t>
            </w:r>
            <w:r w:rsidR="005624E1" w:rsidRPr="00003AB5">
              <w:rPr>
                <w:rFonts w:asciiTheme="minorHAnsi" w:hAnsiTheme="minorHAnsi"/>
                <w:color w:val="000000" w:themeColor="text1"/>
              </w:rPr>
              <w:lastRenderedPageBreak/>
              <w:t>2015 payroll tax for small businesses will be reduced from 25% to 15% which will decrease cost of labor for the latter. This combined with the measure on increasing threshold to qualify as a small business will help growing enterprises to provide more employment opportunities, at the same time retaining simplified, beneficial tax regi</w:t>
            </w:r>
            <w:r w:rsidR="00231343" w:rsidRPr="00003AB5">
              <w:rPr>
                <w:rFonts w:asciiTheme="minorHAnsi" w:hAnsiTheme="minorHAnsi"/>
                <w:color w:val="000000" w:themeColor="text1"/>
              </w:rPr>
              <w:t>me</w:t>
            </w:r>
            <w:r w:rsidR="005624E1" w:rsidRPr="00003AB5">
              <w:rPr>
                <w:rFonts w:asciiTheme="minorHAnsi" w:hAnsiTheme="minorHAnsi"/>
                <w:color w:val="000000" w:themeColor="text1"/>
              </w:rPr>
              <w:t>.</w:t>
            </w:r>
            <w:r w:rsidR="003B71CC" w:rsidRPr="00003AB5">
              <w:rPr>
                <w:rFonts w:asciiTheme="minorHAnsi" w:hAnsiTheme="minorHAnsi"/>
                <w:color w:val="000000" w:themeColor="text1"/>
              </w:rPr>
              <w:t xml:space="preserve"> In addition UNDP’s support was evident in the formulation of key provisions of the Presidential Decree on simplification of bureaucratic procedures to ease starting and doing business for small enterprises, and in the introduction an online registration system that will transform control and permission-oriented bureaucratic procedure in</w:t>
            </w:r>
            <w:r w:rsidR="00231343" w:rsidRPr="00003AB5">
              <w:rPr>
                <w:rFonts w:asciiTheme="minorHAnsi" w:hAnsiTheme="minorHAnsi"/>
                <w:color w:val="000000" w:themeColor="text1"/>
              </w:rPr>
              <w:t>to interactive public service</w:t>
            </w:r>
            <w:r w:rsidR="00231343" w:rsidRPr="00003AB5">
              <w:rPr>
                <w:rStyle w:val="FootnoteReference"/>
                <w:rFonts w:asciiTheme="minorHAnsi" w:hAnsiTheme="minorHAnsi"/>
                <w:color w:val="000000" w:themeColor="text1"/>
              </w:rPr>
              <w:footnoteReference w:id="7"/>
            </w:r>
            <w:r w:rsidR="003B71CC" w:rsidRPr="00003AB5">
              <w:rPr>
                <w:rFonts w:asciiTheme="minorHAnsi" w:hAnsiTheme="minorHAnsi"/>
                <w:color w:val="000000" w:themeColor="text1"/>
              </w:rPr>
              <w:t xml:space="preserve">. </w:t>
            </w:r>
            <w:r w:rsidR="00106067" w:rsidRPr="00003AB5">
              <w:rPr>
                <w:rFonts w:asciiTheme="minorHAnsi" w:hAnsiTheme="minorHAnsi"/>
                <w:color w:val="000000" w:themeColor="text1"/>
              </w:rPr>
              <w:t>Also, the number and cost of administrative regulations on businesses have been reduced, and resolutions on the introduction of e-governance facilitation services have been adopted by the Government. Subsequently, Uzbekistan has moved up 8 positions in the IFC’s Doing Business ranking</w:t>
            </w:r>
            <w:r w:rsidR="000F1A6F" w:rsidRPr="00003AB5">
              <w:rPr>
                <w:rStyle w:val="FootnoteReference"/>
                <w:rFonts w:asciiTheme="minorHAnsi" w:hAnsiTheme="minorHAnsi"/>
                <w:color w:val="000000" w:themeColor="text1"/>
              </w:rPr>
              <w:footnoteReference w:id="8"/>
            </w:r>
            <w:r w:rsidR="00106067" w:rsidRPr="00003AB5">
              <w:rPr>
                <w:rFonts w:asciiTheme="minorHAnsi" w:hAnsiTheme="minorHAnsi"/>
                <w:color w:val="000000" w:themeColor="text1"/>
              </w:rPr>
              <w:t>.</w:t>
            </w:r>
          </w:p>
          <w:p w14:paraId="5BBC8EA8" w14:textId="77777777" w:rsidR="003B71CC" w:rsidRPr="00003AB5" w:rsidRDefault="003B71CC" w:rsidP="008C3CD2">
            <w:pPr>
              <w:pStyle w:val="BodyText2"/>
              <w:rPr>
                <w:rFonts w:asciiTheme="minorHAnsi" w:hAnsiTheme="minorHAnsi"/>
                <w:color w:val="000000" w:themeColor="text1"/>
              </w:rPr>
            </w:pPr>
          </w:p>
          <w:p w14:paraId="2FBA501E" w14:textId="01701FDD" w:rsidR="002E7DE5" w:rsidRPr="00003AB5" w:rsidRDefault="008C3CD2" w:rsidP="008C3CD2">
            <w:pPr>
              <w:pStyle w:val="BodyText2"/>
              <w:rPr>
                <w:rFonts w:asciiTheme="minorHAnsi" w:hAnsiTheme="minorHAnsi"/>
                <w:color w:val="000000" w:themeColor="text1"/>
              </w:rPr>
            </w:pPr>
            <w:r w:rsidRPr="00003AB5">
              <w:rPr>
                <w:rFonts w:asciiTheme="minorHAnsi" w:hAnsiTheme="minorHAnsi"/>
                <w:color w:val="000000" w:themeColor="text1"/>
              </w:rPr>
              <w:t>UNDP’</w:t>
            </w:r>
            <w:r w:rsidR="00444D1E" w:rsidRPr="00003AB5">
              <w:rPr>
                <w:rFonts w:asciiTheme="minorHAnsi" w:hAnsiTheme="minorHAnsi"/>
                <w:color w:val="000000" w:themeColor="text1"/>
              </w:rPr>
              <w:t xml:space="preserve">s role </w:t>
            </w:r>
            <w:r w:rsidRPr="00003AB5">
              <w:rPr>
                <w:rFonts w:asciiTheme="minorHAnsi" w:hAnsiTheme="minorHAnsi"/>
                <w:color w:val="000000" w:themeColor="text1"/>
              </w:rPr>
              <w:t>has b</w:t>
            </w:r>
            <w:r w:rsidR="002E7DE5" w:rsidRPr="00003AB5">
              <w:rPr>
                <w:rFonts w:asciiTheme="minorHAnsi" w:hAnsiTheme="minorHAnsi"/>
                <w:color w:val="000000" w:themeColor="text1"/>
              </w:rPr>
              <w:t xml:space="preserve">een vital </w:t>
            </w:r>
            <w:r w:rsidR="00444D1E" w:rsidRPr="00003AB5">
              <w:rPr>
                <w:rFonts w:asciiTheme="minorHAnsi" w:hAnsiTheme="minorHAnsi"/>
                <w:color w:val="000000" w:themeColor="text1"/>
              </w:rPr>
              <w:t xml:space="preserve">in promoting </w:t>
            </w:r>
            <w:r w:rsidR="002E7DE5" w:rsidRPr="00003AB5">
              <w:rPr>
                <w:rFonts w:asciiTheme="minorHAnsi" w:hAnsiTheme="minorHAnsi"/>
                <w:color w:val="000000" w:themeColor="text1"/>
              </w:rPr>
              <w:t>social enterprises</w:t>
            </w:r>
            <w:r w:rsidR="00444D1E" w:rsidRPr="00003AB5">
              <w:rPr>
                <w:rFonts w:asciiTheme="minorHAnsi" w:hAnsiTheme="minorHAnsi"/>
                <w:color w:val="000000" w:themeColor="text1"/>
              </w:rPr>
              <w:t xml:space="preserve"> as mean</w:t>
            </w:r>
            <w:r w:rsidR="002E7DE5" w:rsidRPr="00003AB5">
              <w:rPr>
                <w:rFonts w:asciiTheme="minorHAnsi" w:hAnsiTheme="minorHAnsi"/>
                <w:color w:val="000000" w:themeColor="text1"/>
              </w:rPr>
              <w:t xml:space="preserve"> </w:t>
            </w:r>
            <w:r w:rsidRPr="00003AB5">
              <w:rPr>
                <w:rFonts w:asciiTheme="minorHAnsi" w:hAnsiTheme="minorHAnsi"/>
                <w:color w:val="000000" w:themeColor="text1"/>
              </w:rPr>
              <w:t xml:space="preserve">to ensure more employment opportunities for vulnerable groups in Uzbekistan. </w:t>
            </w:r>
            <w:r w:rsidR="002E7DE5" w:rsidRPr="00003AB5">
              <w:rPr>
                <w:rFonts w:asciiTheme="minorHAnsi" w:hAnsiTheme="minorHAnsi"/>
                <w:color w:val="000000" w:themeColor="text1"/>
              </w:rPr>
              <w:t>As a direct result of the joint UNDP-Government project, 10 social enterprises were established which res</w:t>
            </w:r>
            <w:r w:rsidR="005B5F5F" w:rsidRPr="00003AB5">
              <w:rPr>
                <w:rFonts w:asciiTheme="minorHAnsi" w:hAnsiTheme="minorHAnsi"/>
                <w:color w:val="000000" w:themeColor="text1"/>
              </w:rPr>
              <w:t xml:space="preserve">ulted as a </w:t>
            </w:r>
            <w:r w:rsidR="003C5CB2" w:rsidRPr="00003AB5">
              <w:rPr>
                <w:rFonts w:asciiTheme="minorHAnsi" w:hAnsiTheme="minorHAnsi"/>
                <w:color w:val="000000" w:themeColor="text1"/>
              </w:rPr>
              <w:t>creation of</w:t>
            </w:r>
            <w:r w:rsidR="00A7443F" w:rsidRPr="00003AB5">
              <w:rPr>
                <w:rFonts w:asciiTheme="minorHAnsi" w:hAnsiTheme="minorHAnsi"/>
                <w:color w:val="000000" w:themeColor="text1"/>
              </w:rPr>
              <w:t xml:space="preserve"> 357 new </w:t>
            </w:r>
            <w:r w:rsidR="00927E09" w:rsidRPr="00003AB5">
              <w:rPr>
                <w:rFonts w:asciiTheme="minorHAnsi" w:hAnsiTheme="minorHAnsi"/>
                <w:color w:val="000000" w:themeColor="text1"/>
              </w:rPr>
              <w:t>jobs for vulnerable people.</w:t>
            </w:r>
            <w:r w:rsidR="00A0490F" w:rsidRPr="00003AB5">
              <w:rPr>
                <w:rFonts w:asciiTheme="minorHAnsi" w:hAnsiTheme="minorHAnsi"/>
                <w:color w:val="000000" w:themeColor="text1"/>
              </w:rPr>
              <w:t xml:space="preserve"> For the first time, the Law on employment was amended to legitimize NGOs as service providers and to include victims of human trafficking as vuln</w:t>
            </w:r>
            <w:r w:rsidR="005E00AC" w:rsidRPr="00003AB5">
              <w:rPr>
                <w:rFonts w:asciiTheme="minorHAnsi" w:hAnsiTheme="minorHAnsi"/>
                <w:color w:val="000000" w:themeColor="text1"/>
              </w:rPr>
              <w:t>erable groups of the population</w:t>
            </w:r>
            <w:r w:rsidR="00A0490F" w:rsidRPr="00003AB5">
              <w:rPr>
                <w:rStyle w:val="FootnoteReference"/>
                <w:rFonts w:asciiTheme="minorHAnsi" w:hAnsiTheme="minorHAnsi"/>
                <w:color w:val="000000" w:themeColor="text1"/>
              </w:rPr>
              <w:footnoteReference w:id="9"/>
            </w:r>
            <w:r w:rsidR="00A0490F" w:rsidRPr="00003AB5">
              <w:rPr>
                <w:rFonts w:asciiTheme="minorHAnsi" w:hAnsiTheme="minorHAnsi"/>
                <w:color w:val="000000" w:themeColor="text1"/>
              </w:rPr>
              <w:t>.</w:t>
            </w:r>
            <w:r w:rsidR="00171837" w:rsidRPr="00003AB5">
              <w:rPr>
                <w:rFonts w:asciiTheme="minorHAnsi" w:hAnsiTheme="minorHAnsi"/>
                <w:color w:val="000000" w:themeColor="text1"/>
              </w:rPr>
              <w:t xml:space="preserve"> </w:t>
            </w:r>
            <w:r w:rsidR="00A0490F" w:rsidRPr="00003AB5">
              <w:rPr>
                <w:rFonts w:asciiTheme="minorHAnsi" w:hAnsiTheme="minorHAnsi"/>
                <w:color w:val="000000" w:themeColor="text1"/>
              </w:rPr>
              <w:t xml:space="preserve"> This was achieved as a result of UNDP’s long-term advocacy efforts, including a policy brief on Gender and Employment (2012) and facilitated discussions on employment and social protection issues</w:t>
            </w:r>
          </w:p>
          <w:p w14:paraId="4610815A" w14:textId="77777777" w:rsidR="002C283D" w:rsidRPr="00003AB5" w:rsidRDefault="002C283D" w:rsidP="005624E1">
            <w:pPr>
              <w:pStyle w:val="BodyText2"/>
              <w:rPr>
                <w:rFonts w:asciiTheme="minorHAnsi" w:hAnsiTheme="minorHAnsi"/>
                <w:color w:val="000000" w:themeColor="text1"/>
              </w:rPr>
            </w:pPr>
          </w:p>
          <w:p w14:paraId="636861B9" w14:textId="4110476A" w:rsidR="00395900" w:rsidRPr="00003AB5" w:rsidRDefault="005B5F5F" w:rsidP="00E56038">
            <w:pPr>
              <w:pStyle w:val="BodyText2"/>
              <w:rPr>
                <w:rFonts w:asciiTheme="minorHAnsi" w:hAnsiTheme="minorHAnsi"/>
                <w:color w:val="000000" w:themeColor="text1"/>
              </w:rPr>
            </w:pPr>
            <w:r w:rsidRPr="00003AB5">
              <w:rPr>
                <w:rFonts w:asciiTheme="minorHAnsi" w:hAnsiTheme="minorHAnsi"/>
                <w:color w:val="000000" w:themeColor="text1"/>
              </w:rPr>
              <w:t xml:space="preserve">Since the beginning of the programme cycle additional 256 communities have befitted </w:t>
            </w:r>
            <w:r w:rsidR="002C283D" w:rsidRPr="00003AB5">
              <w:rPr>
                <w:rFonts w:asciiTheme="minorHAnsi" w:hAnsiTheme="minorHAnsi"/>
                <w:color w:val="000000" w:themeColor="text1"/>
              </w:rPr>
              <w:t>from increased employment opportunities, as well as from improved access to microfinance, business advisory facilities and basic social services.</w:t>
            </w:r>
            <w:r w:rsidR="0073200E" w:rsidRPr="00003AB5">
              <w:rPr>
                <w:rFonts w:asciiTheme="minorHAnsi" w:hAnsiTheme="minorHAnsi"/>
                <w:color w:val="000000" w:themeColor="text1"/>
              </w:rPr>
              <w:t xml:space="preserve"> </w:t>
            </w:r>
            <w:r w:rsidR="00264E5A" w:rsidRPr="00003AB5">
              <w:rPr>
                <w:rFonts w:asciiTheme="minorHAnsi" w:hAnsiTheme="minorHAnsi"/>
                <w:color w:val="000000" w:themeColor="text1"/>
              </w:rPr>
              <w:t xml:space="preserve">Only in </w:t>
            </w:r>
            <w:proofErr w:type="spellStart"/>
            <w:r w:rsidR="00264E5A" w:rsidRPr="00003AB5">
              <w:rPr>
                <w:rFonts w:asciiTheme="minorHAnsi" w:hAnsiTheme="minorHAnsi"/>
                <w:color w:val="000000" w:themeColor="text1"/>
              </w:rPr>
              <w:t>Karakalpaksta</w:t>
            </w:r>
            <w:r w:rsidR="00D72ECC" w:rsidRPr="00003AB5">
              <w:rPr>
                <w:rFonts w:asciiTheme="minorHAnsi" w:hAnsiTheme="minorHAnsi"/>
                <w:color w:val="000000" w:themeColor="text1"/>
              </w:rPr>
              <w:t>n</w:t>
            </w:r>
            <w:proofErr w:type="spellEnd"/>
            <w:r w:rsidR="0073200E" w:rsidRPr="00003AB5">
              <w:rPr>
                <w:rFonts w:asciiTheme="minorHAnsi" w:hAnsiTheme="minorHAnsi"/>
                <w:color w:val="000000" w:themeColor="text1"/>
              </w:rPr>
              <w:t xml:space="preserve"> (the area most affected by the Aral Sea disaster</w:t>
            </w:r>
            <w:r w:rsidR="00FF0FF5" w:rsidRPr="00003AB5">
              <w:rPr>
                <w:rFonts w:asciiTheme="minorHAnsi" w:hAnsiTheme="minorHAnsi"/>
                <w:color w:val="000000" w:themeColor="text1"/>
              </w:rPr>
              <w:t>)</w:t>
            </w:r>
            <w:r w:rsidR="0073200E" w:rsidRPr="00003AB5">
              <w:rPr>
                <w:rFonts w:asciiTheme="minorHAnsi" w:hAnsiTheme="minorHAnsi"/>
                <w:color w:val="000000" w:themeColor="text1"/>
              </w:rPr>
              <w:t>, UNDP’s support</w:t>
            </w:r>
            <w:r w:rsidR="00264E5A" w:rsidRPr="00003AB5">
              <w:rPr>
                <w:rFonts w:asciiTheme="minorHAnsi" w:hAnsiTheme="minorHAnsi"/>
                <w:color w:val="000000" w:themeColor="text1"/>
              </w:rPr>
              <w:t xml:space="preserve"> </w:t>
            </w:r>
            <w:r w:rsidR="002D628D" w:rsidRPr="00003AB5">
              <w:rPr>
                <w:rFonts w:asciiTheme="minorHAnsi" w:hAnsiTheme="minorHAnsi"/>
                <w:color w:val="000000" w:themeColor="text1"/>
              </w:rPr>
              <w:t>in the framework of</w:t>
            </w:r>
            <w:r w:rsidR="007E55AE" w:rsidRPr="00003AB5">
              <w:rPr>
                <w:rFonts w:asciiTheme="minorHAnsi" w:hAnsiTheme="minorHAnsi"/>
                <w:color w:val="000000" w:themeColor="text1"/>
              </w:rPr>
              <w:t xml:space="preserve"> the </w:t>
            </w:r>
            <w:r w:rsidR="009D292F" w:rsidRPr="00003AB5">
              <w:rPr>
                <w:rFonts w:asciiTheme="minorHAnsi" w:hAnsiTheme="minorHAnsi"/>
                <w:color w:val="000000" w:themeColor="text1"/>
              </w:rPr>
              <w:t xml:space="preserve">UN Joint Programme </w:t>
            </w:r>
            <w:r w:rsidR="00641F36" w:rsidRPr="00003AB5">
              <w:rPr>
                <w:rFonts w:asciiTheme="minorHAnsi" w:hAnsiTheme="minorHAnsi"/>
                <w:color w:val="000000" w:themeColor="text1"/>
              </w:rPr>
              <w:t>benefitted</w:t>
            </w:r>
            <w:r w:rsidR="009D292F" w:rsidRPr="00003AB5">
              <w:rPr>
                <w:rFonts w:asciiTheme="minorHAnsi" w:hAnsiTheme="minorHAnsi"/>
                <w:color w:val="000000" w:themeColor="text1"/>
              </w:rPr>
              <w:t xml:space="preserve"> </w:t>
            </w:r>
            <w:r w:rsidR="00641F36" w:rsidRPr="00003AB5">
              <w:rPr>
                <w:rFonts w:asciiTheme="minorHAnsi" w:hAnsiTheme="minorHAnsi"/>
                <w:color w:val="000000" w:themeColor="text1"/>
              </w:rPr>
              <w:t>44,262</w:t>
            </w:r>
            <w:r w:rsidR="009D292F" w:rsidRPr="00003AB5">
              <w:rPr>
                <w:rFonts w:asciiTheme="minorHAnsi" w:hAnsiTheme="minorHAnsi"/>
                <w:color w:val="000000" w:themeColor="text1"/>
              </w:rPr>
              <w:t xml:space="preserve"> people in rural areas</w:t>
            </w:r>
            <w:r w:rsidR="00641F36" w:rsidRPr="00003AB5">
              <w:rPr>
                <w:rFonts w:asciiTheme="minorHAnsi" w:hAnsiTheme="minorHAnsi"/>
                <w:color w:val="000000" w:themeColor="text1"/>
              </w:rPr>
              <w:t xml:space="preserve"> through community based development plann</w:t>
            </w:r>
            <w:r w:rsidR="00A4035C" w:rsidRPr="00003AB5">
              <w:rPr>
                <w:rFonts w:asciiTheme="minorHAnsi" w:hAnsiTheme="minorHAnsi"/>
                <w:color w:val="000000" w:themeColor="text1"/>
              </w:rPr>
              <w:t>ing and infrastructure projects</w:t>
            </w:r>
            <w:r w:rsidR="00A4035C" w:rsidRPr="00003AB5">
              <w:rPr>
                <w:rStyle w:val="FootnoteReference"/>
                <w:rFonts w:asciiTheme="minorHAnsi" w:hAnsiTheme="minorHAnsi"/>
                <w:color w:val="000000" w:themeColor="text1"/>
              </w:rPr>
              <w:footnoteReference w:id="10"/>
            </w:r>
            <w:r w:rsidR="009D292F" w:rsidRPr="00003AB5">
              <w:rPr>
                <w:rFonts w:asciiTheme="minorHAnsi" w:hAnsiTheme="minorHAnsi"/>
                <w:color w:val="000000" w:themeColor="text1"/>
              </w:rPr>
              <w:t>.</w:t>
            </w:r>
            <w:r w:rsidR="00804F6E" w:rsidRPr="00003AB5">
              <w:rPr>
                <w:rFonts w:asciiTheme="minorHAnsi" w:hAnsiTheme="minorHAnsi"/>
                <w:color w:val="000000" w:themeColor="text1"/>
              </w:rPr>
              <w:t xml:space="preserve"> </w:t>
            </w:r>
            <w:r w:rsidR="00376C01" w:rsidRPr="00003AB5">
              <w:rPr>
                <w:rFonts w:asciiTheme="minorHAnsi" w:hAnsiTheme="minorHAnsi"/>
                <w:color w:val="000000" w:themeColor="text1"/>
              </w:rPr>
              <w:t xml:space="preserve">As a reflection of </w:t>
            </w:r>
            <w:r w:rsidR="005624E1" w:rsidRPr="00003AB5">
              <w:rPr>
                <w:rFonts w:asciiTheme="minorHAnsi" w:hAnsiTheme="minorHAnsi"/>
                <w:color w:val="000000" w:themeColor="text1"/>
              </w:rPr>
              <w:t>commitment</w:t>
            </w:r>
            <w:r w:rsidR="00376C01" w:rsidRPr="00003AB5">
              <w:rPr>
                <w:rFonts w:asciiTheme="minorHAnsi" w:hAnsiTheme="minorHAnsi"/>
                <w:color w:val="000000" w:themeColor="text1"/>
              </w:rPr>
              <w:t>s</w:t>
            </w:r>
            <w:r w:rsidR="005624E1" w:rsidRPr="00003AB5">
              <w:rPr>
                <w:rFonts w:asciiTheme="minorHAnsi" w:hAnsiTheme="minorHAnsi"/>
                <w:color w:val="000000" w:themeColor="text1"/>
              </w:rPr>
              <w:t xml:space="preserve"> of Uzbekistan as a Chair for the International Fund for Saving the Aral Sea (IFAS), in 2014 the Government raised the profile of the Aral Sea disaster through International Conference represented at high level by UN and extensiv</w:t>
            </w:r>
            <w:r w:rsidR="00BF46B8" w:rsidRPr="00003AB5">
              <w:rPr>
                <w:rFonts w:asciiTheme="minorHAnsi" w:hAnsiTheme="minorHAnsi"/>
                <w:color w:val="000000" w:themeColor="text1"/>
              </w:rPr>
              <w:t>ely supported by UNDP</w:t>
            </w:r>
            <w:r w:rsidR="00BF46B8" w:rsidRPr="00003AB5">
              <w:rPr>
                <w:rStyle w:val="FootnoteReference"/>
                <w:rFonts w:asciiTheme="minorHAnsi" w:hAnsiTheme="minorHAnsi"/>
                <w:color w:val="000000" w:themeColor="text1"/>
              </w:rPr>
              <w:footnoteReference w:id="11"/>
            </w:r>
            <w:r w:rsidR="00E80764" w:rsidRPr="00003AB5">
              <w:rPr>
                <w:rFonts w:asciiTheme="minorHAnsi" w:hAnsiTheme="minorHAnsi"/>
                <w:color w:val="000000" w:themeColor="text1"/>
              </w:rPr>
              <w:t xml:space="preserve">. </w:t>
            </w:r>
          </w:p>
          <w:p w14:paraId="12A5B698" w14:textId="77777777" w:rsidR="00395900" w:rsidRPr="00003AB5" w:rsidRDefault="00395900" w:rsidP="008C3CD2">
            <w:pPr>
              <w:pStyle w:val="BodyText2"/>
              <w:rPr>
                <w:rFonts w:asciiTheme="minorHAnsi" w:hAnsiTheme="minorHAnsi"/>
                <w:color w:val="000000" w:themeColor="text1"/>
              </w:rPr>
            </w:pPr>
          </w:p>
          <w:p w14:paraId="402B9EB8" w14:textId="77777777" w:rsidR="00395900" w:rsidRPr="00845340" w:rsidRDefault="00395900" w:rsidP="008C3CD2">
            <w:pPr>
              <w:pStyle w:val="BodyText2"/>
              <w:rPr>
                <w:rFonts w:asciiTheme="minorHAnsi" w:hAnsiTheme="minorHAnsi"/>
              </w:rPr>
            </w:pPr>
          </w:p>
        </w:tc>
      </w:tr>
    </w:tbl>
    <w:p w14:paraId="402B9EBA" w14:textId="77777777" w:rsidR="00D9192E" w:rsidRDefault="00D9192E">
      <w:r>
        <w:lastRenderedPageBreak/>
        <w:br w:type="page"/>
      </w:r>
    </w:p>
    <w:p w14:paraId="0B453F96" w14:textId="77777777" w:rsidR="00F6031A" w:rsidRDefault="00F6031A">
      <w:pPr>
        <w:pStyle w:val="BodyText2"/>
        <w:rPr>
          <w:rFonts w:ascii="Times New Roman" w:hAnsi="Times New Roman"/>
          <w:sz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90"/>
        <w:gridCol w:w="1440"/>
        <w:gridCol w:w="3960"/>
        <w:gridCol w:w="5490"/>
      </w:tblGrid>
      <w:tr w:rsidR="00F6031A" w:rsidRPr="00843006" w14:paraId="36A303F2" w14:textId="77777777" w:rsidTr="007E3C44">
        <w:tc>
          <w:tcPr>
            <w:tcW w:w="14040" w:type="dxa"/>
            <w:gridSpan w:val="5"/>
          </w:tcPr>
          <w:p w14:paraId="55BC5F5B" w14:textId="77777777" w:rsidR="00F6031A" w:rsidRPr="00843006" w:rsidRDefault="00F6031A" w:rsidP="007E3C44">
            <w:pPr>
              <w:pStyle w:val="BodyText2"/>
              <w:rPr>
                <w:rFonts w:asciiTheme="minorHAnsi" w:hAnsiTheme="minorHAnsi"/>
                <w:b/>
              </w:rPr>
            </w:pPr>
            <w:r w:rsidRPr="00843006">
              <w:rPr>
                <w:rFonts w:asciiTheme="minorHAnsi" w:hAnsiTheme="minorHAnsi"/>
                <w:b/>
              </w:rPr>
              <w:t>Current country program</w:t>
            </w:r>
            <w:r>
              <w:rPr>
                <w:rFonts w:asciiTheme="minorHAnsi" w:hAnsiTheme="minorHAnsi"/>
                <w:b/>
              </w:rPr>
              <w:t>me</w:t>
            </w:r>
            <w:r w:rsidRPr="00843006">
              <w:rPr>
                <w:rFonts w:asciiTheme="minorHAnsi" w:hAnsiTheme="minorHAnsi"/>
                <w:b/>
              </w:rPr>
              <w:t xml:space="preserve"> period:</w:t>
            </w:r>
          </w:p>
        </w:tc>
      </w:tr>
      <w:tr w:rsidR="00F6031A" w:rsidRPr="005F6261" w14:paraId="4015E1E2" w14:textId="77777777" w:rsidTr="007E3C44">
        <w:tc>
          <w:tcPr>
            <w:tcW w:w="3150" w:type="dxa"/>
            <w:gridSpan w:val="2"/>
          </w:tcPr>
          <w:p w14:paraId="26DB253F" w14:textId="77777777" w:rsidR="00F6031A" w:rsidRPr="00DC7354" w:rsidRDefault="00F6031A" w:rsidP="007E3C44">
            <w:pPr>
              <w:pStyle w:val="BodyText2"/>
              <w:rPr>
                <w:rFonts w:asciiTheme="minorHAnsi" w:hAnsiTheme="minorHAnsi"/>
                <w:b/>
                <w:sz w:val="24"/>
              </w:rPr>
            </w:pPr>
            <w:r w:rsidRPr="00DC7354">
              <w:rPr>
                <w:rFonts w:asciiTheme="minorHAnsi" w:hAnsiTheme="minorHAnsi"/>
                <w:b/>
                <w:sz w:val="24"/>
              </w:rPr>
              <w:t>Outcome</w:t>
            </w:r>
            <w:r>
              <w:rPr>
                <w:rFonts w:asciiTheme="minorHAnsi" w:hAnsiTheme="minorHAnsi"/>
                <w:b/>
                <w:sz w:val="24"/>
              </w:rPr>
              <w:t>s</w:t>
            </w:r>
          </w:p>
        </w:tc>
        <w:tc>
          <w:tcPr>
            <w:tcW w:w="1440" w:type="dxa"/>
            <w:shd w:val="clear" w:color="auto" w:fill="auto"/>
          </w:tcPr>
          <w:p w14:paraId="40309C8E" w14:textId="77777777" w:rsidR="00F6031A" w:rsidRPr="005F6261" w:rsidRDefault="00F6031A" w:rsidP="007E3C44">
            <w:pPr>
              <w:pStyle w:val="BodyText2"/>
              <w:rPr>
                <w:rFonts w:asciiTheme="minorHAnsi" w:hAnsiTheme="minorHAnsi"/>
                <w:b/>
                <w:sz w:val="22"/>
              </w:rPr>
            </w:pPr>
            <w:r w:rsidRPr="005F6261">
              <w:rPr>
                <w:rFonts w:asciiTheme="minorHAnsi" w:hAnsiTheme="minorHAnsi"/>
                <w:b/>
                <w:sz w:val="22"/>
              </w:rPr>
              <w:t>Total Expenditure</w:t>
            </w:r>
          </w:p>
        </w:tc>
        <w:tc>
          <w:tcPr>
            <w:tcW w:w="3960" w:type="dxa"/>
            <w:tcBorders>
              <w:left w:val="single" w:sz="4" w:space="0" w:color="auto"/>
            </w:tcBorders>
          </w:tcPr>
          <w:p w14:paraId="23F2D60B" w14:textId="77777777" w:rsidR="00F6031A" w:rsidRPr="005F6261" w:rsidRDefault="00F6031A" w:rsidP="007E3C44">
            <w:pPr>
              <w:pStyle w:val="BodyText2"/>
              <w:rPr>
                <w:rFonts w:asciiTheme="minorHAnsi" w:hAnsiTheme="minorHAnsi"/>
                <w:b/>
                <w:sz w:val="22"/>
              </w:rPr>
            </w:pPr>
            <w:r w:rsidRPr="005F6261">
              <w:rPr>
                <w:rFonts w:asciiTheme="minorHAnsi" w:hAnsiTheme="minorHAnsi"/>
                <w:b/>
                <w:sz w:val="22"/>
              </w:rPr>
              <w:t>Key Indicators of outcome (1-4 per outcome)</w:t>
            </w:r>
          </w:p>
        </w:tc>
        <w:tc>
          <w:tcPr>
            <w:tcW w:w="5490" w:type="dxa"/>
          </w:tcPr>
          <w:p w14:paraId="360A3166" w14:textId="77777777" w:rsidR="00F6031A" w:rsidRPr="005F6261" w:rsidRDefault="00F6031A" w:rsidP="007E3C44">
            <w:pPr>
              <w:pStyle w:val="BodyText2"/>
              <w:rPr>
                <w:rFonts w:asciiTheme="minorHAnsi" w:hAnsiTheme="minorHAnsi"/>
                <w:b/>
                <w:sz w:val="22"/>
              </w:rPr>
            </w:pPr>
            <w:r w:rsidRPr="005F6261">
              <w:rPr>
                <w:rFonts w:asciiTheme="minorHAnsi" w:hAnsiTheme="minorHAnsi"/>
                <w:b/>
                <w:sz w:val="22"/>
              </w:rPr>
              <w:t>Progress made against key indicators</w:t>
            </w:r>
          </w:p>
        </w:tc>
      </w:tr>
      <w:tr w:rsidR="00F6031A" w:rsidRPr="00920DBC" w14:paraId="054FF277" w14:textId="77777777" w:rsidTr="007E3C44">
        <w:tc>
          <w:tcPr>
            <w:tcW w:w="3150" w:type="dxa"/>
            <w:gridSpan w:val="2"/>
            <w:tcBorders>
              <w:bottom w:val="single" w:sz="4" w:space="0" w:color="auto"/>
            </w:tcBorders>
            <w:shd w:val="clear" w:color="auto" w:fill="95B3D7" w:themeFill="accent1" w:themeFillTint="99"/>
          </w:tcPr>
          <w:p w14:paraId="22876E0D" w14:textId="71206FB8" w:rsidR="00F6031A" w:rsidRPr="000823AC" w:rsidRDefault="00523025" w:rsidP="007E3C44">
            <w:pPr>
              <w:pStyle w:val="BodyText2"/>
              <w:rPr>
                <w:rFonts w:asciiTheme="minorHAnsi" w:hAnsiTheme="minorHAnsi"/>
                <w:b/>
              </w:rPr>
            </w:pPr>
            <w:r>
              <w:rPr>
                <w:rFonts w:asciiTheme="minorHAnsi" w:hAnsiTheme="minorHAnsi"/>
                <w:b/>
              </w:rPr>
              <w:t>3</w:t>
            </w:r>
            <w:r w:rsidR="00F6031A" w:rsidRPr="000823AC">
              <w:rPr>
                <w:rFonts w:asciiTheme="minorHAnsi" w:hAnsiTheme="minorHAnsi"/>
                <w:b/>
              </w:rPr>
              <w:t xml:space="preserve">. </w:t>
            </w:r>
            <w:r w:rsidRPr="00523025">
              <w:rPr>
                <w:rFonts w:asciiTheme="minorHAnsi" w:hAnsiTheme="minorHAnsi"/>
                <w:b/>
              </w:rPr>
              <w:t>Increased availability of institutional products and services for the conservation and sustainable and equitable use of natural resources.</w:t>
            </w:r>
          </w:p>
        </w:tc>
        <w:tc>
          <w:tcPr>
            <w:tcW w:w="1440" w:type="dxa"/>
            <w:tcBorders>
              <w:bottom w:val="single" w:sz="4" w:space="0" w:color="auto"/>
            </w:tcBorders>
            <w:shd w:val="clear" w:color="auto" w:fill="auto"/>
          </w:tcPr>
          <w:p w14:paraId="40959F1F" w14:textId="11F3639A" w:rsidR="00F6031A" w:rsidRPr="00DC7354" w:rsidRDefault="00CD1BAC" w:rsidP="00A24136">
            <w:pPr>
              <w:pStyle w:val="BodyText2"/>
              <w:rPr>
                <w:rFonts w:asciiTheme="minorHAnsi" w:hAnsiTheme="minorHAnsi"/>
              </w:rPr>
            </w:pPr>
            <w:r>
              <w:rPr>
                <w:rFonts w:asciiTheme="minorHAnsi" w:hAnsiTheme="minorHAnsi"/>
              </w:rPr>
              <w:t>$16,</w:t>
            </w:r>
            <w:r w:rsidR="00A24136">
              <w:rPr>
                <w:rFonts w:asciiTheme="minorHAnsi" w:hAnsiTheme="minorHAnsi"/>
              </w:rPr>
              <w:t>918,713</w:t>
            </w:r>
          </w:p>
        </w:tc>
        <w:tc>
          <w:tcPr>
            <w:tcW w:w="3960" w:type="dxa"/>
            <w:tcBorders>
              <w:left w:val="single" w:sz="4" w:space="0" w:color="auto"/>
              <w:bottom w:val="single" w:sz="4" w:space="0" w:color="auto"/>
            </w:tcBorders>
          </w:tcPr>
          <w:p w14:paraId="5564F9A7" w14:textId="4465C88D" w:rsidR="00F6031A" w:rsidRPr="00014083" w:rsidRDefault="00BF0525" w:rsidP="00014083">
            <w:pPr>
              <w:pStyle w:val="BodyText2"/>
              <w:rPr>
                <w:rFonts w:asciiTheme="minorHAnsi" w:hAnsiTheme="minorHAnsi"/>
              </w:rPr>
            </w:pPr>
            <w:r w:rsidRPr="00014083">
              <w:rPr>
                <w:rFonts w:asciiTheme="minorHAnsi" w:hAnsiTheme="minorHAnsi"/>
              </w:rPr>
              <w:t>No. of such products and services available</w:t>
            </w:r>
          </w:p>
          <w:p w14:paraId="27BF51AA" w14:textId="77777777" w:rsidR="00014083" w:rsidRPr="00920DBC" w:rsidRDefault="00014083" w:rsidP="00014083">
            <w:pPr>
              <w:pStyle w:val="BodyText2"/>
              <w:ind w:left="360"/>
              <w:rPr>
                <w:rFonts w:asciiTheme="minorHAnsi" w:hAnsiTheme="minorHAnsi"/>
                <w:i/>
              </w:rPr>
            </w:pPr>
          </w:p>
          <w:p w14:paraId="1DCA5882" w14:textId="4C995A09" w:rsidR="00F6031A" w:rsidRPr="00920DBC" w:rsidRDefault="00BF0525" w:rsidP="00BF0525">
            <w:pPr>
              <w:pStyle w:val="BodyText2"/>
              <w:ind w:left="360"/>
              <w:rPr>
                <w:rFonts w:asciiTheme="minorHAnsi" w:hAnsiTheme="minorHAnsi"/>
                <w:i/>
              </w:rPr>
            </w:pPr>
            <w:r>
              <w:rPr>
                <w:rFonts w:asciiTheme="minorHAnsi" w:hAnsiTheme="minorHAnsi"/>
                <w:i/>
              </w:rPr>
              <w:t xml:space="preserve">(BASELINE 2010: Limited at all levels, TARGET 2015: </w:t>
            </w:r>
            <w:r w:rsidRPr="00BF0525">
              <w:rPr>
                <w:rFonts w:asciiTheme="minorHAnsi" w:hAnsiTheme="minorHAnsi"/>
                <w:i/>
              </w:rPr>
              <w:t>Significant increase in such products and services</w:t>
            </w:r>
            <w:r>
              <w:rPr>
                <w:rFonts w:asciiTheme="minorHAnsi" w:hAnsiTheme="minorHAnsi"/>
                <w:i/>
              </w:rPr>
              <w:t>)</w:t>
            </w:r>
          </w:p>
        </w:tc>
        <w:tc>
          <w:tcPr>
            <w:tcW w:w="5490" w:type="dxa"/>
            <w:tcBorders>
              <w:bottom w:val="single" w:sz="4" w:space="0" w:color="auto"/>
            </w:tcBorders>
            <w:shd w:val="clear" w:color="auto" w:fill="auto"/>
          </w:tcPr>
          <w:p w14:paraId="6691AC9C" w14:textId="5E7537BC" w:rsidR="003B1077" w:rsidRPr="00AA2AA4" w:rsidRDefault="00A86229" w:rsidP="003B1077">
            <w:pPr>
              <w:pStyle w:val="BodyText2"/>
              <w:rPr>
                <w:rFonts w:asciiTheme="minorHAnsi" w:hAnsiTheme="minorHAnsi"/>
                <w:b/>
                <w:color w:val="000000" w:themeColor="text1"/>
              </w:rPr>
            </w:pPr>
            <w:r w:rsidRPr="00AA2AA4">
              <w:rPr>
                <w:rFonts w:asciiTheme="minorHAnsi" w:hAnsiTheme="minorHAnsi"/>
                <w:b/>
                <w:color w:val="000000" w:themeColor="text1"/>
              </w:rPr>
              <w:t>Annual progress</w:t>
            </w:r>
            <w:r w:rsidR="00376F80" w:rsidRPr="00AA2AA4">
              <w:rPr>
                <w:rFonts w:asciiTheme="minorHAnsi" w:hAnsiTheme="minorHAnsi"/>
                <w:b/>
                <w:color w:val="000000" w:themeColor="text1"/>
              </w:rPr>
              <w:t xml:space="preserve"> reported</w:t>
            </w:r>
            <w:r w:rsidR="00BC2B6B">
              <w:rPr>
                <w:rFonts w:asciiTheme="minorHAnsi" w:hAnsiTheme="minorHAnsi"/>
                <w:b/>
                <w:color w:val="000000" w:themeColor="text1"/>
              </w:rPr>
              <w:t xml:space="preserve"> as per ROAR reports</w:t>
            </w:r>
            <w:r w:rsidRPr="00AA2AA4">
              <w:rPr>
                <w:rFonts w:asciiTheme="minorHAnsi" w:hAnsiTheme="minorHAnsi"/>
                <w:b/>
                <w:color w:val="000000" w:themeColor="text1"/>
              </w:rPr>
              <w:t>:</w:t>
            </w:r>
          </w:p>
          <w:p w14:paraId="3618FB72" w14:textId="6DB182DD" w:rsidR="00062CC9" w:rsidRPr="00AA2AA4" w:rsidRDefault="00062CC9" w:rsidP="00F66AAC">
            <w:pPr>
              <w:pStyle w:val="BodyText2"/>
              <w:rPr>
                <w:rFonts w:asciiTheme="minorHAnsi" w:hAnsiTheme="minorHAnsi"/>
                <w:i/>
                <w:color w:val="000000" w:themeColor="text1"/>
              </w:rPr>
            </w:pPr>
            <w:r w:rsidRPr="00AA2AA4">
              <w:rPr>
                <w:rFonts w:asciiTheme="minorHAnsi" w:hAnsiTheme="minorHAnsi"/>
                <w:i/>
                <w:color w:val="000000" w:themeColor="text1"/>
              </w:rPr>
              <w:t>2010:</w:t>
            </w:r>
            <w:r w:rsidR="00C81D02" w:rsidRPr="00AA2AA4">
              <w:rPr>
                <w:rFonts w:asciiTheme="minorHAnsi" w:hAnsiTheme="minorHAnsi"/>
                <w:i/>
                <w:color w:val="000000" w:themeColor="text1"/>
              </w:rPr>
              <w:t xml:space="preserve"> 0</w:t>
            </w:r>
          </w:p>
          <w:p w14:paraId="237560B7" w14:textId="39051D39" w:rsidR="006B722B" w:rsidRPr="00AA2AA4" w:rsidRDefault="006B722B" w:rsidP="00F66AAC">
            <w:pPr>
              <w:pStyle w:val="BodyText2"/>
              <w:rPr>
                <w:rFonts w:asciiTheme="minorHAnsi" w:hAnsiTheme="minorHAnsi"/>
                <w:i/>
                <w:color w:val="000000" w:themeColor="text1"/>
              </w:rPr>
            </w:pPr>
            <w:r w:rsidRPr="00AA2AA4">
              <w:rPr>
                <w:rFonts w:asciiTheme="minorHAnsi" w:hAnsiTheme="minorHAnsi"/>
                <w:i/>
                <w:color w:val="000000" w:themeColor="text1"/>
              </w:rPr>
              <w:t xml:space="preserve">2011: </w:t>
            </w:r>
            <w:r w:rsidR="00062CC9" w:rsidRPr="00AA2AA4">
              <w:rPr>
                <w:rFonts w:asciiTheme="minorHAnsi" w:hAnsiTheme="minorHAnsi"/>
                <w:i/>
                <w:color w:val="000000" w:themeColor="text1"/>
              </w:rPr>
              <w:t>Adoption of</w:t>
            </w:r>
            <w:r w:rsidR="00C81D02" w:rsidRPr="00AA2AA4">
              <w:rPr>
                <w:rFonts w:asciiTheme="minorHAnsi" w:hAnsiTheme="minorHAnsi"/>
                <w:i/>
                <w:color w:val="000000" w:themeColor="text1"/>
              </w:rPr>
              <w:t xml:space="preserve"> 9 core building codes and standards</w:t>
            </w:r>
            <w:r w:rsidRPr="00AA2AA4">
              <w:rPr>
                <w:rFonts w:asciiTheme="minorHAnsi" w:hAnsiTheme="minorHAnsi"/>
                <w:i/>
                <w:color w:val="000000" w:themeColor="text1"/>
              </w:rPr>
              <w:t>, establishment of the 1st Biosphere Reserve in Uzbekistan (Lower-Amu</w:t>
            </w:r>
            <w:r w:rsidR="004B0816" w:rsidRPr="00AA2AA4">
              <w:rPr>
                <w:rFonts w:asciiTheme="minorHAnsi" w:hAnsiTheme="minorHAnsi"/>
                <w:i/>
                <w:color w:val="000000" w:themeColor="text1"/>
              </w:rPr>
              <w:t xml:space="preserve"> D</w:t>
            </w:r>
            <w:r w:rsidRPr="00AA2AA4">
              <w:rPr>
                <w:rFonts w:asciiTheme="minorHAnsi" w:hAnsiTheme="minorHAnsi"/>
                <w:i/>
                <w:color w:val="000000" w:themeColor="text1"/>
              </w:rPr>
              <w:t xml:space="preserve">arya). </w:t>
            </w:r>
          </w:p>
          <w:p w14:paraId="690C0CD7" w14:textId="3B890072" w:rsidR="006B722B" w:rsidRPr="00AA2AA4" w:rsidRDefault="00362770" w:rsidP="00F66AAC">
            <w:pPr>
              <w:pStyle w:val="BodyText2"/>
              <w:rPr>
                <w:rFonts w:asciiTheme="minorHAnsi" w:hAnsiTheme="minorHAnsi"/>
                <w:i/>
                <w:color w:val="000000" w:themeColor="text1"/>
              </w:rPr>
            </w:pPr>
            <w:r w:rsidRPr="00AA2AA4">
              <w:rPr>
                <w:rFonts w:asciiTheme="minorHAnsi" w:hAnsiTheme="minorHAnsi"/>
                <w:i/>
                <w:color w:val="000000" w:themeColor="text1"/>
              </w:rPr>
              <w:t>2012: 7</w:t>
            </w:r>
          </w:p>
          <w:p w14:paraId="49EC5760" w14:textId="54A541EA" w:rsidR="00F30B8E" w:rsidRPr="00AA2AA4" w:rsidRDefault="0083582F" w:rsidP="00F66AAC">
            <w:pPr>
              <w:pStyle w:val="BodyText2"/>
              <w:rPr>
                <w:rFonts w:asciiTheme="minorHAnsi" w:hAnsiTheme="minorHAnsi"/>
                <w:i/>
                <w:color w:val="000000" w:themeColor="text1"/>
              </w:rPr>
            </w:pPr>
            <w:r w:rsidRPr="00AA2AA4">
              <w:rPr>
                <w:rFonts w:asciiTheme="minorHAnsi" w:hAnsiTheme="minorHAnsi"/>
                <w:i/>
                <w:color w:val="000000" w:themeColor="text1"/>
              </w:rPr>
              <w:t xml:space="preserve">2013: </w:t>
            </w:r>
            <w:r w:rsidR="00F30B8E" w:rsidRPr="00AA2AA4">
              <w:rPr>
                <w:rFonts w:asciiTheme="minorHAnsi" w:hAnsiTheme="minorHAnsi"/>
                <w:i/>
                <w:color w:val="000000" w:themeColor="text1"/>
              </w:rPr>
              <w:t xml:space="preserve">19 </w:t>
            </w:r>
          </w:p>
          <w:p w14:paraId="1400FF54" w14:textId="466A439C" w:rsidR="00F6031A" w:rsidRPr="00920DBC" w:rsidRDefault="00376F80" w:rsidP="00F66AAC">
            <w:pPr>
              <w:pStyle w:val="BodyText2"/>
              <w:rPr>
                <w:rFonts w:asciiTheme="minorHAnsi" w:hAnsiTheme="minorHAnsi"/>
                <w:i/>
              </w:rPr>
            </w:pPr>
            <w:r w:rsidRPr="00AA2AA4">
              <w:rPr>
                <w:rFonts w:asciiTheme="minorHAnsi" w:hAnsiTheme="minorHAnsi"/>
                <w:i/>
                <w:color w:val="000000" w:themeColor="text1"/>
              </w:rPr>
              <w:t xml:space="preserve">2014: 7 </w:t>
            </w:r>
          </w:p>
        </w:tc>
      </w:tr>
      <w:tr w:rsidR="00F6031A" w:rsidRPr="00DC7354" w14:paraId="6575D1D5" w14:textId="77777777" w:rsidTr="007E3C44">
        <w:tc>
          <w:tcPr>
            <w:tcW w:w="14040" w:type="dxa"/>
            <w:gridSpan w:val="5"/>
          </w:tcPr>
          <w:p w14:paraId="718C6600" w14:textId="77777777" w:rsidR="00F6031A" w:rsidRPr="00BF1230" w:rsidRDefault="00F6031A" w:rsidP="007E3C44">
            <w:pPr>
              <w:pStyle w:val="BodyText2"/>
              <w:rPr>
                <w:rFonts w:asciiTheme="minorHAnsi" w:hAnsiTheme="minorHAnsi"/>
                <w:color w:val="000000" w:themeColor="text1"/>
              </w:rPr>
            </w:pPr>
            <w:r w:rsidRPr="00BF1230">
              <w:rPr>
                <w:rFonts w:asciiTheme="minorHAnsi" w:hAnsiTheme="minorHAnsi"/>
                <w:color w:val="000000" w:themeColor="text1"/>
                <w:u w:val="single"/>
              </w:rPr>
              <w:t>CP Outputs</w:t>
            </w:r>
            <w:r w:rsidRPr="00BF1230">
              <w:rPr>
                <w:rFonts w:asciiTheme="minorHAnsi" w:hAnsiTheme="minorHAnsi"/>
                <w:color w:val="000000" w:themeColor="text1"/>
              </w:rPr>
              <w:t>:</w:t>
            </w:r>
          </w:p>
          <w:p w14:paraId="5A87AA36" w14:textId="09D977A9" w:rsidR="005F33DD" w:rsidRDefault="00D60A11" w:rsidP="00057685">
            <w:pPr>
              <w:pStyle w:val="BodyText2"/>
              <w:numPr>
                <w:ilvl w:val="0"/>
                <w:numId w:val="21"/>
              </w:numPr>
              <w:rPr>
                <w:rFonts w:asciiTheme="minorHAnsi" w:hAnsiTheme="minorHAnsi"/>
                <w:i/>
                <w:color w:val="000000" w:themeColor="text1"/>
              </w:rPr>
            </w:pPr>
            <w:r w:rsidRPr="00D60A11">
              <w:rPr>
                <w:rFonts w:asciiTheme="minorHAnsi" w:hAnsiTheme="minorHAnsi"/>
                <w:i/>
                <w:color w:val="000000" w:themeColor="text1"/>
              </w:rPr>
              <w:t>Concrete interventions on sustainable natural resources use, including water, land, biodiversity resources, and on climate change (mitigation, adaptation and carbon financing) complemented with environmen</w:t>
            </w:r>
            <w:r w:rsidR="005F33DD">
              <w:rPr>
                <w:rFonts w:asciiTheme="minorHAnsi" w:hAnsiTheme="minorHAnsi"/>
                <w:i/>
                <w:color w:val="000000" w:themeColor="text1"/>
              </w:rPr>
              <w:t>t education/ training component</w:t>
            </w:r>
            <w:r w:rsidRPr="00D60A11">
              <w:rPr>
                <w:rFonts w:asciiTheme="minorHAnsi" w:hAnsiTheme="minorHAnsi"/>
                <w:i/>
                <w:color w:val="000000" w:themeColor="text1"/>
              </w:rPr>
              <w:t>.</w:t>
            </w:r>
          </w:p>
          <w:p w14:paraId="5F5D3E50" w14:textId="2D1F60BD" w:rsidR="00C97885" w:rsidRDefault="00DE46CD" w:rsidP="00057685">
            <w:pPr>
              <w:pStyle w:val="BodyText2"/>
              <w:numPr>
                <w:ilvl w:val="0"/>
                <w:numId w:val="21"/>
              </w:numPr>
              <w:rPr>
                <w:rFonts w:asciiTheme="minorHAnsi" w:hAnsiTheme="minorHAnsi"/>
                <w:i/>
                <w:color w:val="000000" w:themeColor="text1"/>
              </w:rPr>
            </w:pPr>
            <w:r w:rsidRPr="00DE46CD">
              <w:rPr>
                <w:rFonts w:asciiTheme="minorHAnsi" w:hAnsiTheme="minorHAnsi"/>
                <w:i/>
                <w:color w:val="000000" w:themeColor="text1"/>
              </w:rPr>
              <w:t>Strengthened legal and institutional frameworks and enhanced government capacities to meet internation</w:t>
            </w:r>
            <w:r w:rsidR="00C97885">
              <w:rPr>
                <w:rFonts w:asciiTheme="minorHAnsi" w:hAnsiTheme="minorHAnsi"/>
                <w:i/>
                <w:color w:val="000000" w:themeColor="text1"/>
              </w:rPr>
              <w:t>al commitments and obligations</w:t>
            </w:r>
          </w:p>
          <w:p w14:paraId="6AECD250" w14:textId="4E278167" w:rsidR="00DE46CD" w:rsidRPr="00D60A11" w:rsidRDefault="00DE46CD" w:rsidP="00057685">
            <w:pPr>
              <w:pStyle w:val="BodyText2"/>
              <w:numPr>
                <w:ilvl w:val="0"/>
                <w:numId w:val="21"/>
              </w:numPr>
              <w:rPr>
                <w:rFonts w:asciiTheme="minorHAnsi" w:hAnsiTheme="minorHAnsi"/>
                <w:i/>
                <w:color w:val="000000" w:themeColor="text1"/>
              </w:rPr>
            </w:pPr>
            <w:r w:rsidRPr="00DE46CD">
              <w:rPr>
                <w:rFonts w:asciiTheme="minorHAnsi" w:hAnsiTheme="minorHAnsi"/>
                <w:i/>
                <w:color w:val="000000" w:themeColor="text1"/>
              </w:rPr>
              <w:t xml:space="preserve">Community based approaches to addressing environment security and socio economic development of vulnerable groups.    </w:t>
            </w:r>
          </w:p>
          <w:p w14:paraId="42105867" w14:textId="77777777" w:rsidR="00F6031A" w:rsidRPr="00C8542B" w:rsidRDefault="00F6031A" w:rsidP="007E3C44">
            <w:pPr>
              <w:pStyle w:val="BodyText2"/>
              <w:rPr>
                <w:rFonts w:asciiTheme="minorHAnsi" w:hAnsiTheme="minorHAnsi"/>
                <w:color w:val="000000" w:themeColor="text1"/>
              </w:rPr>
            </w:pPr>
          </w:p>
          <w:p w14:paraId="081C2F81" w14:textId="77777777" w:rsidR="00F6031A" w:rsidRPr="00C8542B" w:rsidRDefault="00F6031A" w:rsidP="007E3C44">
            <w:pPr>
              <w:pStyle w:val="BodyText2"/>
              <w:rPr>
                <w:rFonts w:asciiTheme="minorHAnsi" w:hAnsiTheme="minorHAnsi"/>
                <w:color w:val="000000" w:themeColor="text1"/>
              </w:rPr>
            </w:pPr>
            <w:r w:rsidRPr="00C8542B">
              <w:rPr>
                <w:rFonts w:asciiTheme="minorHAnsi" w:hAnsiTheme="minorHAnsi"/>
                <w:color w:val="000000" w:themeColor="text1"/>
                <w:u w:val="single"/>
              </w:rPr>
              <w:t>Progress and Achievements</w:t>
            </w:r>
            <w:r w:rsidRPr="00C8542B">
              <w:rPr>
                <w:rFonts w:asciiTheme="minorHAnsi" w:hAnsiTheme="minorHAnsi"/>
                <w:color w:val="000000" w:themeColor="text1"/>
              </w:rPr>
              <w:t>:</w:t>
            </w:r>
          </w:p>
          <w:p w14:paraId="61F438BF" w14:textId="1E74B925" w:rsidR="00212FB6" w:rsidRPr="009A4095" w:rsidRDefault="00212FB6" w:rsidP="00212FB6">
            <w:pPr>
              <w:pStyle w:val="BodyText2"/>
              <w:rPr>
                <w:rFonts w:asciiTheme="minorHAnsi" w:hAnsiTheme="minorHAnsi"/>
                <w:color w:val="000000" w:themeColor="text1"/>
              </w:rPr>
            </w:pPr>
            <w:r w:rsidRPr="009A4095">
              <w:rPr>
                <w:rFonts w:asciiTheme="minorHAnsi" w:hAnsiTheme="minorHAnsi"/>
                <w:color w:val="000000" w:themeColor="text1"/>
              </w:rPr>
              <w:t>Throughout the programme cycle UNDP has played a key role in ensuring the country’s compliance with its obligations regarding international conventions. For instance, under the UN Convention on Biological Diversity (CBD), with UNDP</w:t>
            </w:r>
            <w:r w:rsidR="0040642F">
              <w:rPr>
                <w:rFonts w:asciiTheme="minorHAnsi" w:hAnsiTheme="minorHAnsi"/>
                <w:color w:val="000000" w:themeColor="text1"/>
              </w:rPr>
              <w:t>’s</w:t>
            </w:r>
            <w:r w:rsidRPr="009A4095">
              <w:rPr>
                <w:rFonts w:asciiTheme="minorHAnsi" w:hAnsiTheme="minorHAnsi"/>
                <w:color w:val="000000" w:themeColor="text1"/>
              </w:rPr>
              <w:t xml:space="preserve"> </w:t>
            </w:r>
            <w:r w:rsidR="00E21260" w:rsidRPr="009A4095">
              <w:rPr>
                <w:rFonts w:asciiTheme="minorHAnsi" w:hAnsiTheme="minorHAnsi"/>
                <w:color w:val="000000" w:themeColor="text1"/>
              </w:rPr>
              <w:t>assistance the Government has</w:t>
            </w:r>
            <w:r w:rsidRPr="009A4095">
              <w:rPr>
                <w:rFonts w:asciiTheme="minorHAnsi" w:hAnsiTheme="minorHAnsi"/>
                <w:color w:val="000000" w:themeColor="text1"/>
              </w:rPr>
              <w:t xml:space="preserve"> developed nationalized Aichi Targets and progress-monitoring indicators within </w:t>
            </w:r>
            <w:r w:rsidR="00BA734D" w:rsidRPr="009A4095">
              <w:rPr>
                <w:rFonts w:asciiTheme="minorHAnsi" w:hAnsiTheme="minorHAnsi"/>
                <w:color w:val="000000" w:themeColor="text1"/>
              </w:rPr>
              <w:t xml:space="preserve">the </w:t>
            </w:r>
            <w:r w:rsidR="00E07FEC" w:rsidRPr="009A4095">
              <w:rPr>
                <w:rFonts w:asciiTheme="minorHAnsi" w:hAnsiTheme="minorHAnsi"/>
                <w:color w:val="000000" w:themeColor="text1"/>
              </w:rPr>
              <w:t>framework of the G</w:t>
            </w:r>
            <w:r w:rsidRPr="009A4095">
              <w:rPr>
                <w:rFonts w:asciiTheme="minorHAnsi" w:hAnsiTheme="minorHAnsi"/>
                <w:color w:val="000000" w:themeColor="text1"/>
              </w:rPr>
              <w:t xml:space="preserve">lobal Strategic Plan for Biodiversity. </w:t>
            </w:r>
            <w:r w:rsidR="002E1D0D" w:rsidRPr="009A4095">
              <w:rPr>
                <w:rFonts w:asciiTheme="minorHAnsi" w:hAnsiTheme="minorHAnsi"/>
                <w:color w:val="000000" w:themeColor="text1"/>
              </w:rPr>
              <w:t>In addition UNDP supported</w:t>
            </w:r>
            <w:r w:rsidR="00E315EB" w:rsidRPr="009A4095">
              <w:rPr>
                <w:rFonts w:asciiTheme="minorHAnsi" w:hAnsiTheme="minorHAnsi"/>
                <w:color w:val="000000" w:themeColor="text1"/>
              </w:rPr>
              <w:t xml:space="preserve"> the Government in developing</w:t>
            </w:r>
            <w:r w:rsidR="00305872" w:rsidRPr="009A4095">
              <w:rPr>
                <w:rFonts w:asciiTheme="minorHAnsi" w:hAnsiTheme="minorHAnsi"/>
                <w:color w:val="000000" w:themeColor="text1"/>
              </w:rPr>
              <w:t xml:space="preserve"> </w:t>
            </w:r>
            <w:r w:rsidR="002E1D0D" w:rsidRPr="009A4095">
              <w:rPr>
                <w:rFonts w:asciiTheme="minorHAnsi" w:hAnsiTheme="minorHAnsi"/>
                <w:color w:val="000000" w:themeColor="text1"/>
              </w:rPr>
              <w:t>the</w:t>
            </w:r>
            <w:r w:rsidRPr="009A4095">
              <w:rPr>
                <w:rFonts w:asciiTheme="minorHAnsi" w:hAnsiTheme="minorHAnsi"/>
                <w:color w:val="000000" w:themeColor="text1"/>
              </w:rPr>
              <w:t xml:space="preserve"> 5th national report on biodiversity</w:t>
            </w:r>
            <w:r w:rsidR="002E1D0D" w:rsidRPr="009A4095">
              <w:rPr>
                <w:rFonts w:asciiTheme="minorHAnsi" w:hAnsiTheme="minorHAnsi"/>
                <w:color w:val="000000" w:themeColor="text1"/>
              </w:rPr>
              <w:t xml:space="preserve"> which will be</w:t>
            </w:r>
            <w:r w:rsidRPr="009A4095">
              <w:rPr>
                <w:rFonts w:asciiTheme="minorHAnsi" w:hAnsiTheme="minorHAnsi"/>
                <w:color w:val="000000" w:themeColor="text1"/>
              </w:rPr>
              <w:t xml:space="preserve"> submitted to UNCBD</w:t>
            </w:r>
            <w:r w:rsidRPr="009A4095">
              <w:rPr>
                <w:rStyle w:val="FootnoteReference"/>
                <w:rFonts w:asciiTheme="minorHAnsi" w:hAnsiTheme="minorHAnsi"/>
                <w:color w:val="000000" w:themeColor="text1"/>
              </w:rPr>
              <w:footnoteReference w:id="12"/>
            </w:r>
            <w:r w:rsidRPr="009A4095">
              <w:rPr>
                <w:rFonts w:asciiTheme="minorHAnsi" w:hAnsiTheme="minorHAnsi"/>
                <w:color w:val="000000" w:themeColor="text1"/>
              </w:rPr>
              <w:t xml:space="preserve">. Moreover, as a result of UNDP’s long-term support and awareness raising efforts, Uzbekistan established the first biosphere reserve in the country in 2012, additional protected areas are to be created or expanded as per the Master Plan for Development of Protected Areas in Uzbekistan, drafted with UNDP support.  </w:t>
            </w:r>
          </w:p>
          <w:p w14:paraId="7131E501" w14:textId="77777777" w:rsidR="00212FB6" w:rsidRPr="009A4095" w:rsidRDefault="00212FB6" w:rsidP="00212FB6">
            <w:pPr>
              <w:pStyle w:val="BodyText2"/>
              <w:rPr>
                <w:color w:val="000000" w:themeColor="text1"/>
                <w:szCs w:val="24"/>
              </w:rPr>
            </w:pPr>
          </w:p>
          <w:p w14:paraId="222B4D9A" w14:textId="168E1294" w:rsidR="00212FB6" w:rsidRPr="009A4095" w:rsidRDefault="00212FB6" w:rsidP="00212FB6">
            <w:pPr>
              <w:pStyle w:val="BodyText2"/>
              <w:rPr>
                <w:rFonts w:asciiTheme="minorHAnsi" w:hAnsiTheme="minorHAnsi"/>
                <w:color w:val="000000" w:themeColor="text1"/>
              </w:rPr>
            </w:pPr>
            <w:r w:rsidRPr="009A4095">
              <w:rPr>
                <w:rFonts w:asciiTheme="minorHAnsi" w:hAnsiTheme="minorHAnsi"/>
                <w:color w:val="000000" w:themeColor="text1"/>
              </w:rPr>
              <w:t>UNDP supported Uzbekistan’s participation in the</w:t>
            </w:r>
            <w:r w:rsidR="00933519" w:rsidRPr="009A4095">
              <w:rPr>
                <w:rFonts w:asciiTheme="minorHAnsi" w:hAnsiTheme="minorHAnsi"/>
                <w:color w:val="000000" w:themeColor="text1"/>
              </w:rPr>
              <w:t xml:space="preserve"> Clean Development Mechanism defined by </w:t>
            </w:r>
            <w:r w:rsidRPr="009A4095">
              <w:rPr>
                <w:rFonts w:asciiTheme="minorHAnsi" w:hAnsiTheme="minorHAnsi"/>
                <w:color w:val="000000" w:themeColor="text1"/>
              </w:rPr>
              <w:t xml:space="preserve">the Kyoto Protocol under the UN Framework Convention on Climate Change. As a result, Uzbekistan is currently ranked 15th globally based on </w:t>
            </w:r>
            <w:r w:rsidR="00AE0BDB" w:rsidRPr="009A4095">
              <w:rPr>
                <w:rFonts w:asciiTheme="minorHAnsi" w:hAnsiTheme="minorHAnsi"/>
                <w:color w:val="000000" w:themeColor="text1"/>
              </w:rPr>
              <w:t xml:space="preserve">the </w:t>
            </w:r>
            <w:r w:rsidRPr="009A4095">
              <w:rPr>
                <w:rFonts w:asciiTheme="minorHAnsi" w:hAnsiTheme="minorHAnsi"/>
                <w:color w:val="000000" w:themeColor="text1"/>
              </w:rPr>
              <w:t xml:space="preserve">average annual reductions of CO2 emissions, and 29th globally in terms of </w:t>
            </w:r>
            <w:r w:rsidR="004D4584" w:rsidRPr="009A4095">
              <w:rPr>
                <w:rFonts w:asciiTheme="minorHAnsi" w:hAnsiTheme="minorHAnsi"/>
                <w:color w:val="000000" w:themeColor="text1"/>
              </w:rPr>
              <w:t xml:space="preserve">the </w:t>
            </w:r>
            <w:r w:rsidRPr="009A4095">
              <w:rPr>
                <w:rFonts w:asciiTheme="minorHAnsi" w:hAnsiTheme="minorHAnsi"/>
                <w:color w:val="000000" w:themeColor="text1"/>
              </w:rPr>
              <w:t xml:space="preserve">registered Clean Development Mechanism (CDM) projects (currently 14). Since its engagement in CDM (2007) Uzbekistan has attracted $24.4 million of foreign private investments. Total Certified Emission Reductions (CERs) issued during 2011-2013 amounted to 6,698,474 tons of CO2 equivalent, and carbon finance income is over 4 million Euro, with estimated natural gas savings of 199 </w:t>
            </w:r>
            <w:proofErr w:type="spellStart"/>
            <w:r w:rsidRPr="009A4095">
              <w:rPr>
                <w:rFonts w:asciiTheme="minorHAnsi" w:hAnsiTheme="minorHAnsi"/>
                <w:color w:val="000000" w:themeColor="text1"/>
              </w:rPr>
              <w:t>mln</w:t>
            </w:r>
            <w:proofErr w:type="spellEnd"/>
            <w:r w:rsidRPr="009A4095">
              <w:rPr>
                <w:rFonts w:asciiTheme="minorHAnsi" w:hAnsiTheme="minorHAnsi"/>
                <w:color w:val="000000" w:themeColor="text1"/>
              </w:rPr>
              <w:t xml:space="preserve"> m3 ($48 </w:t>
            </w:r>
            <w:proofErr w:type="spellStart"/>
            <w:r w:rsidRPr="009A4095">
              <w:rPr>
                <w:rFonts w:asciiTheme="minorHAnsi" w:hAnsiTheme="minorHAnsi"/>
                <w:color w:val="000000" w:themeColor="text1"/>
              </w:rPr>
              <w:t>mln</w:t>
            </w:r>
            <w:proofErr w:type="spellEnd"/>
            <w:r w:rsidRPr="009A4095">
              <w:rPr>
                <w:rFonts w:asciiTheme="minorHAnsi" w:hAnsiTheme="minorHAnsi"/>
                <w:color w:val="000000" w:themeColor="text1"/>
              </w:rPr>
              <w:t>). These positive changes are results of UNDP’s continuous support to the Government in developing and implementing CDM projects and an example of sustainability of UNDP interventions in this area, owing to the sufficient national capacities built.</w:t>
            </w:r>
            <w:r w:rsidRPr="009A4095">
              <w:rPr>
                <w:rStyle w:val="FootnoteReference"/>
                <w:rFonts w:asciiTheme="minorHAnsi" w:hAnsiTheme="minorHAnsi"/>
                <w:color w:val="000000" w:themeColor="text1"/>
              </w:rPr>
              <w:footnoteReference w:id="13"/>
            </w:r>
            <w:r w:rsidRPr="009A4095">
              <w:rPr>
                <w:rFonts w:asciiTheme="minorHAnsi" w:hAnsiTheme="minorHAnsi"/>
                <w:color w:val="000000" w:themeColor="text1"/>
              </w:rPr>
              <w:t xml:space="preserve"> </w:t>
            </w:r>
          </w:p>
          <w:p w14:paraId="724CD8B2" w14:textId="77777777" w:rsidR="00212FB6" w:rsidRPr="009A4095" w:rsidRDefault="00212FB6" w:rsidP="00212FB6">
            <w:pPr>
              <w:pStyle w:val="BodyText2"/>
              <w:rPr>
                <w:rFonts w:asciiTheme="minorHAnsi" w:hAnsiTheme="minorHAnsi"/>
                <w:color w:val="000000" w:themeColor="text1"/>
              </w:rPr>
            </w:pPr>
          </w:p>
          <w:p w14:paraId="09221702" w14:textId="77777777" w:rsidR="00212FB6" w:rsidRPr="009A4095" w:rsidRDefault="00212FB6" w:rsidP="00212FB6">
            <w:pPr>
              <w:pStyle w:val="BodyText2"/>
              <w:rPr>
                <w:rFonts w:asciiTheme="minorHAnsi" w:hAnsiTheme="minorHAnsi"/>
                <w:color w:val="000000" w:themeColor="text1"/>
              </w:rPr>
            </w:pPr>
            <w:r w:rsidRPr="009A4095">
              <w:rPr>
                <w:rFonts w:asciiTheme="minorHAnsi" w:hAnsiTheme="minorHAnsi"/>
                <w:color w:val="000000" w:themeColor="text1"/>
              </w:rPr>
              <w:lastRenderedPageBreak/>
              <w:t>In addition to enable corresponding reductions of greenhouse gases through implementation of climate change mitigation projects (through CDM and NAMAs) nationally and worldwide, UNDP with support of Mitsubishi Security Morgan Stanley has developed the first standardized baseline for the power sector (electricity). It was registered by the United Nations Framework Convention on Climate Change in October 2013 and is only the third such baseline registered globally. It will contribute to the registration of more CDM projects developed by the country, and thus to generating more CERs through introducing advanced low-emission technologies.</w:t>
            </w:r>
            <w:r w:rsidRPr="009A4095">
              <w:rPr>
                <w:rStyle w:val="FootnoteReference"/>
                <w:rFonts w:asciiTheme="minorHAnsi" w:hAnsiTheme="minorHAnsi"/>
                <w:color w:val="000000" w:themeColor="text1"/>
              </w:rPr>
              <w:footnoteReference w:id="14"/>
            </w:r>
          </w:p>
          <w:p w14:paraId="7BD96264" w14:textId="77777777" w:rsidR="00212FB6" w:rsidRPr="009A4095" w:rsidRDefault="00212FB6" w:rsidP="00212FB6">
            <w:pPr>
              <w:pStyle w:val="BodyText2"/>
              <w:rPr>
                <w:rFonts w:asciiTheme="minorHAnsi" w:hAnsiTheme="minorHAnsi"/>
                <w:color w:val="000000" w:themeColor="text1"/>
              </w:rPr>
            </w:pPr>
          </w:p>
          <w:p w14:paraId="5DA09F25" w14:textId="77777777" w:rsidR="00212FB6" w:rsidRPr="009A4095" w:rsidRDefault="00212FB6" w:rsidP="00212FB6">
            <w:pPr>
              <w:pStyle w:val="BodyText2"/>
              <w:rPr>
                <w:rFonts w:asciiTheme="minorHAnsi" w:hAnsiTheme="minorHAnsi"/>
                <w:color w:val="000000" w:themeColor="text1"/>
              </w:rPr>
            </w:pPr>
            <w:r w:rsidRPr="009A4095">
              <w:rPr>
                <w:rFonts w:asciiTheme="minorHAnsi" w:hAnsiTheme="minorHAnsi"/>
                <w:color w:val="000000" w:themeColor="text1"/>
              </w:rPr>
              <w:t>UNDP has been at the forefront of piloting biogas technology in Uzbekistan. Since it was first introduced, biogas technology has been widely recognized as a viable source of energy for individuals and farmers. In 2013, UNDP in partnership with the Chamber of Commerce and Industry of Uzbekistan developed the National Standard for Biogas Units, registered by the Uzbek Agency “</w:t>
            </w:r>
            <w:proofErr w:type="spellStart"/>
            <w:r w:rsidRPr="009A4095">
              <w:rPr>
                <w:rFonts w:asciiTheme="minorHAnsi" w:hAnsiTheme="minorHAnsi"/>
                <w:color w:val="000000" w:themeColor="text1"/>
              </w:rPr>
              <w:t>UzStandard</w:t>
            </w:r>
            <w:proofErr w:type="spellEnd"/>
            <w:r w:rsidRPr="009A4095">
              <w:rPr>
                <w:rFonts w:asciiTheme="minorHAnsi" w:hAnsiTheme="minorHAnsi"/>
                <w:color w:val="000000" w:themeColor="text1"/>
              </w:rPr>
              <w:t>”, which now includes mandatory requirements for their design, construction, operation and maintenance. This is the first national standard related to renewable energy technologies, and it contributes to wider deployment of biogas to substitute fossil fuel and save natural gas, and also increases access to thermal and electrical energy by farmers and households to meet their demand in power and heat supply.</w:t>
            </w:r>
          </w:p>
          <w:p w14:paraId="7606425A" w14:textId="77777777" w:rsidR="00212FB6" w:rsidRPr="009A4095" w:rsidRDefault="00212FB6" w:rsidP="00212FB6">
            <w:pPr>
              <w:pStyle w:val="BodyText2"/>
              <w:rPr>
                <w:rFonts w:asciiTheme="minorHAnsi" w:hAnsiTheme="minorHAnsi"/>
                <w:color w:val="000000" w:themeColor="text1"/>
              </w:rPr>
            </w:pPr>
          </w:p>
          <w:p w14:paraId="692C76D2" w14:textId="77777777" w:rsidR="00212FB6" w:rsidRPr="009A4095" w:rsidRDefault="00212FB6" w:rsidP="00212FB6">
            <w:pPr>
              <w:pStyle w:val="BodyText2"/>
              <w:rPr>
                <w:rFonts w:asciiTheme="minorHAnsi" w:hAnsiTheme="minorHAnsi"/>
                <w:i/>
                <w:color w:val="000000" w:themeColor="text1"/>
              </w:rPr>
            </w:pPr>
            <w:r w:rsidRPr="009A4095">
              <w:rPr>
                <w:rFonts w:asciiTheme="minorHAnsi" w:hAnsiTheme="minorHAnsi"/>
                <w:color w:val="000000" w:themeColor="text1"/>
              </w:rPr>
              <w:t>Similarly, to support fulfillment of the objectives under the UNFCCC, UNDP supported efforts of the Government in reducing CO2 emissions from various sectors of the economy. UNDP assistance in the field of energy efficiency has led to transformational changes in this sector, as its recommendations were largely adopted. For instance, building codes and standards, which were revised and adopted by the Government as a result of UNDP advocacy and pilots, are now mandated to undergo revision every 5 years to keep up and benefit from the best international practices. In addition, the existing standards for construction materials will be revised based on their energy and resource efficiency. Now more than 67,000 people benefitted from improved living conditions following application of UNDP-supported energy efficiency measures into public and residential housing</w:t>
            </w:r>
            <w:r w:rsidRPr="009A4095">
              <w:rPr>
                <w:rStyle w:val="FootnoteReference"/>
                <w:rFonts w:asciiTheme="minorHAnsi" w:hAnsiTheme="minorHAnsi"/>
                <w:color w:val="000000" w:themeColor="text1"/>
              </w:rPr>
              <w:footnoteReference w:id="15"/>
            </w:r>
            <w:r w:rsidRPr="009A4095">
              <w:rPr>
                <w:rFonts w:asciiTheme="minorHAnsi" w:hAnsiTheme="minorHAnsi"/>
                <w:color w:val="000000" w:themeColor="text1"/>
              </w:rPr>
              <w:t>.</w:t>
            </w:r>
            <w:r w:rsidRPr="009A4095">
              <w:rPr>
                <w:rFonts w:asciiTheme="minorHAnsi" w:hAnsiTheme="minorHAnsi"/>
                <w:i/>
                <w:color w:val="000000" w:themeColor="text1"/>
              </w:rPr>
              <w:t xml:space="preserve"> </w:t>
            </w:r>
          </w:p>
          <w:p w14:paraId="69D74781" w14:textId="77777777" w:rsidR="00212FB6" w:rsidRPr="009A4095" w:rsidRDefault="00212FB6" w:rsidP="00212FB6">
            <w:pPr>
              <w:pStyle w:val="BodyText2"/>
              <w:rPr>
                <w:rFonts w:asciiTheme="minorHAnsi" w:hAnsiTheme="minorHAnsi"/>
                <w:i/>
                <w:color w:val="000000" w:themeColor="text1"/>
              </w:rPr>
            </w:pPr>
          </w:p>
          <w:p w14:paraId="02DF0B51" w14:textId="77777777" w:rsidR="00212FB6" w:rsidRPr="009A4095" w:rsidRDefault="00212FB6" w:rsidP="00212FB6">
            <w:pPr>
              <w:pStyle w:val="BodyText2"/>
              <w:rPr>
                <w:rFonts w:asciiTheme="minorHAnsi" w:hAnsiTheme="minorHAnsi"/>
                <w:color w:val="000000" w:themeColor="text1"/>
              </w:rPr>
            </w:pPr>
            <w:r w:rsidRPr="009A4095">
              <w:rPr>
                <w:rFonts w:asciiTheme="minorHAnsi" w:hAnsiTheme="minorHAnsi"/>
                <w:color w:val="000000" w:themeColor="text1"/>
              </w:rPr>
              <w:t xml:space="preserve">In view of the highly-contested issues over water distribution in Central Asia, UNDP supported the efforts of the Government of Uzbekistan in formulation of the first Water Code of Uzbekistan and IWRM Strategy for </w:t>
            </w:r>
            <w:proofErr w:type="spellStart"/>
            <w:r w:rsidRPr="009A4095">
              <w:rPr>
                <w:rFonts w:asciiTheme="minorHAnsi" w:hAnsiTheme="minorHAnsi"/>
                <w:color w:val="000000" w:themeColor="text1"/>
              </w:rPr>
              <w:t>Zarafshan</w:t>
            </w:r>
            <w:proofErr w:type="spellEnd"/>
            <w:r w:rsidRPr="009A4095">
              <w:rPr>
                <w:rFonts w:asciiTheme="minorHAnsi" w:hAnsiTheme="minorHAnsi"/>
                <w:color w:val="000000" w:themeColor="text1"/>
              </w:rPr>
              <w:t xml:space="preserve"> River Valley, both of which have been submitted to the Government for adoption. The Water Code offers a legal basis for the country to move away from the traditional supply-based to a demand-driven management paradigm with water conservation as an over-arching objective. UNDP’s pilot in integrated water resource management in the </w:t>
            </w:r>
            <w:proofErr w:type="spellStart"/>
            <w:r w:rsidRPr="009A4095">
              <w:rPr>
                <w:rFonts w:asciiTheme="minorHAnsi" w:hAnsiTheme="minorHAnsi"/>
                <w:color w:val="000000" w:themeColor="text1"/>
              </w:rPr>
              <w:t>Zarafshan</w:t>
            </w:r>
            <w:proofErr w:type="spellEnd"/>
            <w:r w:rsidRPr="009A4095">
              <w:rPr>
                <w:rFonts w:asciiTheme="minorHAnsi" w:hAnsiTheme="minorHAnsi"/>
                <w:color w:val="000000" w:themeColor="text1"/>
              </w:rPr>
              <w:t xml:space="preserve"> River Basin has served as a foundation for this future significant shift in the Government’s water management policy</w:t>
            </w:r>
            <w:r w:rsidRPr="009A4095">
              <w:rPr>
                <w:rStyle w:val="FootnoteReference"/>
                <w:rFonts w:asciiTheme="minorHAnsi" w:hAnsiTheme="minorHAnsi"/>
                <w:color w:val="000000" w:themeColor="text1"/>
              </w:rPr>
              <w:footnoteReference w:id="16"/>
            </w:r>
            <w:r w:rsidRPr="009A4095">
              <w:rPr>
                <w:rFonts w:asciiTheme="minorHAnsi" w:hAnsiTheme="minorHAnsi"/>
                <w:color w:val="000000" w:themeColor="text1"/>
              </w:rPr>
              <w:t>.  In addition, UNDP has played a key role providing technical support and expertise to ensure that several policy documents such as resolutions and state programmes are in line with international principles on sustainable development</w:t>
            </w:r>
            <w:r w:rsidRPr="009A4095">
              <w:rPr>
                <w:rStyle w:val="FootnoteReference"/>
                <w:rFonts w:asciiTheme="minorHAnsi" w:hAnsiTheme="minorHAnsi"/>
                <w:color w:val="000000" w:themeColor="text1"/>
              </w:rPr>
              <w:footnoteReference w:id="17"/>
            </w:r>
            <w:r w:rsidRPr="009A4095">
              <w:rPr>
                <w:rFonts w:asciiTheme="minorHAnsi" w:hAnsiTheme="minorHAnsi"/>
                <w:color w:val="000000" w:themeColor="text1"/>
              </w:rPr>
              <w:t xml:space="preserve">. </w:t>
            </w:r>
          </w:p>
          <w:p w14:paraId="41C1C1AC" w14:textId="77777777" w:rsidR="00212FB6" w:rsidRPr="009A4095" w:rsidRDefault="00212FB6" w:rsidP="00212FB6">
            <w:pPr>
              <w:pStyle w:val="BodyText2"/>
              <w:rPr>
                <w:rFonts w:asciiTheme="minorHAnsi" w:hAnsiTheme="minorHAnsi"/>
                <w:color w:val="000000" w:themeColor="text1"/>
              </w:rPr>
            </w:pPr>
          </w:p>
          <w:p w14:paraId="7C7AF810" w14:textId="77777777" w:rsidR="00A205F8" w:rsidRDefault="00A205F8" w:rsidP="00550F07">
            <w:pPr>
              <w:pStyle w:val="BodyText2"/>
              <w:rPr>
                <w:rFonts w:asciiTheme="minorHAnsi" w:hAnsiTheme="minorHAnsi"/>
                <w:color w:val="000000" w:themeColor="text1"/>
              </w:rPr>
            </w:pPr>
          </w:p>
          <w:p w14:paraId="733F7B9B" w14:textId="77777777" w:rsidR="00F6031A" w:rsidRPr="00DC7354" w:rsidRDefault="00F6031A" w:rsidP="00A71955">
            <w:pPr>
              <w:pStyle w:val="BodyText2"/>
              <w:rPr>
                <w:rFonts w:asciiTheme="minorHAnsi" w:hAnsiTheme="minorHAnsi"/>
              </w:rPr>
            </w:pPr>
          </w:p>
        </w:tc>
      </w:tr>
      <w:tr w:rsidR="00F6031A" w:rsidRPr="00920DBC" w14:paraId="2D2B9D37" w14:textId="77777777" w:rsidTr="007E3C44">
        <w:tc>
          <w:tcPr>
            <w:tcW w:w="3060" w:type="dxa"/>
            <w:shd w:val="clear" w:color="auto" w:fill="95B3D7" w:themeFill="accent1" w:themeFillTint="99"/>
          </w:tcPr>
          <w:p w14:paraId="73FFC133" w14:textId="489B04D1" w:rsidR="00F6031A" w:rsidRPr="000823AC" w:rsidRDefault="00A97C51" w:rsidP="007E3C44">
            <w:pPr>
              <w:pStyle w:val="BodyText2"/>
              <w:rPr>
                <w:rFonts w:asciiTheme="minorHAnsi" w:hAnsiTheme="minorHAnsi"/>
                <w:b/>
              </w:rPr>
            </w:pPr>
            <w:r>
              <w:rPr>
                <w:rFonts w:asciiTheme="minorHAnsi" w:hAnsiTheme="minorHAnsi"/>
                <w:b/>
              </w:rPr>
              <w:lastRenderedPageBreak/>
              <w:t>4</w:t>
            </w:r>
            <w:r w:rsidR="00F6031A" w:rsidRPr="000823AC">
              <w:rPr>
                <w:rFonts w:asciiTheme="minorHAnsi" w:hAnsiTheme="minorHAnsi"/>
                <w:b/>
              </w:rPr>
              <w:t xml:space="preserve">. </w:t>
            </w:r>
            <w:r w:rsidR="00CA131A" w:rsidRPr="00CA131A">
              <w:rPr>
                <w:rFonts w:asciiTheme="minorHAnsi" w:hAnsiTheme="minorHAnsi"/>
                <w:b/>
              </w:rPr>
              <w:t>Preparedness and responsiveness to natural disasters strengthened.</w:t>
            </w:r>
          </w:p>
        </w:tc>
        <w:tc>
          <w:tcPr>
            <w:tcW w:w="1530" w:type="dxa"/>
            <w:gridSpan w:val="2"/>
            <w:shd w:val="clear" w:color="auto" w:fill="auto"/>
          </w:tcPr>
          <w:p w14:paraId="35A3C627" w14:textId="10C8CF26" w:rsidR="00F6031A" w:rsidRPr="00DC7354" w:rsidRDefault="00CD1BAC" w:rsidP="0067767C">
            <w:pPr>
              <w:pStyle w:val="BodyText2"/>
              <w:rPr>
                <w:rFonts w:asciiTheme="minorHAnsi" w:hAnsiTheme="minorHAnsi"/>
              </w:rPr>
            </w:pPr>
            <w:r>
              <w:rPr>
                <w:rFonts w:asciiTheme="minorHAnsi" w:hAnsiTheme="minorHAnsi"/>
              </w:rPr>
              <w:t>$2,</w:t>
            </w:r>
            <w:r w:rsidR="0067767C">
              <w:rPr>
                <w:rFonts w:asciiTheme="minorHAnsi" w:hAnsiTheme="minorHAnsi"/>
              </w:rPr>
              <w:t>167,099</w:t>
            </w:r>
          </w:p>
        </w:tc>
        <w:tc>
          <w:tcPr>
            <w:tcW w:w="3960" w:type="dxa"/>
            <w:tcBorders>
              <w:left w:val="single" w:sz="4" w:space="0" w:color="auto"/>
            </w:tcBorders>
          </w:tcPr>
          <w:p w14:paraId="0B2F4EC1" w14:textId="77777777" w:rsidR="00F6031A" w:rsidRPr="007522A7" w:rsidRDefault="00172CB1" w:rsidP="00172CB1">
            <w:pPr>
              <w:pStyle w:val="BodyText2"/>
              <w:rPr>
                <w:rFonts w:asciiTheme="minorHAnsi" w:hAnsiTheme="minorHAnsi"/>
              </w:rPr>
            </w:pPr>
            <w:r w:rsidRPr="007522A7">
              <w:rPr>
                <w:rFonts w:asciiTheme="minorHAnsi" w:hAnsiTheme="minorHAnsi"/>
              </w:rPr>
              <w:t>Capacity of the Ministry of Emergency Situations and other stakeholder agencies in disaster risk management.</w:t>
            </w:r>
          </w:p>
          <w:p w14:paraId="7533DEFC" w14:textId="59393D54" w:rsidR="00B40178" w:rsidRPr="00920DBC" w:rsidRDefault="00B40178" w:rsidP="00172CB1">
            <w:pPr>
              <w:pStyle w:val="BodyText2"/>
              <w:rPr>
                <w:rFonts w:asciiTheme="minorHAnsi" w:hAnsiTheme="minorHAnsi"/>
                <w:i/>
              </w:rPr>
            </w:pPr>
            <w:r>
              <w:rPr>
                <w:rFonts w:asciiTheme="minorHAnsi" w:hAnsiTheme="minorHAnsi"/>
                <w:i/>
              </w:rPr>
              <w:t xml:space="preserve">(BASELINE 2010: </w:t>
            </w:r>
            <w:r w:rsidRPr="00B40178">
              <w:rPr>
                <w:rFonts w:asciiTheme="minorHAnsi" w:hAnsiTheme="minorHAnsi"/>
                <w:i/>
              </w:rPr>
              <w:t>Capacity and coordination mechanism to be strengthened.</w:t>
            </w:r>
            <w:r>
              <w:rPr>
                <w:rFonts w:asciiTheme="minorHAnsi" w:hAnsiTheme="minorHAnsi"/>
                <w:i/>
              </w:rPr>
              <w:t xml:space="preserve"> TARGET </w:t>
            </w:r>
            <w:r>
              <w:rPr>
                <w:rFonts w:asciiTheme="minorHAnsi" w:hAnsiTheme="minorHAnsi"/>
                <w:i/>
              </w:rPr>
              <w:lastRenderedPageBreak/>
              <w:t xml:space="preserve">2015: </w:t>
            </w:r>
            <w:r w:rsidR="00A02ED9" w:rsidRPr="00A02ED9">
              <w:rPr>
                <w:rFonts w:asciiTheme="minorHAnsi" w:hAnsiTheme="minorHAnsi"/>
                <w:i/>
              </w:rPr>
              <w:t>Strengthened capacity and better coordination among stakeholders.</w:t>
            </w:r>
            <w:r w:rsidR="00A02ED9">
              <w:rPr>
                <w:rFonts w:asciiTheme="minorHAnsi" w:hAnsiTheme="minorHAnsi"/>
                <w:i/>
              </w:rPr>
              <w:t>)</w:t>
            </w:r>
          </w:p>
        </w:tc>
        <w:tc>
          <w:tcPr>
            <w:tcW w:w="5490" w:type="dxa"/>
            <w:shd w:val="clear" w:color="auto" w:fill="auto"/>
          </w:tcPr>
          <w:p w14:paraId="7881F89D" w14:textId="5ECDDF02" w:rsidR="00F6031A" w:rsidRPr="00920DBC" w:rsidRDefault="002243DD" w:rsidP="00BF5B88">
            <w:pPr>
              <w:pStyle w:val="BodyText2"/>
              <w:rPr>
                <w:rFonts w:asciiTheme="minorHAnsi" w:hAnsiTheme="minorHAnsi"/>
                <w:i/>
              </w:rPr>
            </w:pPr>
            <w:r>
              <w:rPr>
                <w:rFonts w:asciiTheme="minorHAnsi" w:hAnsiTheme="minorHAnsi"/>
                <w:i/>
              </w:rPr>
              <w:lastRenderedPageBreak/>
              <w:t>By</w:t>
            </w:r>
            <w:r w:rsidR="00E46F02">
              <w:rPr>
                <w:rFonts w:asciiTheme="minorHAnsi" w:hAnsiTheme="minorHAnsi"/>
                <w:i/>
              </w:rPr>
              <w:t xml:space="preserve"> the end of</w:t>
            </w:r>
            <w:r>
              <w:rPr>
                <w:rFonts w:asciiTheme="minorHAnsi" w:hAnsiTheme="minorHAnsi"/>
                <w:i/>
              </w:rPr>
              <w:t xml:space="preserve"> 2014: </w:t>
            </w:r>
            <w:r w:rsidR="005E4F3E" w:rsidRPr="005E4F3E">
              <w:rPr>
                <w:rFonts w:asciiTheme="minorHAnsi" w:hAnsiTheme="minorHAnsi"/>
                <w:i/>
              </w:rPr>
              <w:t>Engagement of the Ministry has been strong and proactive, which allowed implementing major activities such as establishment of an Earthquake Simulation Centre, unique to whole of Central Asia</w:t>
            </w:r>
            <w:r w:rsidR="005E4F3E">
              <w:rPr>
                <w:rFonts w:asciiTheme="minorHAnsi" w:hAnsiTheme="minorHAnsi"/>
                <w:i/>
              </w:rPr>
              <w:t>.</w:t>
            </w:r>
          </w:p>
        </w:tc>
      </w:tr>
      <w:tr w:rsidR="00F6031A" w:rsidRPr="00845340" w14:paraId="29E8F1C9" w14:textId="77777777" w:rsidTr="007E3C44">
        <w:tc>
          <w:tcPr>
            <w:tcW w:w="14040" w:type="dxa"/>
            <w:gridSpan w:val="5"/>
          </w:tcPr>
          <w:p w14:paraId="0EA98A78" w14:textId="77777777" w:rsidR="00F6031A" w:rsidRPr="00C72685" w:rsidRDefault="00F6031A" w:rsidP="007E3C44">
            <w:pPr>
              <w:pStyle w:val="BodyText2"/>
              <w:rPr>
                <w:rFonts w:asciiTheme="minorHAnsi" w:hAnsiTheme="minorHAnsi"/>
                <w:color w:val="000000" w:themeColor="text1"/>
              </w:rPr>
            </w:pPr>
            <w:r w:rsidRPr="00C72685">
              <w:rPr>
                <w:rFonts w:asciiTheme="minorHAnsi" w:hAnsiTheme="minorHAnsi"/>
                <w:color w:val="000000" w:themeColor="text1"/>
                <w:u w:val="single"/>
              </w:rPr>
              <w:lastRenderedPageBreak/>
              <w:t>CP Outputs</w:t>
            </w:r>
            <w:r w:rsidRPr="00C72685">
              <w:rPr>
                <w:rFonts w:asciiTheme="minorHAnsi" w:hAnsiTheme="minorHAnsi"/>
                <w:color w:val="000000" w:themeColor="text1"/>
              </w:rPr>
              <w:t>:</w:t>
            </w:r>
          </w:p>
          <w:p w14:paraId="5CC735C3" w14:textId="569E3D2B" w:rsidR="009E6787" w:rsidRPr="009E6787" w:rsidRDefault="009E6787" w:rsidP="007E3C44">
            <w:pPr>
              <w:pStyle w:val="BodyText2"/>
              <w:rPr>
                <w:rFonts w:asciiTheme="minorHAnsi" w:hAnsiTheme="minorHAnsi"/>
                <w:color w:val="000000" w:themeColor="text1"/>
              </w:rPr>
            </w:pPr>
            <w:r w:rsidRPr="009E6787">
              <w:rPr>
                <w:rFonts w:asciiTheme="minorHAnsi" w:hAnsiTheme="minorHAnsi"/>
                <w:color w:val="000000" w:themeColor="text1"/>
              </w:rPr>
              <w:t>4</w:t>
            </w:r>
            <w:r w:rsidR="005B67BB">
              <w:rPr>
                <w:rFonts w:asciiTheme="minorHAnsi" w:hAnsiTheme="minorHAnsi"/>
                <w:color w:val="000000" w:themeColor="text1"/>
              </w:rPr>
              <w:t xml:space="preserve"> a) </w:t>
            </w:r>
            <w:r w:rsidRPr="009E6787">
              <w:rPr>
                <w:rFonts w:asciiTheme="minorHAnsi" w:hAnsiTheme="minorHAnsi"/>
                <w:color w:val="000000" w:themeColor="text1"/>
              </w:rPr>
              <w:t>Enhanced capacity of the Ministry of Emergency Situations and other stakeholders for disaster risk reduction in Tashkent and in other hi</w:t>
            </w:r>
            <w:r w:rsidR="005B67BB">
              <w:rPr>
                <w:rFonts w:asciiTheme="minorHAnsi" w:hAnsiTheme="minorHAnsi"/>
                <w:color w:val="000000" w:themeColor="text1"/>
              </w:rPr>
              <w:t>gh-risk locations in Uzbekistan</w:t>
            </w:r>
            <w:r w:rsidRPr="009E6787">
              <w:rPr>
                <w:rFonts w:asciiTheme="minorHAnsi" w:hAnsiTheme="minorHAnsi"/>
                <w:color w:val="000000" w:themeColor="text1"/>
              </w:rPr>
              <w:t>.</w:t>
            </w:r>
          </w:p>
          <w:p w14:paraId="68A9FFCC" w14:textId="77777777" w:rsidR="009E6787" w:rsidRPr="00D14612" w:rsidRDefault="009E6787" w:rsidP="007E3C44">
            <w:pPr>
              <w:pStyle w:val="BodyText2"/>
              <w:rPr>
                <w:rFonts w:asciiTheme="minorHAnsi" w:hAnsiTheme="minorHAnsi"/>
                <w:color w:val="FF0000"/>
              </w:rPr>
            </w:pPr>
          </w:p>
          <w:p w14:paraId="4B205773" w14:textId="77777777" w:rsidR="00F6031A" w:rsidRPr="00C72685" w:rsidRDefault="00F6031A" w:rsidP="007E3C44">
            <w:pPr>
              <w:pStyle w:val="BodyText2"/>
              <w:rPr>
                <w:rFonts w:asciiTheme="minorHAnsi" w:hAnsiTheme="minorHAnsi"/>
                <w:color w:val="000000" w:themeColor="text1"/>
              </w:rPr>
            </w:pPr>
            <w:r w:rsidRPr="00C72685">
              <w:rPr>
                <w:rFonts w:asciiTheme="minorHAnsi" w:hAnsiTheme="minorHAnsi"/>
                <w:color w:val="000000" w:themeColor="text1"/>
                <w:u w:val="single"/>
              </w:rPr>
              <w:t>Progress and Achievements</w:t>
            </w:r>
            <w:r w:rsidRPr="00C72685">
              <w:rPr>
                <w:rFonts w:asciiTheme="minorHAnsi" w:hAnsiTheme="minorHAnsi"/>
                <w:color w:val="000000" w:themeColor="text1"/>
              </w:rPr>
              <w:t>:</w:t>
            </w:r>
          </w:p>
          <w:p w14:paraId="396AF5A7" w14:textId="77777777" w:rsidR="0077637A" w:rsidRDefault="0077637A" w:rsidP="003809F6">
            <w:pPr>
              <w:pStyle w:val="BodyText2"/>
              <w:rPr>
                <w:rFonts w:asciiTheme="minorHAnsi" w:hAnsiTheme="minorHAnsi"/>
                <w:color w:val="000000" w:themeColor="text1"/>
              </w:rPr>
            </w:pPr>
          </w:p>
          <w:p w14:paraId="1EF76783" w14:textId="66C4643F" w:rsidR="0077637A" w:rsidRPr="00A8014C" w:rsidRDefault="0077637A" w:rsidP="0077637A">
            <w:pPr>
              <w:pStyle w:val="BodyText2"/>
              <w:rPr>
                <w:rFonts w:asciiTheme="minorHAnsi" w:hAnsiTheme="minorHAnsi"/>
                <w:color w:val="000000" w:themeColor="text1"/>
              </w:rPr>
            </w:pPr>
            <w:r w:rsidRPr="00A8014C">
              <w:rPr>
                <w:rFonts w:asciiTheme="minorHAnsi" w:hAnsiTheme="minorHAnsi"/>
                <w:color w:val="000000" w:themeColor="text1"/>
              </w:rPr>
              <w:t xml:space="preserve">270,000 people in Tashkent and </w:t>
            </w:r>
            <w:proofErr w:type="spellStart"/>
            <w:r w:rsidRPr="00A8014C">
              <w:rPr>
                <w:rFonts w:asciiTheme="minorHAnsi" w:hAnsiTheme="minorHAnsi"/>
                <w:color w:val="000000" w:themeColor="text1"/>
              </w:rPr>
              <w:t>Kashkadarya</w:t>
            </w:r>
            <w:proofErr w:type="spellEnd"/>
            <w:r w:rsidRPr="00A8014C">
              <w:rPr>
                <w:rFonts w:asciiTheme="minorHAnsi" w:hAnsiTheme="minorHAnsi"/>
                <w:color w:val="000000" w:themeColor="text1"/>
              </w:rPr>
              <w:t xml:space="preserve"> provinces now benefit from improved early warning about potential floods and information on availability of water resources for their agricultural needs. This came as a result of </w:t>
            </w:r>
            <w:r w:rsidR="00A8014C">
              <w:rPr>
                <w:rFonts w:asciiTheme="minorHAnsi" w:hAnsiTheme="minorHAnsi"/>
                <w:color w:val="000000" w:themeColor="text1"/>
              </w:rPr>
              <w:t xml:space="preserve">a </w:t>
            </w:r>
            <w:r w:rsidRPr="00A8014C">
              <w:rPr>
                <w:rFonts w:asciiTheme="minorHAnsi" w:hAnsiTheme="minorHAnsi"/>
                <w:color w:val="000000" w:themeColor="text1"/>
              </w:rPr>
              <w:t xml:space="preserve">successful partnership between UNDP, the Helmholtz Centre Potsdam, and German Research Centre for Geoscience and </w:t>
            </w:r>
            <w:proofErr w:type="spellStart"/>
            <w:r w:rsidRPr="00A8014C">
              <w:rPr>
                <w:rFonts w:asciiTheme="minorHAnsi" w:hAnsiTheme="minorHAnsi"/>
                <w:color w:val="000000" w:themeColor="text1"/>
              </w:rPr>
              <w:t>Uzhydromet</w:t>
            </w:r>
            <w:proofErr w:type="spellEnd"/>
            <w:r w:rsidRPr="00A8014C">
              <w:rPr>
                <w:rFonts w:asciiTheme="minorHAnsi" w:hAnsiTheme="minorHAnsi"/>
                <w:color w:val="000000" w:themeColor="text1"/>
              </w:rPr>
              <w:t>, focused on automation and improvement of monitoring systems at the respective weather stations</w:t>
            </w:r>
            <w:r w:rsidRPr="00A8014C">
              <w:rPr>
                <w:rStyle w:val="FootnoteReference"/>
                <w:rFonts w:asciiTheme="minorHAnsi" w:hAnsiTheme="minorHAnsi"/>
                <w:color w:val="000000" w:themeColor="text1"/>
              </w:rPr>
              <w:footnoteReference w:id="18"/>
            </w:r>
            <w:r w:rsidRPr="00A8014C">
              <w:rPr>
                <w:rFonts w:asciiTheme="minorHAnsi" w:hAnsiTheme="minorHAnsi"/>
                <w:color w:val="000000" w:themeColor="text1"/>
              </w:rPr>
              <w:t>. UNDP also supported development of the National Climate Risk Profile of Uzbekistan, which highlights risks posed by climate change and priority adaptation measures.</w:t>
            </w:r>
          </w:p>
          <w:p w14:paraId="691806F6" w14:textId="77777777" w:rsidR="00C72685" w:rsidRPr="0077637A" w:rsidRDefault="00C72685" w:rsidP="003809F6">
            <w:pPr>
              <w:pStyle w:val="BodyText2"/>
              <w:rPr>
                <w:rFonts w:asciiTheme="minorHAnsi" w:hAnsiTheme="minorHAnsi"/>
                <w:color w:val="00B050"/>
              </w:rPr>
            </w:pPr>
          </w:p>
          <w:p w14:paraId="4524E130" w14:textId="2952FD35" w:rsidR="003809F6" w:rsidRPr="00013886" w:rsidRDefault="003809F6" w:rsidP="003809F6">
            <w:pPr>
              <w:pStyle w:val="BodyText2"/>
              <w:rPr>
                <w:rFonts w:asciiTheme="minorHAnsi" w:hAnsiTheme="minorHAnsi"/>
                <w:color w:val="000000" w:themeColor="text1"/>
              </w:rPr>
            </w:pPr>
            <w:r w:rsidRPr="00013886">
              <w:rPr>
                <w:rFonts w:asciiTheme="minorHAnsi" w:hAnsiTheme="minorHAnsi"/>
                <w:color w:val="000000" w:themeColor="text1"/>
              </w:rPr>
              <w:t xml:space="preserve">In the field of disaster risk reduction, UNDP </w:t>
            </w:r>
            <w:r w:rsidR="0030574E" w:rsidRPr="00013886">
              <w:rPr>
                <w:rFonts w:asciiTheme="minorHAnsi" w:hAnsiTheme="minorHAnsi"/>
                <w:color w:val="000000" w:themeColor="text1"/>
              </w:rPr>
              <w:t xml:space="preserve">has been </w:t>
            </w:r>
            <w:r w:rsidRPr="00013886">
              <w:rPr>
                <w:rFonts w:asciiTheme="minorHAnsi" w:hAnsiTheme="minorHAnsi"/>
                <w:color w:val="000000" w:themeColor="text1"/>
              </w:rPr>
              <w:t>a key supporter of the Government’s ea</w:t>
            </w:r>
            <w:r w:rsidR="0030574E" w:rsidRPr="00013886">
              <w:rPr>
                <w:rFonts w:asciiTheme="minorHAnsi" w:hAnsiTheme="minorHAnsi"/>
                <w:color w:val="000000" w:themeColor="text1"/>
              </w:rPr>
              <w:t>rthquake risk mitigation efforts</w:t>
            </w:r>
            <w:r w:rsidRPr="00013886">
              <w:rPr>
                <w:rFonts w:asciiTheme="minorHAnsi" w:hAnsiTheme="minorHAnsi"/>
                <w:color w:val="000000" w:themeColor="text1"/>
              </w:rPr>
              <w:t>. With the funding from the European Commission's Humanitarian aid and Civil Protection department, UNDP and the Ministry of Emergency Situations have jointly established an Earthquake Simulator - unprecedented in the whole CA region</w:t>
            </w:r>
            <w:r w:rsidR="00C04C63" w:rsidRPr="00013886">
              <w:rPr>
                <w:rFonts w:asciiTheme="minorHAnsi" w:hAnsiTheme="minorHAnsi"/>
                <w:color w:val="000000" w:themeColor="text1"/>
              </w:rPr>
              <w:t>, t</w:t>
            </w:r>
            <w:r w:rsidRPr="00013886">
              <w:rPr>
                <w:rFonts w:asciiTheme="minorHAnsi" w:hAnsiTheme="minorHAnsi"/>
                <w:color w:val="000000" w:themeColor="text1"/>
              </w:rPr>
              <w:t xml:space="preserve">hus raising awareness of disaster risk management authorities in Uzbekistan (and in Central Asia) and the general population about earthquake risks and mitigation strategies and essential role of cross-sectoral collaboration for reducing potential impact of earthquakes, as any major earthquake can negate </w:t>
            </w:r>
            <w:r w:rsidR="00751DC6" w:rsidRPr="00013886">
              <w:rPr>
                <w:rFonts w:asciiTheme="minorHAnsi" w:hAnsiTheme="minorHAnsi"/>
                <w:color w:val="000000" w:themeColor="text1"/>
              </w:rPr>
              <w:t>decades of development gains</w:t>
            </w:r>
            <w:r w:rsidR="00751DC6" w:rsidRPr="00013886">
              <w:rPr>
                <w:rStyle w:val="FootnoteReference"/>
                <w:rFonts w:asciiTheme="minorHAnsi" w:hAnsiTheme="minorHAnsi"/>
                <w:color w:val="000000" w:themeColor="text1"/>
              </w:rPr>
              <w:footnoteReference w:id="19"/>
            </w:r>
            <w:r w:rsidRPr="00013886">
              <w:rPr>
                <w:rFonts w:asciiTheme="minorHAnsi" w:hAnsiTheme="minorHAnsi"/>
                <w:color w:val="000000" w:themeColor="text1"/>
              </w:rPr>
              <w:t>.</w:t>
            </w:r>
            <w:r w:rsidR="00BF1E5C" w:rsidRPr="00013886">
              <w:rPr>
                <w:rFonts w:asciiTheme="minorHAnsi" w:hAnsiTheme="minorHAnsi"/>
                <w:color w:val="000000" w:themeColor="text1"/>
              </w:rPr>
              <w:t xml:space="preserve"> </w:t>
            </w:r>
          </w:p>
          <w:p w14:paraId="59CFFC6F" w14:textId="77777777" w:rsidR="00C72685" w:rsidRPr="002A4B92" w:rsidRDefault="00C72685" w:rsidP="003809F6">
            <w:pPr>
              <w:pStyle w:val="BodyText2"/>
              <w:rPr>
                <w:rFonts w:asciiTheme="minorHAnsi" w:hAnsiTheme="minorHAnsi"/>
                <w:color w:val="000000" w:themeColor="text1"/>
              </w:rPr>
            </w:pPr>
          </w:p>
          <w:p w14:paraId="2F8AC932" w14:textId="542686D5" w:rsidR="003809F6" w:rsidRPr="002A4B92" w:rsidRDefault="003809F6" w:rsidP="003809F6">
            <w:pPr>
              <w:pStyle w:val="BodyText2"/>
              <w:rPr>
                <w:rFonts w:asciiTheme="minorHAnsi" w:hAnsiTheme="minorHAnsi"/>
                <w:color w:val="000000" w:themeColor="text1"/>
              </w:rPr>
            </w:pPr>
            <w:r w:rsidRPr="002A4B92">
              <w:rPr>
                <w:rFonts w:asciiTheme="minorHAnsi" w:hAnsiTheme="minorHAnsi"/>
                <w:color w:val="000000" w:themeColor="text1"/>
              </w:rPr>
              <w:t xml:space="preserve">UNDP within </w:t>
            </w:r>
            <w:r w:rsidR="002A4B92">
              <w:rPr>
                <w:rFonts w:asciiTheme="minorHAnsi" w:hAnsiTheme="minorHAnsi"/>
                <w:color w:val="000000" w:themeColor="text1"/>
              </w:rPr>
              <w:t xml:space="preserve">the </w:t>
            </w:r>
            <w:r w:rsidRPr="002A4B92">
              <w:rPr>
                <w:rFonts w:asciiTheme="minorHAnsi" w:hAnsiTheme="minorHAnsi"/>
                <w:color w:val="000000" w:themeColor="text1"/>
              </w:rPr>
              <w:t>framework of its regional programme on sustainable radioactive waste management in Central Asia back in 2011 conducted an environmental impact assessment and feasibility study on rehabilitation of experimental site of the Institute of Genetics and Experimental Plant Biology in Tashkent, contaminated with ionized radiation substances (uranium, thorium, cesium, mercury, among others). UNDP study costed $20,000 and determined that about 10,000 people were in risk of being affected by uncontrolled spread of radioactive substances and recommended to relocate the site and bury it. In October 2014, the Cabinet of Ministers issued a decree which mandates relocation of the experimental site at</w:t>
            </w:r>
            <w:r w:rsidR="00FE5283" w:rsidRPr="002A4B92">
              <w:rPr>
                <w:rFonts w:asciiTheme="minorHAnsi" w:hAnsiTheme="minorHAnsi"/>
                <w:color w:val="000000" w:themeColor="text1"/>
              </w:rPr>
              <w:t xml:space="preserve"> the expense of state budget</w:t>
            </w:r>
            <w:r w:rsidR="00FE5283" w:rsidRPr="002A4B92">
              <w:rPr>
                <w:rStyle w:val="FootnoteReference"/>
                <w:rFonts w:asciiTheme="minorHAnsi" w:hAnsiTheme="minorHAnsi"/>
                <w:color w:val="000000" w:themeColor="text1"/>
              </w:rPr>
              <w:footnoteReference w:id="20"/>
            </w:r>
            <w:r w:rsidRPr="002A4B92">
              <w:rPr>
                <w:rFonts w:asciiTheme="minorHAnsi" w:hAnsiTheme="minorHAnsi"/>
                <w:color w:val="000000" w:themeColor="text1"/>
              </w:rPr>
              <w:t>.</w:t>
            </w:r>
          </w:p>
          <w:p w14:paraId="1931E348" w14:textId="77777777" w:rsidR="003809F6" w:rsidRPr="00845340" w:rsidRDefault="003809F6" w:rsidP="007E3C44">
            <w:pPr>
              <w:pStyle w:val="BodyText2"/>
              <w:rPr>
                <w:rFonts w:asciiTheme="minorHAnsi" w:hAnsiTheme="minorHAnsi"/>
              </w:rPr>
            </w:pPr>
          </w:p>
        </w:tc>
      </w:tr>
    </w:tbl>
    <w:p w14:paraId="38F6237E" w14:textId="77777777" w:rsidR="00F6031A" w:rsidRDefault="00F6031A">
      <w:pPr>
        <w:pStyle w:val="BodyText2"/>
        <w:rPr>
          <w:rFonts w:ascii="Times New Roman" w:hAnsi="Times New Roman"/>
          <w:sz w:val="24"/>
        </w:rPr>
      </w:pPr>
    </w:p>
    <w:tbl>
      <w:tblPr>
        <w:tblW w:w="140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90"/>
        <w:gridCol w:w="1440"/>
        <w:gridCol w:w="3960"/>
        <w:gridCol w:w="5490"/>
      </w:tblGrid>
      <w:tr w:rsidR="00D14612" w:rsidRPr="005F6261" w14:paraId="504EC88B" w14:textId="77777777" w:rsidTr="00AD2B11">
        <w:tc>
          <w:tcPr>
            <w:tcW w:w="3150" w:type="dxa"/>
            <w:gridSpan w:val="2"/>
          </w:tcPr>
          <w:p w14:paraId="6503C402" w14:textId="77777777" w:rsidR="00D14612" w:rsidRPr="00DC7354" w:rsidRDefault="00D14612" w:rsidP="007E3C44">
            <w:pPr>
              <w:pStyle w:val="BodyText2"/>
              <w:rPr>
                <w:rFonts w:asciiTheme="minorHAnsi" w:hAnsiTheme="minorHAnsi"/>
                <w:b/>
                <w:sz w:val="24"/>
              </w:rPr>
            </w:pPr>
            <w:r w:rsidRPr="00DC7354">
              <w:rPr>
                <w:rFonts w:asciiTheme="minorHAnsi" w:hAnsiTheme="minorHAnsi"/>
                <w:b/>
                <w:sz w:val="24"/>
              </w:rPr>
              <w:t>Outcome</w:t>
            </w:r>
            <w:r>
              <w:rPr>
                <w:rFonts w:asciiTheme="minorHAnsi" w:hAnsiTheme="minorHAnsi"/>
                <w:b/>
                <w:sz w:val="24"/>
              </w:rPr>
              <w:t>s</w:t>
            </w:r>
          </w:p>
        </w:tc>
        <w:tc>
          <w:tcPr>
            <w:tcW w:w="1440" w:type="dxa"/>
            <w:shd w:val="clear" w:color="auto" w:fill="auto"/>
          </w:tcPr>
          <w:p w14:paraId="5C837E15" w14:textId="77777777" w:rsidR="00D14612" w:rsidRPr="005F6261" w:rsidRDefault="00D14612" w:rsidP="007E3C44">
            <w:pPr>
              <w:pStyle w:val="BodyText2"/>
              <w:rPr>
                <w:rFonts w:asciiTheme="minorHAnsi" w:hAnsiTheme="minorHAnsi"/>
                <w:b/>
                <w:sz w:val="22"/>
              </w:rPr>
            </w:pPr>
            <w:r w:rsidRPr="005F6261">
              <w:rPr>
                <w:rFonts w:asciiTheme="minorHAnsi" w:hAnsiTheme="minorHAnsi"/>
                <w:b/>
                <w:sz w:val="22"/>
              </w:rPr>
              <w:t>Total Expenditure</w:t>
            </w:r>
          </w:p>
        </w:tc>
        <w:tc>
          <w:tcPr>
            <w:tcW w:w="3960" w:type="dxa"/>
            <w:tcBorders>
              <w:left w:val="single" w:sz="4" w:space="0" w:color="auto"/>
            </w:tcBorders>
          </w:tcPr>
          <w:p w14:paraId="3B88C10C" w14:textId="77777777" w:rsidR="00D14612" w:rsidRPr="005F6261" w:rsidRDefault="00D14612" w:rsidP="007E3C44">
            <w:pPr>
              <w:pStyle w:val="BodyText2"/>
              <w:rPr>
                <w:rFonts w:asciiTheme="minorHAnsi" w:hAnsiTheme="minorHAnsi"/>
                <w:b/>
                <w:sz w:val="22"/>
              </w:rPr>
            </w:pPr>
            <w:r w:rsidRPr="005F6261">
              <w:rPr>
                <w:rFonts w:asciiTheme="minorHAnsi" w:hAnsiTheme="minorHAnsi"/>
                <w:b/>
                <w:sz w:val="22"/>
              </w:rPr>
              <w:t>Key Indicators of outcome (1-4 per outcome)</w:t>
            </w:r>
          </w:p>
        </w:tc>
        <w:tc>
          <w:tcPr>
            <w:tcW w:w="5490" w:type="dxa"/>
          </w:tcPr>
          <w:p w14:paraId="0862C5E6" w14:textId="77777777" w:rsidR="00D14612" w:rsidRPr="005F6261" w:rsidRDefault="00D14612" w:rsidP="007E3C44">
            <w:pPr>
              <w:pStyle w:val="BodyText2"/>
              <w:rPr>
                <w:rFonts w:asciiTheme="minorHAnsi" w:hAnsiTheme="minorHAnsi"/>
                <w:b/>
                <w:sz w:val="22"/>
              </w:rPr>
            </w:pPr>
            <w:r w:rsidRPr="005F6261">
              <w:rPr>
                <w:rFonts w:asciiTheme="minorHAnsi" w:hAnsiTheme="minorHAnsi"/>
                <w:b/>
                <w:sz w:val="22"/>
              </w:rPr>
              <w:t>Progress made against key indicators</w:t>
            </w:r>
          </w:p>
        </w:tc>
      </w:tr>
      <w:tr w:rsidR="00D14612" w:rsidRPr="00920DBC" w14:paraId="7B7D46EA" w14:textId="77777777" w:rsidTr="00AD2B11">
        <w:tc>
          <w:tcPr>
            <w:tcW w:w="3150" w:type="dxa"/>
            <w:gridSpan w:val="2"/>
            <w:tcBorders>
              <w:bottom w:val="single" w:sz="4" w:space="0" w:color="auto"/>
            </w:tcBorders>
            <w:shd w:val="clear" w:color="auto" w:fill="95B3D7" w:themeFill="accent1" w:themeFillTint="99"/>
          </w:tcPr>
          <w:p w14:paraId="79705AFA" w14:textId="7BE55D8A" w:rsidR="00D14612" w:rsidRPr="000823AC" w:rsidRDefault="00B12C88" w:rsidP="007E3C44">
            <w:pPr>
              <w:pStyle w:val="BodyText2"/>
              <w:rPr>
                <w:rFonts w:asciiTheme="minorHAnsi" w:hAnsiTheme="minorHAnsi"/>
                <w:b/>
              </w:rPr>
            </w:pPr>
            <w:r>
              <w:rPr>
                <w:rFonts w:asciiTheme="minorHAnsi" w:hAnsiTheme="minorHAnsi"/>
                <w:b/>
              </w:rPr>
              <w:t>5.</w:t>
            </w:r>
            <w:r w:rsidR="00D14612" w:rsidRPr="000823AC">
              <w:rPr>
                <w:rFonts w:asciiTheme="minorHAnsi" w:hAnsiTheme="minorHAnsi"/>
                <w:b/>
              </w:rPr>
              <w:t xml:space="preserve"> </w:t>
            </w:r>
            <w:r w:rsidRPr="00B12C88">
              <w:rPr>
                <w:rFonts w:asciiTheme="minorHAnsi" w:hAnsiTheme="minorHAnsi"/>
                <w:b/>
              </w:rPr>
              <w:t xml:space="preserve">Enhanced accessibility, transparency, fairness of justice system and legislatures to promote rule of law, including increased </w:t>
            </w:r>
            <w:r w:rsidRPr="00B12C88">
              <w:rPr>
                <w:rFonts w:asciiTheme="minorHAnsi" w:hAnsiTheme="minorHAnsi"/>
                <w:b/>
              </w:rPr>
              <w:lastRenderedPageBreak/>
              <w:t>harmonization of national legislation</w:t>
            </w:r>
          </w:p>
        </w:tc>
        <w:tc>
          <w:tcPr>
            <w:tcW w:w="1440" w:type="dxa"/>
            <w:tcBorders>
              <w:bottom w:val="single" w:sz="4" w:space="0" w:color="auto"/>
            </w:tcBorders>
            <w:shd w:val="clear" w:color="auto" w:fill="auto"/>
          </w:tcPr>
          <w:p w14:paraId="665F2AE5" w14:textId="0AC63965" w:rsidR="00D14612" w:rsidRPr="001B5CF2" w:rsidRDefault="00CD1BAC" w:rsidP="0067767C">
            <w:pPr>
              <w:pStyle w:val="BodyText2"/>
              <w:rPr>
                <w:rFonts w:asciiTheme="minorHAnsi" w:hAnsiTheme="minorHAnsi"/>
              </w:rPr>
            </w:pPr>
            <w:r>
              <w:rPr>
                <w:rFonts w:asciiTheme="minorHAnsi" w:hAnsiTheme="minorHAnsi"/>
              </w:rPr>
              <w:lastRenderedPageBreak/>
              <w:t>$1,</w:t>
            </w:r>
            <w:r w:rsidR="0067767C">
              <w:rPr>
                <w:rFonts w:asciiTheme="minorHAnsi" w:hAnsiTheme="minorHAnsi"/>
              </w:rPr>
              <w:t>909,164</w:t>
            </w:r>
          </w:p>
        </w:tc>
        <w:tc>
          <w:tcPr>
            <w:tcW w:w="3960" w:type="dxa"/>
            <w:tcBorders>
              <w:left w:val="single" w:sz="4" w:space="0" w:color="auto"/>
              <w:bottom w:val="single" w:sz="4" w:space="0" w:color="auto"/>
            </w:tcBorders>
          </w:tcPr>
          <w:p w14:paraId="7DA695B8" w14:textId="77777777" w:rsidR="00D14612" w:rsidRPr="001B5CF2" w:rsidRDefault="002961F2" w:rsidP="007457CE">
            <w:pPr>
              <w:pStyle w:val="BodyText2"/>
              <w:rPr>
                <w:rFonts w:asciiTheme="minorHAnsi" w:hAnsiTheme="minorHAnsi"/>
              </w:rPr>
            </w:pPr>
            <w:r w:rsidRPr="001B5CF2">
              <w:rPr>
                <w:rFonts w:asciiTheme="minorHAnsi" w:hAnsiTheme="minorHAnsi"/>
              </w:rPr>
              <w:t>General conclusions of Convention committee responses to national reporting on UN Human Rights conventions.</w:t>
            </w:r>
          </w:p>
          <w:p w14:paraId="7B570578" w14:textId="77777777" w:rsidR="001B5CF2" w:rsidRPr="001B5CF2" w:rsidRDefault="001B5CF2" w:rsidP="002961F2">
            <w:pPr>
              <w:pStyle w:val="BodyText2"/>
              <w:ind w:left="360"/>
              <w:rPr>
                <w:rFonts w:asciiTheme="minorHAnsi" w:hAnsiTheme="minorHAnsi"/>
              </w:rPr>
            </w:pPr>
          </w:p>
          <w:p w14:paraId="187B8DF0" w14:textId="5AA82BA1" w:rsidR="002961F2" w:rsidRPr="001B5CF2" w:rsidRDefault="002961F2" w:rsidP="002961F2">
            <w:pPr>
              <w:pStyle w:val="BodyText2"/>
              <w:ind w:left="360"/>
              <w:rPr>
                <w:rFonts w:asciiTheme="minorHAnsi" w:hAnsiTheme="minorHAnsi"/>
                <w:i/>
              </w:rPr>
            </w:pPr>
            <w:r w:rsidRPr="001B5CF2">
              <w:rPr>
                <w:rFonts w:asciiTheme="minorHAnsi" w:hAnsiTheme="minorHAnsi"/>
                <w:i/>
              </w:rPr>
              <w:lastRenderedPageBreak/>
              <w:t>(BASELINE 2010: Reporting is regularly done, but improvement needed for coordination for data collection and implementation follow-up, TARGET 2015: Further improvement in comprehensive reporting and in following recommendations of the Convention Committees.)</w:t>
            </w:r>
          </w:p>
        </w:tc>
        <w:tc>
          <w:tcPr>
            <w:tcW w:w="5490" w:type="dxa"/>
            <w:tcBorders>
              <w:bottom w:val="single" w:sz="4" w:space="0" w:color="auto"/>
            </w:tcBorders>
            <w:shd w:val="clear" w:color="auto" w:fill="auto"/>
          </w:tcPr>
          <w:p w14:paraId="0E76B7FE" w14:textId="282D145A" w:rsidR="00D14612" w:rsidRPr="00920DBC" w:rsidRDefault="0069579F" w:rsidP="007457CE">
            <w:pPr>
              <w:pStyle w:val="BodyText2"/>
              <w:rPr>
                <w:rFonts w:asciiTheme="minorHAnsi" w:hAnsiTheme="minorHAnsi"/>
                <w:i/>
              </w:rPr>
            </w:pPr>
            <w:r>
              <w:rPr>
                <w:rFonts w:asciiTheme="minorHAnsi" w:hAnsiTheme="minorHAnsi"/>
                <w:i/>
              </w:rPr>
              <w:lastRenderedPageBreak/>
              <w:t xml:space="preserve">By the end of 2014: </w:t>
            </w:r>
            <w:r w:rsidR="007457CE" w:rsidRPr="007457CE">
              <w:rPr>
                <w:rFonts w:asciiTheme="minorHAnsi" w:hAnsiTheme="minorHAnsi"/>
                <w:i/>
              </w:rPr>
              <w:t>The action plan on the UPR follow-up was formulated and approved by the national partners. The UN agencies with the lead of UNDP were facilitating the formulation of the plan.</w:t>
            </w:r>
          </w:p>
        </w:tc>
      </w:tr>
      <w:tr w:rsidR="00D14612" w:rsidRPr="00DC7354" w14:paraId="30CEF2ED" w14:textId="77777777" w:rsidTr="00AD2B11">
        <w:tc>
          <w:tcPr>
            <w:tcW w:w="14040" w:type="dxa"/>
            <w:gridSpan w:val="5"/>
          </w:tcPr>
          <w:p w14:paraId="4E95E68F" w14:textId="77777777" w:rsidR="00D14612" w:rsidRPr="00061391" w:rsidRDefault="00D14612" w:rsidP="007E3C44">
            <w:pPr>
              <w:pStyle w:val="BodyText2"/>
              <w:rPr>
                <w:rFonts w:asciiTheme="minorHAnsi" w:hAnsiTheme="minorHAnsi"/>
                <w:color w:val="000000" w:themeColor="text1"/>
              </w:rPr>
            </w:pPr>
            <w:r w:rsidRPr="00061391">
              <w:rPr>
                <w:rFonts w:asciiTheme="minorHAnsi" w:hAnsiTheme="minorHAnsi"/>
                <w:color w:val="000000" w:themeColor="text1"/>
                <w:u w:val="single"/>
              </w:rPr>
              <w:lastRenderedPageBreak/>
              <w:t>CP Outputs</w:t>
            </w:r>
            <w:r w:rsidRPr="00061391">
              <w:rPr>
                <w:rFonts w:asciiTheme="minorHAnsi" w:hAnsiTheme="minorHAnsi"/>
                <w:color w:val="000000" w:themeColor="text1"/>
              </w:rPr>
              <w:t>:</w:t>
            </w:r>
          </w:p>
          <w:p w14:paraId="60D57B06" w14:textId="03283FA5" w:rsidR="00466143" w:rsidRPr="00007DFC" w:rsidRDefault="00466143" w:rsidP="00007DFC">
            <w:pPr>
              <w:pStyle w:val="ListParagraph"/>
              <w:numPr>
                <w:ilvl w:val="0"/>
                <w:numId w:val="24"/>
              </w:numPr>
              <w:rPr>
                <w:rFonts w:asciiTheme="minorHAnsi" w:hAnsiTheme="minorHAnsi"/>
                <w:i/>
                <w:color w:val="000000" w:themeColor="text1"/>
                <w:sz w:val="20"/>
              </w:rPr>
            </w:pPr>
            <w:r w:rsidRPr="00007DFC">
              <w:rPr>
                <w:rFonts w:asciiTheme="minorHAnsi" w:hAnsiTheme="minorHAnsi"/>
                <w:i/>
                <w:color w:val="000000" w:themeColor="text1"/>
                <w:sz w:val="20"/>
              </w:rPr>
              <w:t>Enhanced capacities of the national human rights institutions and other relevant bodies, including legal clinics to better fulfill their mandates and thus promote and e</w:t>
            </w:r>
            <w:r w:rsidR="00BA30DE" w:rsidRPr="00007DFC">
              <w:rPr>
                <w:rFonts w:asciiTheme="minorHAnsi" w:hAnsiTheme="minorHAnsi"/>
                <w:i/>
                <w:color w:val="000000" w:themeColor="text1"/>
                <w:sz w:val="20"/>
              </w:rPr>
              <w:t>ffectively protect human rights</w:t>
            </w:r>
            <w:r w:rsidRPr="00007DFC">
              <w:rPr>
                <w:rFonts w:asciiTheme="minorHAnsi" w:hAnsiTheme="minorHAnsi"/>
                <w:i/>
                <w:color w:val="000000" w:themeColor="text1"/>
                <w:sz w:val="20"/>
              </w:rPr>
              <w:t>.</w:t>
            </w:r>
          </w:p>
          <w:p w14:paraId="62CD5C52" w14:textId="77777777" w:rsidR="00061391" w:rsidRDefault="00061391" w:rsidP="007E3C44">
            <w:pPr>
              <w:pStyle w:val="BodyText2"/>
              <w:rPr>
                <w:rFonts w:asciiTheme="minorHAnsi" w:hAnsiTheme="minorHAnsi"/>
                <w:color w:val="FF0000"/>
                <w:u w:val="single"/>
              </w:rPr>
            </w:pPr>
          </w:p>
          <w:p w14:paraId="7FA676AD" w14:textId="77777777" w:rsidR="00D14612" w:rsidRPr="00061391" w:rsidRDefault="00D14612" w:rsidP="007E3C44">
            <w:pPr>
              <w:pStyle w:val="BodyText2"/>
              <w:rPr>
                <w:rFonts w:asciiTheme="minorHAnsi" w:hAnsiTheme="minorHAnsi"/>
                <w:color w:val="000000" w:themeColor="text1"/>
              </w:rPr>
            </w:pPr>
            <w:r w:rsidRPr="00061391">
              <w:rPr>
                <w:rFonts w:asciiTheme="minorHAnsi" w:hAnsiTheme="minorHAnsi"/>
                <w:color w:val="000000" w:themeColor="text1"/>
                <w:u w:val="single"/>
              </w:rPr>
              <w:t>Progress and Achievements</w:t>
            </w:r>
            <w:r w:rsidRPr="00061391">
              <w:rPr>
                <w:rFonts w:asciiTheme="minorHAnsi" w:hAnsiTheme="minorHAnsi"/>
                <w:color w:val="000000" w:themeColor="text1"/>
              </w:rPr>
              <w:t>:</w:t>
            </w:r>
          </w:p>
          <w:p w14:paraId="56901BFD" w14:textId="234F51E4" w:rsidR="00D748D4" w:rsidRPr="00C96DCE" w:rsidRDefault="00D748D4" w:rsidP="00D748D4">
            <w:pPr>
              <w:pStyle w:val="BodyText2"/>
              <w:rPr>
                <w:rFonts w:asciiTheme="minorHAnsi" w:hAnsiTheme="minorHAnsi"/>
                <w:i/>
                <w:color w:val="000000" w:themeColor="text1"/>
              </w:rPr>
            </w:pPr>
            <w:r w:rsidRPr="00C96DCE">
              <w:rPr>
                <w:rFonts w:asciiTheme="minorHAnsi" w:hAnsiTheme="minorHAnsi"/>
                <w:color w:val="000000" w:themeColor="text1"/>
              </w:rPr>
              <w:t>Throughout the country programme cycle UNDP has played a key role in supporting the Government in compliance with international human rights standards. As a result of Uzbekistan’s participation in the 2nd cycle of the Universal Periodic Review (UPR) process in 2013, the Human Rights agenda was reignited by the Government with the acceptance of 115 out of 203 recommendations. For the first time international partners and CSOs were invited to participate in the formulation of the draft National Action Plan and the establishment of a monitoring mechanism to periodically review progress. At the Government’s request, UNDP championed coordination of the international community support to accelerate implementation of the UPR recommendations by the country. In particular, UNDP took the lead in mapping the current activities of the UN system and international organizations in the area of human rights in Uzbekistan, and came up with the proposal to the National Action Plan (NAP), The NAP was endorsed by the Government in 2014, introducing a wide range of cooperation areas between the Government, UNDP and other partners, an accountability framework for implementation as well as a regular review and progress monitoring system</w:t>
            </w:r>
            <w:r w:rsidRPr="00C96DCE">
              <w:rPr>
                <w:rStyle w:val="FootnoteReference"/>
                <w:rFonts w:asciiTheme="minorHAnsi" w:hAnsiTheme="minorHAnsi"/>
                <w:color w:val="000000" w:themeColor="text1"/>
              </w:rPr>
              <w:footnoteReference w:id="21"/>
            </w:r>
            <w:r w:rsidRPr="00C96DCE">
              <w:rPr>
                <w:rFonts w:asciiTheme="minorHAnsi" w:hAnsiTheme="minorHAnsi"/>
                <w:color w:val="000000" w:themeColor="text1"/>
              </w:rPr>
              <w:t>. In addition UNDP was in a lead role in the development of the National Action Plan for the Implementation of the CRPD through its support to the Public Council on disabilities issues (in 2012).</w:t>
            </w:r>
          </w:p>
          <w:p w14:paraId="718E96CB" w14:textId="77777777" w:rsidR="00D748D4" w:rsidRPr="00C96DCE" w:rsidRDefault="00D748D4" w:rsidP="00D748D4">
            <w:pPr>
              <w:pStyle w:val="BodyText2"/>
              <w:rPr>
                <w:rFonts w:asciiTheme="minorHAnsi" w:hAnsiTheme="minorHAnsi"/>
                <w:color w:val="000000" w:themeColor="text1"/>
              </w:rPr>
            </w:pPr>
          </w:p>
          <w:p w14:paraId="063BDA71" w14:textId="77777777" w:rsidR="00D748D4" w:rsidRPr="001A0674" w:rsidRDefault="00D748D4" w:rsidP="00D748D4">
            <w:pPr>
              <w:pStyle w:val="BodyText2"/>
              <w:rPr>
                <w:rFonts w:asciiTheme="minorHAnsi" w:hAnsiTheme="minorHAnsi"/>
                <w:color w:val="000000" w:themeColor="text1"/>
              </w:rPr>
            </w:pPr>
            <w:r w:rsidRPr="001A0674">
              <w:rPr>
                <w:rFonts w:asciiTheme="minorHAnsi" w:hAnsiTheme="minorHAnsi"/>
                <w:color w:val="000000" w:themeColor="text1"/>
              </w:rPr>
              <w:t>Another significant shift with regards to the compliance with the international human rights standards was the adoption of the new law on HIV, which removes limitations on in-country travel for the people living with HIV. In addition, for the first time (in Central Asia) the Government of Uzbekistan allocated funds ($2 million) from the state budget for the Antiretroviral treatment (ARVT) showcasing the Government’s commitment towards gradual financing of the ARVT for people living with HIV. This came out as a result of UNDP’s continuous advocacy efforts towards providing free universal treatment for those in need. The second half of the country programme cycle has evidenced over 20 % annual increase in the number of patients receiving life-saving ARVT (in 2014 10,089 people in total, men; 2631, women; 3677)</w:t>
            </w:r>
            <w:r w:rsidRPr="001A0674">
              <w:rPr>
                <w:rStyle w:val="FootnoteReference"/>
                <w:rFonts w:asciiTheme="minorHAnsi" w:hAnsiTheme="minorHAnsi"/>
                <w:color w:val="000000" w:themeColor="text1"/>
              </w:rPr>
              <w:footnoteReference w:id="22"/>
            </w:r>
            <w:r w:rsidRPr="001A0674">
              <w:rPr>
                <w:rFonts w:asciiTheme="minorHAnsi" w:hAnsiTheme="minorHAnsi"/>
                <w:color w:val="000000" w:themeColor="text1"/>
              </w:rPr>
              <w:t>.</w:t>
            </w:r>
            <w:r w:rsidRPr="001A0674">
              <w:rPr>
                <w:color w:val="000000" w:themeColor="text1"/>
              </w:rPr>
              <w:t xml:space="preserve"> </w:t>
            </w:r>
            <w:r w:rsidRPr="001A0674">
              <w:rPr>
                <w:rFonts w:asciiTheme="minorHAnsi" w:hAnsiTheme="minorHAnsi"/>
                <w:color w:val="000000" w:themeColor="text1"/>
              </w:rPr>
              <w:t>In addition, an important prevention mechanism of further spread of HIV in Uzbekistan was launch of the first national “Life Line” HIV Hotline which came as a result of advocacy and support from UNDP.</w:t>
            </w:r>
          </w:p>
          <w:p w14:paraId="4137DBB8" w14:textId="77777777" w:rsidR="00D748D4" w:rsidRPr="00AB4814" w:rsidRDefault="00D748D4" w:rsidP="00D748D4">
            <w:pPr>
              <w:pStyle w:val="BodyText2"/>
              <w:rPr>
                <w:rFonts w:asciiTheme="minorHAnsi" w:hAnsiTheme="minorHAnsi"/>
                <w:color w:val="00B050"/>
              </w:rPr>
            </w:pPr>
          </w:p>
          <w:p w14:paraId="16F5044D" w14:textId="77777777" w:rsidR="00D748D4" w:rsidRPr="00C631C0" w:rsidRDefault="00D748D4" w:rsidP="00D748D4">
            <w:pPr>
              <w:pStyle w:val="BodyText2"/>
              <w:rPr>
                <w:rFonts w:asciiTheme="minorHAnsi" w:hAnsiTheme="minorHAnsi"/>
                <w:color w:val="000000" w:themeColor="text1"/>
              </w:rPr>
            </w:pPr>
            <w:r w:rsidRPr="00C631C0">
              <w:rPr>
                <w:rFonts w:asciiTheme="minorHAnsi" w:hAnsiTheme="minorHAnsi"/>
                <w:color w:val="000000" w:themeColor="text1"/>
              </w:rPr>
              <w:t>Meanwhile UNDP’s engagement with Supreme court (highest Judiciary body) prompted generation of new legislative acts to scale up pilot e-court system for courts on civil lawsuits</w:t>
            </w:r>
            <w:r w:rsidRPr="00C631C0">
              <w:rPr>
                <w:rStyle w:val="FootnoteReference"/>
                <w:rFonts w:asciiTheme="minorHAnsi" w:hAnsiTheme="minorHAnsi"/>
                <w:color w:val="000000" w:themeColor="text1"/>
              </w:rPr>
              <w:footnoteReference w:id="23"/>
            </w:r>
            <w:r w:rsidRPr="00C631C0">
              <w:rPr>
                <w:rFonts w:asciiTheme="minorHAnsi" w:hAnsiTheme="minorHAnsi"/>
                <w:color w:val="000000" w:themeColor="text1"/>
              </w:rPr>
              <w:t xml:space="preserve">, and mobilized additional resources. This has provided an opportunity to create a strategic platform to move forward with the on-going reform in civil </w:t>
            </w:r>
            <w:r w:rsidRPr="00C631C0">
              <w:rPr>
                <w:rFonts w:asciiTheme="minorHAnsi" w:hAnsiTheme="minorHAnsi"/>
                <w:color w:val="000000" w:themeColor="text1"/>
              </w:rPr>
              <w:lastRenderedPageBreak/>
              <w:t>justice sector of Uzbekistan, involving key national stakeholders in strengthening judicial independence through rule of law institutions and bringing citizens closer to the public discussions of issues on court administration and transparency</w:t>
            </w:r>
            <w:r w:rsidRPr="00C631C0">
              <w:rPr>
                <w:rStyle w:val="FootnoteReference"/>
                <w:rFonts w:asciiTheme="minorHAnsi" w:hAnsiTheme="minorHAnsi"/>
                <w:color w:val="000000" w:themeColor="text1"/>
              </w:rPr>
              <w:footnoteReference w:id="24"/>
            </w:r>
            <w:r w:rsidRPr="00C631C0">
              <w:rPr>
                <w:rFonts w:asciiTheme="minorHAnsi" w:hAnsiTheme="minorHAnsi"/>
                <w:color w:val="000000" w:themeColor="text1"/>
              </w:rPr>
              <w:t>.</w:t>
            </w:r>
          </w:p>
          <w:p w14:paraId="696DB53E" w14:textId="77777777" w:rsidR="00D14612" w:rsidRPr="00DC7354" w:rsidRDefault="00D14612" w:rsidP="00A76E16">
            <w:pPr>
              <w:pStyle w:val="BodyText2"/>
              <w:rPr>
                <w:rFonts w:asciiTheme="minorHAnsi" w:hAnsiTheme="minorHAnsi"/>
              </w:rPr>
            </w:pPr>
          </w:p>
        </w:tc>
      </w:tr>
      <w:tr w:rsidR="00D14612" w:rsidRPr="00920DBC" w14:paraId="5948D3FC" w14:textId="77777777" w:rsidTr="00AD2B11">
        <w:tc>
          <w:tcPr>
            <w:tcW w:w="3060" w:type="dxa"/>
            <w:shd w:val="clear" w:color="auto" w:fill="95B3D7" w:themeFill="accent1" w:themeFillTint="99"/>
          </w:tcPr>
          <w:p w14:paraId="0E4A3B0D" w14:textId="5700E730" w:rsidR="00D14612" w:rsidRPr="000823AC" w:rsidRDefault="00402C06" w:rsidP="007E3C44">
            <w:pPr>
              <w:pStyle w:val="BodyText2"/>
              <w:rPr>
                <w:rFonts w:asciiTheme="minorHAnsi" w:hAnsiTheme="minorHAnsi"/>
                <w:b/>
              </w:rPr>
            </w:pPr>
            <w:r>
              <w:rPr>
                <w:rFonts w:asciiTheme="minorHAnsi" w:hAnsiTheme="minorHAnsi"/>
                <w:b/>
              </w:rPr>
              <w:lastRenderedPageBreak/>
              <w:t xml:space="preserve">6. </w:t>
            </w:r>
            <w:r w:rsidRPr="00402C06">
              <w:rPr>
                <w:rFonts w:asciiTheme="minorHAnsi" w:hAnsiTheme="minorHAnsi"/>
                <w:b/>
              </w:rPr>
              <w:t>Strengthened public administration at all levels that exercises efficient, accountable and inclusive governance.</w:t>
            </w:r>
          </w:p>
        </w:tc>
        <w:tc>
          <w:tcPr>
            <w:tcW w:w="1530" w:type="dxa"/>
            <w:gridSpan w:val="2"/>
            <w:shd w:val="clear" w:color="auto" w:fill="auto"/>
          </w:tcPr>
          <w:p w14:paraId="51E0095C" w14:textId="6D2C1784" w:rsidR="00D14612" w:rsidRDefault="00CD1BAC" w:rsidP="007E3C44">
            <w:pPr>
              <w:pStyle w:val="BodyText2"/>
              <w:rPr>
                <w:rFonts w:asciiTheme="minorHAnsi" w:hAnsiTheme="minorHAnsi"/>
              </w:rPr>
            </w:pPr>
            <w:r>
              <w:rPr>
                <w:rFonts w:asciiTheme="minorHAnsi" w:hAnsiTheme="minorHAnsi"/>
              </w:rPr>
              <w:t>$</w:t>
            </w:r>
            <w:r w:rsidR="00A24136">
              <w:rPr>
                <w:rFonts w:asciiTheme="minorHAnsi" w:hAnsiTheme="minorHAnsi"/>
              </w:rPr>
              <w:t>51,592,523</w:t>
            </w:r>
          </w:p>
          <w:p w14:paraId="50C82A1A" w14:textId="670BFC6F" w:rsidR="00CD1BAC" w:rsidRPr="00DC7354" w:rsidRDefault="00CD1BAC" w:rsidP="007E3C44">
            <w:pPr>
              <w:pStyle w:val="BodyText2"/>
              <w:rPr>
                <w:rFonts w:asciiTheme="minorHAnsi" w:hAnsiTheme="minorHAnsi"/>
              </w:rPr>
            </w:pPr>
          </w:p>
        </w:tc>
        <w:tc>
          <w:tcPr>
            <w:tcW w:w="3960" w:type="dxa"/>
            <w:tcBorders>
              <w:left w:val="single" w:sz="4" w:space="0" w:color="auto"/>
            </w:tcBorders>
          </w:tcPr>
          <w:p w14:paraId="06BE351D" w14:textId="77777777" w:rsidR="00D14612" w:rsidRDefault="00E529B2" w:rsidP="00A53350">
            <w:pPr>
              <w:pStyle w:val="BodyText2"/>
              <w:rPr>
                <w:rFonts w:asciiTheme="minorHAnsi" w:hAnsiTheme="minorHAnsi"/>
              </w:rPr>
            </w:pPr>
            <w:r w:rsidRPr="00950B77">
              <w:rPr>
                <w:rFonts w:asciiTheme="minorHAnsi" w:hAnsiTheme="minorHAnsi"/>
              </w:rPr>
              <w:t>Progress in civil service reform</w:t>
            </w:r>
          </w:p>
          <w:p w14:paraId="4A085B2C" w14:textId="77777777" w:rsidR="006531FD" w:rsidRDefault="006531FD" w:rsidP="00A53350">
            <w:pPr>
              <w:pStyle w:val="BodyText2"/>
              <w:rPr>
                <w:rFonts w:asciiTheme="minorHAnsi" w:hAnsiTheme="minorHAnsi"/>
              </w:rPr>
            </w:pPr>
          </w:p>
          <w:p w14:paraId="795E4069" w14:textId="348537B1" w:rsidR="006531FD" w:rsidRPr="00950B77" w:rsidRDefault="006531FD" w:rsidP="006531FD">
            <w:pPr>
              <w:pStyle w:val="BodyText2"/>
              <w:ind w:left="720"/>
              <w:rPr>
                <w:rFonts w:asciiTheme="minorHAnsi" w:hAnsiTheme="minorHAnsi"/>
              </w:rPr>
            </w:pPr>
            <w:r w:rsidRPr="001B5CF2">
              <w:rPr>
                <w:rFonts w:asciiTheme="minorHAnsi" w:hAnsiTheme="minorHAnsi"/>
                <w:i/>
              </w:rPr>
              <w:t xml:space="preserve">(BASELINE 2010: </w:t>
            </w:r>
            <w:r w:rsidRPr="006531FD">
              <w:rPr>
                <w:rFonts w:asciiTheme="minorHAnsi" w:hAnsiTheme="minorHAnsi"/>
                <w:i/>
              </w:rPr>
              <w:t>Comprehensive civil service reform, nor law on public administration adopted</w:t>
            </w:r>
            <w:r w:rsidRPr="001B5CF2">
              <w:rPr>
                <w:rFonts w:asciiTheme="minorHAnsi" w:hAnsiTheme="minorHAnsi"/>
                <w:i/>
              </w:rPr>
              <w:t xml:space="preserve">, TARGET 2015: </w:t>
            </w:r>
            <w:r w:rsidR="00192610" w:rsidRPr="00192610">
              <w:rPr>
                <w:rFonts w:asciiTheme="minorHAnsi" w:hAnsiTheme="minorHAnsi"/>
                <w:i/>
              </w:rPr>
              <w:t>Comprehensive strategy in place for civil service reform and shift towards Results-Based Management</w:t>
            </w:r>
            <w:r w:rsidR="00192610">
              <w:rPr>
                <w:rFonts w:asciiTheme="minorHAnsi" w:hAnsiTheme="minorHAnsi"/>
                <w:i/>
              </w:rPr>
              <w:t>)</w:t>
            </w:r>
          </w:p>
        </w:tc>
        <w:tc>
          <w:tcPr>
            <w:tcW w:w="5490" w:type="dxa"/>
            <w:shd w:val="clear" w:color="auto" w:fill="auto"/>
          </w:tcPr>
          <w:p w14:paraId="555FDA5C" w14:textId="7E0955BE" w:rsidR="00D14612" w:rsidRPr="00920DBC" w:rsidRDefault="001B0C71" w:rsidP="00A53350">
            <w:pPr>
              <w:pStyle w:val="BodyText2"/>
              <w:rPr>
                <w:rFonts w:asciiTheme="minorHAnsi" w:hAnsiTheme="minorHAnsi"/>
                <w:i/>
              </w:rPr>
            </w:pPr>
            <w:r>
              <w:rPr>
                <w:rFonts w:asciiTheme="minorHAnsi" w:hAnsiTheme="minorHAnsi"/>
                <w:i/>
              </w:rPr>
              <w:t xml:space="preserve">By the end of 2014: </w:t>
            </w:r>
            <w:r w:rsidR="00A53350" w:rsidRPr="00A53350">
              <w:rPr>
                <w:rFonts w:asciiTheme="minorHAnsi" w:hAnsiTheme="minorHAnsi"/>
                <w:i/>
              </w:rPr>
              <w:t xml:space="preserve">Inter-Agency Coordination Working Group representing Office of Cabinet of Ministers, deputy ministries, and deputy regional </w:t>
            </w:r>
            <w:proofErr w:type="spellStart"/>
            <w:r w:rsidR="00A53350" w:rsidRPr="00A53350">
              <w:rPr>
                <w:rFonts w:asciiTheme="minorHAnsi" w:hAnsiTheme="minorHAnsi"/>
                <w:i/>
              </w:rPr>
              <w:t>khokims</w:t>
            </w:r>
            <w:proofErr w:type="spellEnd"/>
            <w:r w:rsidR="00A53350" w:rsidRPr="00A53350">
              <w:rPr>
                <w:rFonts w:asciiTheme="minorHAnsi" w:hAnsiTheme="minorHAnsi"/>
                <w:i/>
              </w:rPr>
              <w:t xml:space="preserve"> was approved to create a discussion platform for the policy advice on regional development, accountability of local governments, transparency of locally elected bodies, and roadmap on strengthening the local governance.</w:t>
            </w:r>
          </w:p>
        </w:tc>
      </w:tr>
      <w:tr w:rsidR="00D14612" w:rsidRPr="00845340" w14:paraId="2A2626A0" w14:textId="77777777" w:rsidTr="00AD2B11">
        <w:tc>
          <w:tcPr>
            <w:tcW w:w="14040" w:type="dxa"/>
            <w:gridSpan w:val="5"/>
          </w:tcPr>
          <w:p w14:paraId="4EC66D56" w14:textId="1AD402DD" w:rsidR="00D14612" w:rsidRPr="002967F3" w:rsidRDefault="00D14612" w:rsidP="007E3C44">
            <w:pPr>
              <w:pStyle w:val="BodyText2"/>
              <w:rPr>
                <w:rFonts w:asciiTheme="minorHAnsi" w:hAnsiTheme="minorHAnsi"/>
                <w:color w:val="FF0000"/>
                <w:u w:val="single"/>
              </w:rPr>
            </w:pPr>
          </w:p>
          <w:p w14:paraId="20AB08F4" w14:textId="77777777" w:rsidR="00487182" w:rsidRPr="00487182" w:rsidRDefault="00D14612" w:rsidP="00487182">
            <w:pPr>
              <w:pStyle w:val="BodyText2"/>
              <w:rPr>
                <w:rFonts w:asciiTheme="minorHAnsi" w:hAnsiTheme="minorHAnsi"/>
                <w:color w:val="000000" w:themeColor="text1"/>
              </w:rPr>
            </w:pPr>
            <w:r w:rsidRPr="00487182">
              <w:rPr>
                <w:rFonts w:asciiTheme="minorHAnsi" w:hAnsiTheme="minorHAnsi"/>
                <w:color w:val="000000" w:themeColor="text1"/>
                <w:u w:val="single"/>
              </w:rPr>
              <w:t>CP Outputs</w:t>
            </w:r>
            <w:r w:rsidRPr="00487182">
              <w:rPr>
                <w:rFonts w:asciiTheme="minorHAnsi" w:hAnsiTheme="minorHAnsi"/>
                <w:color w:val="000000" w:themeColor="text1"/>
              </w:rPr>
              <w:t>:</w:t>
            </w:r>
          </w:p>
          <w:p w14:paraId="7C404305" w14:textId="4471063C" w:rsidR="001F029D" w:rsidRPr="00487182" w:rsidRDefault="001F029D" w:rsidP="00050C81">
            <w:pPr>
              <w:pStyle w:val="BodyText2"/>
              <w:numPr>
                <w:ilvl w:val="0"/>
                <w:numId w:val="23"/>
              </w:numPr>
              <w:rPr>
                <w:rFonts w:asciiTheme="minorHAnsi" w:hAnsiTheme="minorHAnsi"/>
                <w:color w:val="FF0000"/>
              </w:rPr>
            </w:pPr>
            <w:r w:rsidRPr="005459FF">
              <w:rPr>
                <w:rFonts w:asciiTheme="minorHAnsi" w:hAnsiTheme="minorHAnsi"/>
                <w:color w:val="000000" w:themeColor="text1"/>
              </w:rPr>
              <w:t xml:space="preserve">Strengthened Government and Parliamentary capacity (legislative, representative and oversight functions) at national and local levels to execute public administration </w:t>
            </w:r>
            <w:r w:rsidRPr="001F029D">
              <w:rPr>
                <w:rFonts w:asciiTheme="minorHAnsi" w:hAnsiTheme="minorHAnsi"/>
                <w:color w:val="000000" w:themeColor="text1"/>
              </w:rPr>
              <w:t>in a more transparent,</w:t>
            </w:r>
            <w:r w:rsidR="00B91B84">
              <w:rPr>
                <w:rFonts w:asciiTheme="minorHAnsi" w:hAnsiTheme="minorHAnsi"/>
                <w:color w:val="000000" w:themeColor="text1"/>
              </w:rPr>
              <w:t xml:space="preserve"> equitable and efficient manner</w:t>
            </w:r>
          </w:p>
          <w:p w14:paraId="04A5BD30" w14:textId="1D2022D9" w:rsidR="006A2F88" w:rsidRDefault="006A2F88" w:rsidP="00050C81">
            <w:pPr>
              <w:pStyle w:val="BodyText2"/>
              <w:numPr>
                <w:ilvl w:val="0"/>
                <w:numId w:val="23"/>
              </w:numPr>
              <w:rPr>
                <w:rFonts w:asciiTheme="minorHAnsi" w:hAnsiTheme="minorHAnsi"/>
                <w:color w:val="000000" w:themeColor="text1"/>
              </w:rPr>
            </w:pPr>
            <w:r w:rsidRPr="006A2F88">
              <w:rPr>
                <w:rFonts w:asciiTheme="minorHAnsi" w:hAnsiTheme="minorHAnsi"/>
                <w:color w:val="000000" w:themeColor="text1"/>
              </w:rPr>
              <w:t>Citizens are better informed about development challenges, policy making and empowered to better participate in decision-making</w:t>
            </w:r>
          </w:p>
          <w:p w14:paraId="3B4AB760" w14:textId="4AAC6F8C" w:rsidR="006A2F88" w:rsidRPr="001F029D" w:rsidRDefault="006A2F88" w:rsidP="00050C81">
            <w:pPr>
              <w:pStyle w:val="BodyText2"/>
              <w:numPr>
                <w:ilvl w:val="0"/>
                <w:numId w:val="23"/>
              </w:numPr>
              <w:rPr>
                <w:rFonts w:asciiTheme="minorHAnsi" w:hAnsiTheme="minorHAnsi"/>
                <w:color w:val="000000" w:themeColor="text1"/>
              </w:rPr>
            </w:pPr>
            <w:r w:rsidRPr="006A2F88">
              <w:rPr>
                <w:rFonts w:asciiTheme="minorHAnsi" w:hAnsiTheme="minorHAnsi"/>
                <w:color w:val="000000" w:themeColor="text1"/>
              </w:rPr>
              <w:t>Improved legislative and institutional environment for equal rights and opportunities for women and men of Uzbekistan.</w:t>
            </w:r>
          </w:p>
          <w:p w14:paraId="4857FFA4" w14:textId="77777777" w:rsidR="001F029D" w:rsidRPr="002967F3" w:rsidRDefault="001F029D" w:rsidP="007E3C44">
            <w:pPr>
              <w:pStyle w:val="BodyText2"/>
              <w:rPr>
                <w:rFonts w:asciiTheme="minorHAnsi" w:hAnsiTheme="minorHAnsi"/>
                <w:color w:val="FF0000"/>
              </w:rPr>
            </w:pPr>
          </w:p>
          <w:p w14:paraId="10470D60" w14:textId="77777777" w:rsidR="00D14612" w:rsidRPr="00483EBE" w:rsidRDefault="00D14612" w:rsidP="007E3C44">
            <w:pPr>
              <w:pStyle w:val="BodyText2"/>
              <w:rPr>
                <w:rFonts w:asciiTheme="minorHAnsi" w:hAnsiTheme="minorHAnsi"/>
                <w:color w:val="000000" w:themeColor="text1"/>
              </w:rPr>
            </w:pPr>
            <w:r w:rsidRPr="00483EBE">
              <w:rPr>
                <w:rFonts w:asciiTheme="minorHAnsi" w:hAnsiTheme="minorHAnsi"/>
                <w:color w:val="000000" w:themeColor="text1"/>
                <w:u w:val="single"/>
              </w:rPr>
              <w:t>Progress and Achievements</w:t>
            </w:r>
            <w:r w:rsidRPr="00483EBE">
              <w:rPr>
                <w:rFonts w:asciiTheme="minorHAnsi" w:hAnsiTheme="minorHAnsi"/>
                <w:color w:val="000000" w:themeColor="text1"/>
              </w:rPr>
              <w:t>:</w:t>
            </w:r>
          </w:p>
          <w:p w14:paraId="40A645A4" w14:textId="2CF79D1C" w:rsidR="00F866F0" w:rsidRPr="00AB66E1" w:rsidRDefault="00F866F0" w:rsidP="00F866F0">
            <w:pPr>
              <w:pStyle w:val="BodyText2"/>
              <w:rPr>
                <w:rFonts w:asciiTheme="minorHAnsi" w:hAnsiTheme="minorHAnsi"/>
                <w:color w:val="000000" w:themeColor="text1"/>
              </w:rPr>
            </w:pPr>
            <w:r w:rsidRPr="00CC2C1A">
              <w:rPr>
                <w:rFonts w:asciiTheme="minorHAnsi" w:hAnsiTheme="minorHAnsi"/>
                <w:color w:val="000000" w:themeColor="text1"/>
              </w:rPr>
              <w:t>Despite the slow progress with the overall civil service reform, UNDP’s support to the Government with the local governance reform and decentralization since 2010 resulted as an establishment of an Inter-Agency Coordination Working Group (ICWG) with the order of Prime Minister</w:t>
            </w:r>
            <w:r w:rsidRPr="00AB66E1">
              <w:rPr>
                <w:rFonts w:asciiTheme="minorHAnsi" w:hAnsiTheme="minorHAnsi"/>
                <w:color w:val="000000" w:themeColor="text1"/>
              </w:rPr>
              <w:t>. ICWG representing state authorities at all levels serves as a platform for strategic policy debate on regional development issues and local governance. UNDP was specifically requested by the ICWG to prepare a Roadmap on decentralization that aims to achieve an optimal allocation of responsibilities and resources between the central authority and the sub-national governments</w:t>
            </w:r>
            <w:r w:rsidRPr="00AB66E1">
              <w:rPr>
                <w:rStyle w:val="FootnoteReference"/>
                <w:rFonts w:asciiTheme="minorHAnsi" w:hAnsiTheme="minorHAnsi"/>
                <w:color w:val="000000" w:themeColor="text1"/>
              </w:rPr>
              <w:footnoteReference w:id="25"/>
            </w:r>
            <w:r w:rsidRPr="00AB66E1">
              <w:rPr>
                <w:rFonts w:asciiTheme="minorHAnsi" w:hAnsiTheme="minorHAnsi"/>
                <w:color w:val="000000" w:themeColor="text1"/>
              </w:rPr>
              <w:t xml:space="preserve">. </w:t>
            </w:r>
          </w:p>
          <w:p w14:paraId="45CA702E" w14:textId="77777777" w:rsidR="00F866F0" w:rsidRPr="00ED5175" w:rsidRDefault="00F866F0" w:rsidP="00F866F0">
            <w:pPr>
              <w:pStyle w:val="BodyText2"/>
              <w:rPr>
                <w:rFonts w:asciiTheme="minorHAnsi" w:hAnsiTheme="minorHAnsi"/>
                <w:color w:val="000000" w:themeColor="text1"/>
              </w:rPr>
            </w:pPr>
          </w:p>
          <w:p w14:paraId="5EFBFC40" w14:textId="71E57609" w:rsidR="00050C81" w:rsidRPr="00F340DD" w:rsidRDefault="00F866F0" w:rsidP="00050C81">
            <w:pPr>
              <w:pStyle w:val="BodyText2"/>
              <w:rPr>
                <w:rFonts w:asciiTheme="minorHAnsi" w:hAnsiTheme="minorHAnsi"/>
                <w:color w:val="000000" w:themeColor="text1"/>
              </w:rPr>
            </w:pPr>
            <w:r w:rsidRPr="00ED5175">
              <w:rPr>
                <w:rFonts w:asciiTheme="minorHAnsi" w:hAnsiTheme="minorHAnsi"/>
                <w:color w:val="000000" w:themeColor="text1"/>
              </w:rPr>
              <w:t>Throughout the programme cycle the e-governance has become increasingly important focus area in the Government’s priority list. In June 2013 the E-governance Master Plan was endorsed by the President. It envisages the reform of public service delivery, greater public accountability, streamlined interoperability among government institutions, and the adoption of a new legislation on E-government. Moreover, the UNDESA report on the state of e-governance development remarks on Uzbekistan’s fast progress towards full compliance with the international e-Governance standards. This came out as a result UNDP’s support in the e-governance area in form of provision of best international expertise, piloting innovative solutions (e.g. One Stop Shops for delivery of public and business services), introduction of UN E-government index criteria for assessment of the ICT implementation in public administration system, and enhancement of the national e-document management system 'E-</w:t>
            </w:r>
            <w:proofErr w:type="spellStart"/>
            <w:r w:rsidRPr="00ED5175">
              <w:rPr>
                <w:rFonts w:asciiTheme="minorHAnsi" w:hAnsiTheme="minorHAnsi"/>
                <w:color w:val="000000" w:themeColor="text1"/>
              </w:rPr>
              <w:t>Hujjat</w:t>
            </w:r>
            <w:proofErr w:type="spellEnd"/>
            <w:r w:rsidRPr="00ED5175">
              <w:rPr>
                <w:rFonts w:asciiTheme="minorHAnsi" w:hAnsiTheme="minorHAnsi"/>
                <w:color w:val="000000" w:themeColor="text1"/>
              </w:rPr>
              <w:t xml:space="preserve">'. </w:t>
            </w:r>
            <w:r w:rsidR="00050C81" w:rsidRPr="00F340DD">
              <w:rPr>
                <w:rFonts w:asciiTheme="minorHAnsi" w:hAnsiTheme="minorHAnsi"/>
                <w:color w:val="000000" w:themeColor="text1"/>
              </w:rPr>
              <w:t xml:space="preserve">To tackle information asymmetry between citizens and government UNDP </w:t>
            </w:r>
            <w:r w:rsidR="00161A27" w:rsidRPr="00F340DD">
              <w:rPr>
                <w:rFonts w:asciiTheme="minorHAnsi" w:hAnsiTheme="minorHAnsi"/>
                <w:color w:val="000000" w:themeColor="text1"/>
              </w:rPr>
              <w:t xml:space="preserve">is gaining a momentum in terms of new initiates </w:t>
            </w:r>
            <w:r w:rsidR="00F0663C" w:rsidRPr="00F340DD">
              <w:rPr>
                <w:rFonts w:asciiTheme="minorHAnsi" w:hAnsiTheme="minorHAnsi"/>
                <w:color w:val="000000" w:themeColor="text1"/>
              </w:rPr>
              <w:t>that draw</w:t>
            </w:r>
            <w:r w:rsidR="00161A27" w:rsidRPr="00F340DD">
              <w:rPr>
                <w:rFonts w:asciiTheme="minorHAnsi" w:hAnsiTheme="minorHAnsi"/>
                <w:color w:val="000000" w:themeColor="text1"/>
              </w:rPr>
              <w:t xml:space="preserve"> on</w:t>
            </w:r>
            <w:r w:rsidR="00F0663C" w:rsidRPr="00F340DD">
              <w:rPr>
                <w:rFonts w:asciiTheme="minorHAnsi" w:hAnsiTheme="minorHAnsi"/>
                <w:color w:val="000000" w:themeColor="text1"/>
              </w:rPr>
              <w:t xml:space="preserve"> global</w:t>
            </w:r>
            <w:r w:rsidR="00161A27" w:rsidRPr="00F340DD">
              <w:rPr>
                <w:rFonts w:asciiTheme="minorHAnsi" w:hAnsiTheme="minorHAnsi"/>
                <w:color w:val="000000" w:themeColor="text1"/>
              </w:rPr>
              <w:t xml:space="preserve"> </w:t>
            </w:r>
            <w:r w:rsidR="00050C81" w:rsidRPr="00F340DD">
              <w:rPr>
                <w:rFonts w:asciiTheme="minorHAnsi" w:hAnsiTheme="minorHAnsi"/>
                <w:color w:val="000000" w:themeColor="text1"/>
              </w:rPr>
              <w:t>Open</w:t>
            </w:r>
            <w:r w:rsidR="00F0663C" w:rsidRPr="00F340DD">
              <w:rPr>
                <w:rFonts w:asciiTheme="minorHAnsi" w:hAnsiTheme="minorHAnsi"/>
                <w:color w:val="000000" w:themeColor="text1"/>
              </w:rPr>
              <w:t xml:space="preserve"> </w:t>
            </w:r>
            <w:r w:rsidR="00F0663C" w:rsidRPr="00F340DD">
              <w:rPr>
                <w:rFonts w:asciiTheme="minorHAnsi" w:hAnsiTheme="minorHAnsi"/>
                <w:color w:val="000000" w:themeColor="text1"/>
              </w:rPr>
              <w:lastRenderedPageBreak/>
              <w:t>Government and Open Data initiatives.</w:t>
            </w:r>
            <w:r w:rsidR="000E3270" w:rsidRPr="00F340DD">
              <w:rPr>
                <w:rFonts w:asciiTheme="minorHAnsi" w:hAnsiTheme="minorHAnsi"/>
                <w:color w:val="000000" w:themeColor="text1"/>
              </w:rPr>
              <w:t xml:space="preserve"> The work around open data</w:t>
            </w:r>
            <w:r w:rsidR="00050C81" w:rsidRPr="00F340DD">
              <w:rPr>
                <w:rFonts w:asciiTheme="minorHAnsi" w:hAnsiTheme="minorHAnsi"/>
                <w:color w:val="000000" w:themeColor="text1"/>
              </w:rPr>
              <w:t xml:space="preserve"> aims to give Uzbek citizens more visibility of the work of government by developing citizens’ participation and promoting access to public data. </w:t>
            </w:r>
            <w:r w:rsidR="000E3270" w:rsidRPr="00F340DD">
              <w:rPr>
                <w:rFonts w:asciiTheme="minorHAnsi" w:hAnsiTheme="minorHAnsi"/>
                <w:color w:val="000000" w:themeColor="text1"/>
              </w:rPr>
              <w:t>UNDP is cooperating with the government to establish a</w:t>
            </w:r>
            <w:r w:rsidR="00050C81" w:rsidRPr="00F340DD">
              <w:rPr>
                <w:rFonts w:asciiTheme="minorHAnsi" w:hAnsiTheme="minorHAnsi"/>
                <w:color w:val="000000" w:themeColor="text1"/>
              </w:rPr>
              <w:t xml:space="preserve"> ne</w:t>
            </w:r>
            <w:r w:rsidR="000E3270" w:rsidRPr="00F340DD">
              <w:rPr>
                <w:rFonts w:asciiTheme="minorHAnsi" w:hAnsiTheme="minorHAnsi"/>
                <w:color w:val="000000" w:themeColor="text1"/>
              </w:rPr>
              <w:t xml:space="preserve">w data.gov.uz website with </w:t>
            </w:r>
            <w:r w:rsidR="00050C81" w:rsidRPr="00F340DD">
              <w:rPr>
                <w:rFonts w:asciiTheme="minorHAnsi" w:hAnsiTheme="minorHAnsi"/>
                <w:color w:val="000000" w:themeColor="text1"/>
              </w:rPr>
              <w:t xml:space="preserve">machine readable datasets </w:t>
            </w:r>
            <w:r w:rsidR="000E3270" w:rsidRPr="00F340DD">
              <w:rPr>
                <w:rFonts w:asciiTheme="minorHAnsi" w:hAnsiTheme="minorHAnsi"/>
                <w:color w:val="000000" w:themeColor="text1"/>
              </w:rPr>
              <w:t>in order to</w:t>
            </w:r>
            <w:r w:rsidR="004C4A4E" w:rsidRPr="00F340DD">
              <w:rPr>
                <w:rFonts w:asciiTheme="minorHAnsi" w:hAnsiTheme="minorHAnsi"/>
                <w:color w:val="000000" w:themeColor="text1"/>
              </w:rPr>
              <w:t xml:space="preserve"> have positive impact on the</w:t>
            </w:r>
            <w:r w:rsidR="000E3270" w:rsidRPr="00F340DD">
              <w:rPr>
                <w:rFonts w:asciiTheme="minorHAnsi" w:hAnsiTheme="minorHAnsi"/>
                <w:color w:val="000000" w:themeColor="text1"/>
              </w:rPr>
              <w:t xml:space="preserve"> increase</w:t>
            </w:r>
            <w:r w:rsidR="004C4A4E" w:rsidRPr="00F340DD">
              <w:rPr>
                <w:rFonts w:asciiTheme="minorHAnsi" w:hAnsiTheme="minorHAnsi"/>
                <w:color w:val="000000" w:themeColor="text1"/>
              </w:rPr>
              <w:t xml:space="preserve">d </w:t>
            </w:r>
            <w:r w:rsidR="00050C81" w:rsidRPr="00F340DD">
              <w:rPr>
                <w:rFonts w:asciiTheme="minorHAnsi" w:hAnsiTheme="minorHAnsi"/>
                <w:color w:val="000000" w:themeColor="text1"/>
              </w:rPr>
              <w:t xml:space="preserve">government accountability, data-based business creation, and cost reduction by efficiency and civic apps. </w:t>
            </w:r>
          </w:p>
          <w:p w14:paraId="0409087B" w14:textId="77777777" w:rsidR="00050C81" w:rsidRPr="00F340DD" w:rsidRDefault="00050C81" w:rsidP="00050C81">
            <w:pPr>
              <w:pStyle w:val="BodyText2"/>
              <w:rPr>
                <w:rFonts w:asciiTheme="minorHAnsi" w:hAnsiTheme="minorHAnsi"/>
                <w:color w:val="000000" w:themeColor="text1"/>
              </w:rPr>
            </w:pPr>
          </w:p>
          <w:p w14:paraId="2972C52B" w14:textId="3A680491" w:rsidR="00F866F0" w:rsidRPr="00AD1259" w:rsidRDefault="00F866F0" w:rsidP="00F866F0">
            <w:pPr>
              <w:pStyle w:val="BodyText2"/>
              <w:rPr>
                <w:rFonts w:asciiTheme="minorHAnsi" w:hAnsiTheme="minorHAnsi"/>
                <w:color w:val="000000" w:themeColor="text1"/>
              </w:rPr>
            </w:pPr>
            <w:r w:rsidRPr="00AD1259">
              <w:rPr>
                <w:rFonts w:asciiTheme="minorHAnsi" w:hAnsiTheme="minorHAnsi"/>
                <w:color w:val="000000" w:themeColor="text1"/>
              </w:rPr>
              <w:t>To create more favorable business environment, the Government of Uzbekistan has adopted the resolution of the Cabinet of Ministers on application of ex-ante regulatory impact assessment of laws, which have impac</w:t>
            </w:r>
            <w:r w:rsidR="008952D0" w:rsidRPr="00AD1259">
              <w:rPr>
                <w:rFonts w:asciiTheme="minorHAnsi" w:hAnsiTheme="minorHAnsi"/>
                <w:color w:val="000000" w:themeColor="text1"/>
              </w:rPr>
              <w:t xml:space="preserve">t on entrepreneurship. UNDP </w:t>
            </w:r>
            <w:r w:rsidRPr="00AD1259">
              <w:rPr>
                <w:rFonts w:asciiTheme="minorHAnsi" w:hAnsiTheme="minorHAnsi"/>
                <w:color w:val="000000" w:themeColor="text1"/>
              </w:rPr>
              <w:t>provided substantial support to</w:t>
            </w:r>
            <w:r w:rsidR="008952D0" w:rsidRPr="00AD1259">
              <w:rPr>
                <w:rFonts w:asciiTheme="minorHAnsi" w:hAnsiTheme="minorHAnsi"/>
                <w:color w:val="000000" w:themeColor="text1"/>
              </w:rPr>
              <w:t xml:space="preserve"> the design of the</w:t>
            </w:r>
            <w:r w:rsidRPr="00AD1259">
              <w:rPr>
                <w:rFonts w:asciiTheme="minorHAnsi" w:hAnsiTheme="minorHAnsi"/>
                <w:color w:val="000000" w:themeColor="text1"/>
              </w:rPr>
              <w:t xml:space="preserve"> resolution to include public participation and public consultation elements.</w:t>
            </w:r>
          </w:p>
          <w:p w14:paraId="3302CFF3" w14:textId="77777777" w:rsidR="00F866F0" w:rsidRDefault="00F866F0" w:rsidP="00F866F0">
            <w:pPr>
              <w:pStyle w:val="BodyText2"/>
              <w:rPr>
                <w:rFonts w:asciiTheme="minorHAnsi" w:hAnsiTheme="minorHAnsi"/>
                <w:color w:val="000000" w:themeColor="text1"/>
              </w:rPr>
            </w:pPr>
          </w:p>
          <w:p w14:paraId="0DF06224" w14:textId="77777777" w:rsidR="00F866F0" w:rsidRPr="004677D7" w:rsidRDefault="00F866F0" w:rsidP="00F866F0">
            <w:pPr>
              <w:pStyle w:val="BodyText2"/>
              <w:rPr>
                <w:rFonts w:asciiTheme="minorHAnsi" w:hAnsiTheme="minorHAnsi"/>
                <w:color w:val="000000" w:themeColor="text1"/>
              </w:rPr>
            </w:pPr>
            <w:r w:rsidRPr="00AD1259">
              <w:rPr>
                <w:rFonts w:asciiTheme="minorHAnsi" w:hAnsiTheme="minorHAnsi"/>
                <w:color w:val="000000" w:themeColor="text1"/>
              </w:rPr>
              <w:t>In the context of rather constrained environment for operations of NGOs, UNDP has supported policy level and piloting efforts to promote public administration and civil society engagement in public oversight and service provision. This has contributed to four important legal documents passed in 2014, improving the quality of governance systems: Law on Social Partnership</w:t>
            </w:r>
            <w:r w:rsidRPr="00AD1259">
              <w:rPr>
                <w:rStyle w:val="FootnoteReference"/>
                <w:rFonts w:asciiTheme="minorHAnsi" w:hAnsiTheme="minorHAnsi"/>
                <w:color w:val="000000" w:themeColor="text1"/>
              </w:rPr>
              <w:footnoteReference w:id="26"/>
            </w:r>
            <w:r w:rsidRPr="00AD1259">
              <w:rPr>
                <w:rFonts w:asciiTheme="minorHAnsi" w:hAnsiTheme="minorHAnsi"/>
                <w:color w:val="000000" w:themeColor="text1"/>
              </w:rPr>
              <w:t>, Law on transparency of government authorities</w:t>
            </w:r>
            <w:r w:rsidRPr="00AD1259">
              <w:rPr>
                <w:rStyle w:val="FootnoteReference"/>
                <w:rFonts w:asciiTheme="minorHAnsi" w:hAnsiTheme="minorHAnsi"/>
                <w:color w:val="000000" w:themeColor="text1"/>
              </w:rPr>
              <w:footnoteReference w:id="27"/>
            </w:r>
            <w:r w:rsidRPr="00AD1259">
              <w:rPr>
                <w:rFonts w:asciiTheme="minorHAnsi" w:hAnsiTheme="minorHAnsi"/>
                <w:color w:val="000000" w:themeColor="text1"/>
              </w:rPr>
              <w:t>, and Resolution on regulatory impact assessment of laws affecting entrepreneurship activities</w:t>
            </w:r>
            <w:r w:rsidRPr="00AD1259">
              <w:rPr>
                <w:rStyle w:val="FootnoteReference"/>
                <w:rFonts w:asciiTheme="minorHAnsi" w:hAnsiTheme="minorHAnsi"/>
                <w:color w:val="000000" w:themeColor="text1"/>
              </w:rPr>
              <w:footnoteReference w:id="28"/>
            </w:r>
            <w:r w:rsidRPr="00AD1259">
              <w:rPr>
                <w:rFonts w:asciiTheme="minorHAnsi" w:hAnsiTheme="minorHAnsi"/>
                <w:color w:val="000000" w:themeColor="text1"/>
              </w:rPr>
              <w:t xml:space="preserve">. In addition, the UNDP-led advocacy efforts and technical support has contributed to the Government efforts to create an enabling </w:t>
            </w:r>
            <w:r w:rsidRPr="004677D7">
              <w:rPr>
                <w:rFonts w:asciiTheme="minorHAnsi" w:hAnsiTheme="minorHAnsi"/>
                <w:color w:val="000000" w:themeColor="text1"/>
              </w:rPr>
              <w:t>environment for NGOs operating in the country</w:t>
            </w:r>
            <w:r w:rsidRPr="004677D7">
              <w:rPr>
                <w:rStyle w:val="FootnoteReference"/>
                <w:rFonts w:asciiTheme="minorHAnsi" w:hAnsiTheme="minorHAnsi"/>
                <w:color w:val="000000" w:themeColor="text1"/>
              </w:rPr>
              <w:footnoteReference w:id="29"/>
            </w:r>
            <w:r w:rsidRPr="004677D7">
              <w:rPr>
                <w:rFonts w:asciiTheme="minorHAnsi" w:hAnsiTheme="minorHAnsi"/>
                <w:color w:val="000000" w:themeColor="text1"/>
              </w:rPr>
              <w:t xml:space="preserve"> reducing NGO registration fees.</w:t>
            </w:r>
          </w:p>
          <w:p w14:paraId="59F1AFC8" w14:textId="77777777" w:rsidR="00F866F0" w:rsidRPr="004677D7" w:rsidRDefault="00F866F0" w:rsidP="00F866F0">
            <w:pPr>
              <w:pStyle w:val="BodyText2"/>
              <w:rPr>
                <w:rFonts w:asciiTheme="minorHAnsi" w:hAnsiTheme="minorHAnsi"/>
                <w:color w:val="000000" w:themeColor="text1"/>
              </w:rPr>
            </w:pPr>
          </w:p>
          <w:p w14:paraId="27F1680B" w14:textId="1F111390" w:rsidR="00F866F0" w:rsidRPr="004677D7" w:rsidRDefault="00F866F0" w:rsidP="00F866F0">
            <w:pPr>
              <w:pStyle w:val="BodyText2"/>
              <w:rPr>
                <w:rFonts w:asciiTheme="minorHAnsi" w:hAnsiTheme="minorHAnsi"/>
                <w:color w:val="000000" w:themeColor="text1"/>
              </w:rPr>
            </w:pPr>
            <w:r w:rsidRPr="004677D7">
              <w:rPr>
                <w:rFonts w:asciiTheme="minorHAnsi" w:hAnsiTheme="minorHAnsi"/>
                <w:color w:val="000000" w:themeColor="text1"/>
              </w:rPr>
              <w:t>UNDP contribute</w:t>
            </w:r>
            <w:r w:rsidR="00853672" w:rsidRPr="004677D7">
              <w:rPr>
                <w:rFonts w:asciiTheme="minorHAnsi" w:hAnsiTheme="minorHAnsi"/>
                <w:color w:val="000000" w:themeColor="text1"/>
              </w:rPr>
              <w:t>d</w:t>
            </w:r>
            <w:r w:rsidRPr="004677D7">
              <w:rPr>
                <w:rFonts w:asciiTheme="minorHAnsi" w:hAnsiTheme="minorHAnsi"/>
                <w:color w:val="000000" w:themeColor="text1"/>
              </w:rPr>
              <w:t xml:space="preserve"> significantly to the development of civic</w:t>
            </w:r>
            <w:r w:rsidR="00AD1259" w:rsidRPr="004677D7">
              <w:rPr>
                <w:rFonts w:asciiTheme="minorHAnsi" w:hAnsiTheme="minorHAnsi"/>
                <w:color w:val="000000" w:themeColor="text1"/>
              </w:rPr>
              <w:t xml:space="preserve"> education curricula </w:t>
            </w:r>
            <w:r w:rsidRPr="004677D7">
              <w:rPr>
                <w:rFonts w:asciiTheme="minorHAnsi" w:hAnsiTheme="minorHAnsi"/>
                <w:color w:val="000000" w:themeColor="text1"/>
              </w:rPr>
              <w:t>for</w:t>
            </w:r>
            <w:r w:rsidR="00AD1259" w:rsidRPr="004677D7">
              <w:rPr>
                <w:rFonts w:asciiTheme="minorHAnsi" w:hAnsiTheme="minorHAnsi"/>
                <w:color w:val="000000" w:themeColor="text1"/>
              </w:rPr>
              <w:t xml:space="preserve"> youth -</w:t>
            </w:r>
            <w:r w:rsidRPr="004677D7">
              <w:rPr>
                <w:rFonts w:asciiTheme="minorHAnsi" w:hAnsiTheme="minorHAnsi"/>
                <w:color w:val="000000" w:themeColor="text1"/>
              </w:rPr>
              <w:t xml:space="preserve"> 8th and 9th grade students</w:t>
            </w:r>
            <w:r w:rsidR="00AD1259" w:rsidRPr="004677D7">
              <w:rPr>
                <w:rFonts w:asciiTheme="minorHAnsi" w:hAnsiTheme="minorHAnsi"/>
                <w:color w:val="000000" w:themeColor="text1"/>
              </w:rPr>
              <w:t>, when the</w:t>
            </w:r>
            <w:r w:rsidRPr="004677D7">
              <w:rPr>
                <w:rFonts w:asciiTheme="minorHAnsi" w:hAnsiTheme="minorHAnsi"/>
                <w:color w:val="000000" w:themeColor="text1"/>
              </w:rPr>
              <w:t xml:space="preserve"> school books “Foundation of Constitutional Law” and “Foundation of State and Law” </w:t>
            </w:r>
            <w:r w:rsidR="00AD1259" w:rsidRPr="004677D7">
              <w:rPr>
                <w:rFonts w:asciiTheme="minorHAnsi" w:hAnsiTheme="minorHAnsi"/>
                <w:color w:val="000000" w:themeColor="text1"/>
              </w:rPr>
              <w:t xml:space="preserve">were </w:t>
            </w:r>
            <w:r w:rsidRPr="004677D7">
              <w:rPr>
                <w:rFonts w:asciiTheme="minorHAnsi" w:hAnsiTheme="minorHAnsi"/>
                <w:color w:val="000000" w:themeColor="text1"/>
              </w:rPr>
              <w:t>pub</w:t>
            </w:r>
            <w:r w:rsidR="00AD1259" w:rsidRPr="004677D7">
              <w:rPr>
                <w:rFonts w:asciiTheme="minorHAnsi" w:hAnsiTheme="minorHAnsi"/>
                <w:color w:val="000000" w:themeColor="text1"/>
              </w:rPr>
              <w:t>lished in 7 local languages to be utilized</w:t>
            </w:r>
            <w:r w:rsidRPr="004677D7">
              <w:rPr>
                <w:rFonts w:asciiTheme="minorHAnsi" w:hAnsiTheme="minorHAnsi"/>
                <w:color w:val="000000" w:themeColor="text1"/>
              </w:rPr>
              <w:t xml:space="preserve"> in around 10,000 schools of Uzbekistan. </w:t>
            </w:r>
          </w:p>
          <w:p w14:paraId="73314669" w14:textId="77777777" w:rsidR="00F866F0" w:rsidRPr="00ED5836" w:rsidRDefault="00F866F0" w:rsidP="00F866F0">
            <w:pPr>
              <w:pStyle w:val="BodyText2"/>
              <w:rPr>
                <w:rFonts w:asciiTheme="minorHAnsi" w:hAnsiTheme="minorHAnsi"/>
                <w:color w:val="000000" w:themeColor="text1"/>
              </w:rPr>
            </w:pPr>
          </w:p>
          <w:p w14:paraId="73CA121F" w14:textId="19AA67BF" w:rsidR="0095197D" w:rsidRPr="000A5E49" w:rsidRDefault="00F866F0" w:rsidP="00D66BE8">
            <w:pPr>
              <w:pStyle w:val="BodyText2"/>
              <w:rPr>
                <w:rFonts w:asciiTheme="minorHAnsi" w:hAnsiTheme="minorHAnsi"/>
                <w:color w:val="000000" w:themeColor="text1"/>
              </w:rPr>
            </w:pPr>
            <w:r w:rsidRPr="00ED5836">
              <w:rPr>
                <w:rFonts w:asciiTheme="minorHAnsi" w:hAnsiTheme="minorHAnsi"/>
                <w:color w:val="000000" w:themeColor="text1"/>
              </w:rPr>
              <w:t>UNDP and Ministry of Labour and Social Protection of Population collaborated on formulating policy paper on gender consideration</w:t>
            </w:r>
            <w:r w:rsidR="0030691C" w:rsidRPr="00ED5836">
              <w:rPr>
                <w:rFonts w:asciiTheme="minorHAnsi" w:hAnsiTheme="minorHAnsi"/>
                <w:color w:val="000000" w:themeColor="text1"/>
              </w:rPr>
              <w:t>s</w:t>
            </w:r>
            <w:r w:rsidRPr="00ED5836">
              <w:rPr>
                <w:rFonts w:asciiTheme="minorHAnsi" w:hAnsiTheme="minorHAnsi"/>
                <w:color w:val="000000" w:themeColor="text1"/>
              </w:rPr>
              <w:t xml:space="preserve"> in </w:t>
            </w:r>
            <w:r w:rsidR="0030691C" w:rsidRPr="00ED5836">
              <w:rPr>
                <w:rFonts w:asciiTheme="minorHAnsi" w:hAnsiTheme="minorHAnsi"/>
                <w:color w:val="000000" w:themeColor="text1"/>
              </w:rPr>
              <w:t>the formulation of employment policies</w:t>
            </w:r>
            <w:r w:rsidRPr="00ED5836">
              <w:rPr>
                <w:rFonts w:asciiTheme="minorHAnsi" w:hAnsiTheme="minorHAnsi"/>
                <w:color w:val="000000" w:themeColor="text1"/>
              </w:rPr>
              <w:t>, evidence based (quantitative research in two pilot regions) recommendations on promoting women in civil service were formulating by UNDP within the framework of partnership with the Cabinet of Ministers.</w:t>
            </w:r>
          </w:p>
        </w:tc>
      </w:tr>
    </w:tbl>
    <w:p w14:paraId="725E519F" w14:textId="77777777" w:rsidR="00D14612" w:rsidRDefault="00D14612">
      <w:pPr>
        <w:pStyle w:val="BodyText2"/>
        <w:rPr>
          <w:rFonts w:ascii="Times New Roman" w:hAnsi="Times New Roman"/>
          <w:sz w:val="24"/>
        </w:rPr>
      </w:pPr>
    </w:p>
    <w:p w14:paraId="4A6BE4BD" w14:textId="77777777" w:rsidR="00D14612" w:rsidRDefault="00D14612">
      <w:pPr>
        <w:pStyle w:val="BodyText2"/>
        <w:rPr>
          <w:rFonts w:ascii="Times New Roman" w:hAnsi="Times New Roman"/>
          <w:sz w:val="24"/>
        </w:rPr>
      </w:pPr>
    </w:p>
    <w:tbl>
      <w:tblPr>
        <w:tblStyle w:val="TableGrid"/>
        <w:tblW w:w="0" w:type="auto"/>
        <w:tblLook w:val="04A0" w:firstRow="1" w:lastRow="0" w:firstColumn="1" w:lastColumn="0" w:noHBand="0" w:noVBand="1"/>
      </w:tblPr>
      <w:tblGrid>
        <w:gridCol w:w="13950"/>
      </w:tblGrid>
      <w:tr w:rsidR="00092B50" w14:paraId="08C2FF0D" w14:textId="77777777" w:rsidTr="00092B50">
        <w:tc>
          <w:tcPr>
            <w:tcW w:w="13950" w:type="dxa"/>
          </w:tcPr>
          <w:p w14:paraId="0FE63CAD" w14:textId="088CB65B" w:rsidR="00794FCF" w:rsidRPr="009E32A1" w:rsidRDefault="00DD11DE" w:rsidP="002F2E22">
            <w:pPr>
              <w:rPr>
                <w:rFonts w:asciiTheme="minorHAnsi" w:hAnsiTheme="minorHAnsi"/>
                <w:b/>
                <w:color w:val="000000" w:themeColor="text1"/>
                <w:sz w:val="20"/>
              </w:rPr>
            </w:pPr>
            <w:r w:rsidRPr="009E32A1">
              <w:rPr>
                <w:rFonts w:asciiTheme="minorHAnsi" w:hAnsiTheme="minorHAnsi"/>
                <w:b/>
                <w:color w:val="000000" w:themeColor="text1"/>
                <w:sz w:val="20"/>
              </w:rPr>
              <w:t>Achievements and Lessons Learned</w:t>
            </w:r>
            <w:r w:rsidR="007F109D" w:rsidRPr="009E32A1">
              <w:rPr>
                <w:rStyle w:val="FootnoteReference"/>
                <w:rFonts w:asciiTheme="minorHAnsi" w:hAnsiTheme="minorHAnsi"/>
                <w:b/>
                <w:color w:val="000000" w:themeColor="text1"/>
                <w:sz w:val="20"/>
              </w:rPr>
              <w:footnoteReference w:id="30"/>
            </w:r>
            <w:r w:rsidRPr="009E32A1">
              <w:rPr>
                <w:rFonts w:asciiTheme="minorHAnsi" w:hAnsiTheme="minorHAnsi"/>
                <w:b/>
                <w:color w:val="000000" w:themeColor="text1"/>
                <w:sz w:val="20"/>
              </w:rPr>
              <w:t>:</w:t>
            </w:r>
          </w:p>
          <w:p w14:paraId="59044845" w14:textId="18F64CB2" w:rsidR="00407538" w:rsidRPr="009E32A1" w:rsidRDefault="00780F54" w:rsidP="00407538">
            <w:pPr>
              <w:rPr>
                <w:rFonts w:asciiTheme="minorHAnsi" w:hAnsiTheme="minorHAnsi"/>
                <w:color w:val="000000" w:themeColor="text1"/>
                <w:sz w:val="20"/>
              </w:rPr>
            </w:pPr>
            <w:r w:rsidRPr="009E32A1">
              <w:rPr>
                <w:rFonts w:asciiTheme="minorHAnsi" w:hAnsiTheme="minorHAnsi"/>
                <w:color w:val="000000" w:themeColor="text1"/>
                <w:sz w:val="20"/>
              </w:rPr>
              <w:t>The evaluations acknowledge</w:t>
            </w:r>
            <w:r w:rsidR="00F01488" w:rsidRPr="009E32A1">
              <w:rPr>
                <w:rFonts w:asciiTheme="minorHAnsi" w:hAnsiTheme="minorHAnsi"/>
                <w:color w:val="000000" w:themeColor="text1"/>
                <w:sz w:val="20"/>
              </w:rPr>
              <w:t xml:space="preserve"> </w:t>
            </w:r>
            <w:r w:rsidR="00405C11" w:rsidRPr="009E32A1">
              <w:rPr>
                <w:rFonts w:asciiTheme="minorHAnsi" w:hAnsiTheme="minorHAnsi"/>
                <w:color w:val="000000" w:themeColor="text1"/>
                <w:sz w:val="20"/>
              </w:rPr>
              <w:t>UNDP</w:t>
            </w:r>
            <w:r w:rsidR="001E28B9" w:rsidRPr="009E32A1">
              <w:rPr>
                <w:rFonts w:asciiTheme="minorHAnsi" w:hAnsiTheme="minorHAnsi"/>
                <w:color w:val="000000" w:themeColor="text1"/>
                <w:sz w:val="20"/>
              </w:rPr>
              <w:t xml:space="preserve"> as</w:t>
            </w:r>
            <w:r w:rsidR="00432691" w:rsidRPr="009E32A1">
              <w:rPr>
                <w:rFonts w:asciiTheme="minorHAnsi" w:hAnsiTheme="minorHAnsi"/>
                <w:color w:val="000000" w:themeColor="text1"/>
                <w:sz w:val="20"/>
              </w:rPr>
              <w:t xml:space="preserve"> one of</w:t>
            </w:r>
            <w:r w:rsidR="005204CB" w:rsidRPr="009E32A1">
              <w:rPr>
                <w:rFonts w:asciiTheme="minorHAnsi" w:hAnsiTheme="minorHAnsi"/>
                <w:color w:val="000000" w:themeColor="text1"/>
                <w:sz w:val="20"/>
              </w:rPr>
              <w:t xml:space="preserve"> the most trusted development partner</w:t>
            </w:r>
            <w:r w:rsidR="00C0637A" w:rsidRPr="009E32A1">
              <w:rPr>
                <w:rFonts w:asciiTheme="minorHAnsi" w:hAnsiTheme="minorHAnsi"/>
                <w:color w:val="000000" w:themeColor="text1"/>
                <w:sz w:val="20"/>
              </w:rPr>
              <w:t>s</w:t>
            </w:r>
            <w:r w:rsidR="00A845C4" w:rsidRPr="009E32A1">
              <w:rPr>
                <w:rFonts w:asciiTheme="minorHAnsi" w:hAnsiTheme="minorHAnsi"/>
                <w:color w:val="000000" w:themeColor="text1"/>
                <w:sz w:val="20"/>
              </w:rPr>
              <w:t xml:space="preserve"> </w:t>
            </w:r>
            <w:r w:rsidR="006111C5" w:rsidRPr="009E32A1">
              <w:rPr>
                <w:rFonts w:asciiTheme="minorHAnsi" w:hAnsiTheme="minorHAnsi"/>
                <w:color w:val="000000" w:themeColor="text1"/>
                <w:sz w:val="20"/>
              </w:rPr>
              <w:t xml:space="preserve">for </w:t>
            </w:r>
            <w:r w:rsidR="005D158D" w:rsidRPr="009E32A1">
              <w:rPr>
                <w:rFonts w:asciiTheme="minorHAnsi" w:hAnsiTheme="minorHAnsi"/>
                <w:color w:val="000000" w:themeColor="text1"/>
                <w:sz w:val="20"/>
              </w:rPr>
              <w:t xml:space="preserve">the Government </w:t>
            </w:r>
            <w:r w:rsidR="006111C5" w:rsidRPr="009E32A1">
              <w:rPr>
                <w:rFonts w:asciiTheme="minorHAnsi" w:hAnsiTheme="minorHAnsi"/>
                <w:color w:val="000000" w:themeColor="text1"/>
                <w:sz w:val="20"/>
              </w:rPr>
              <w:t>in Uzbekistan with</w:t>
            </w:r>
            <w:r w:rsidR="0084166F" w:rsidRPr="009E32A1">
              <w:rPr>
                <w:rFonts w:asciiTheme="minorHAnsi" w:hAnsiTheme="minorHAnsi"/>
                <w:color w:val="000000" w:themeColor="text1"/>
                <w:sz w:val="20"/>
              </w:rPr>
              <w:t xml:space="preserve"> relevant</w:t>
            </w:r>
            <w:r w:rsidR="006111C5" w:rsidRPr="009E32A1">
              <w:rPr>
                <w:rFonts w:asciiTheme="minorHAnsi" w:hAnsiTheme="minorHAnsi"/>
                <w:color w:val="000000" w:themeColor="text1"/>
                <w:sz w:val="20"/>
              </w:rPr>
              <w:t xml:space="preserve"> expertise to provide support</w:t>
            </w:r>
            <w:r w:rsidR="00D84A7B" w:rsidRPr="009E32A1">
              <w:rPr>
                <w:rFonts w:asciiTheme="minorHAnsi" w:hAnsiTheme="minorHAnsi"/>
                <w:color w:val="000000" w:themeColor="text1"/>
                <w:sz w:val="20"/>
              </w:rPr>
              <w:t xml:space="preserve"> at central, subnational</w:t>
            </w:r>
            <w:r w:rsidR="006111C5" w:rsidRPr="009E32A1">
              <w:rPr>
                <w:rFonts w:asciiTheme="minorHAnsi" w:hAnsiTheme="minorHAnsi"/>
                <w:color w:val="000000" w:themeColor="text1"/>
                <w:sz w:val="20"/>
              </w:rPr>
              <w:t>,</w:t>
            </w:r>
            <w:r w:rsidR="00D84A7B" w:rsidRPr="009E32A1">
              <w:rPr>
                <w:rFonts w:asciiTheme="minorHAnsi" w:hAnsiTheme="minorHAnsi"/>
                <w:color w:val="000000" w:themeColor="text1"/>
                <w:sz w:val="20"/>
              </w:rPr>
              <w:t xml:space="preserve"> and local levels</w:t>
            </w:r>
            <w:r w:rsidR="003571FD" w:rsidRPr="009E32A1">
              <w:rPr>
                <w:rFonts w:asciiTheme="minorHAnsi" w:hAnsiTheme="minorHAnsi"/>
                <w:color w:val="000000" w:themeColor="text1"/>
                <w:sz w:val="20"/>
              </w:rPr>
              <w:t>.</w:t>
            </w:r>
            <w:r w:rsidR="00A277F2" w:rsidRPr="009E32A1">
              <w:rPr>
                <w:rFonts w:asciiTheme="minorHAnsi" w:hAnsiTheme="minorHAnsi"/>
                <w:color w:val="000000" w:themeColor="text1"/>
                <w:sz w:val="20"/>
              </w:rPr>
              <w:t xml:space="preserve"> </w:t>
            </w:r>
            <w:r w:rsidR="000F4575" w:rsidRPr="009E32A1">
              <w:rPr>
                <w:rFonts w:asciiTheme="minorHAnsi" w:hAnsiTheme="minorHAnsi"/>
                <w:color w:val="000000" w:themeColor="text1"/>
                <w:sz w:val="20"/>
              </w:rPr>
              <w:t>This is also well reflected in th</w:t>
            </w:r>
            <w:r w:rsidR="00A277F2" w:rsidRPr="009E32A1">
              <w:rPr>
                <w:rFonts w:asciiTheme="minorHAnsi" w:hAnsiTheme="minorHAnsi"/>
                <w:color w:val="000000" w:themeColor="text1"/>
                <w:sz w:val="20"/>
              </w:rPr>
              <w:t>e</w:t>
            </w:r>
            <w:r w:rsidR="00785A63" w:rsidRPr="009E32A1">
              <w:rPr>
                <w:rFonts w:asciiTheme="minorHAnsi" w:hAnsiTheme="minorHAnsi"/>
                <w:color w:val="000000" w:themeColor="text1"/>
                <w:sz w:val="20"/>
              </w:rPr>
              <w:t xml:space="preserve"> project</w:t>
            </w:r>
            <w:r w:rsidR="00A277F2" w:rsidRPr="009E32A1">
              <w:rPr>
                <w:rFonts w:asciiTheme="minorHAnsi" w:hAnsiTheme="minorHAnsi"/>
                <w:color w:val="000000" w:themeColor="text1"/>
                <w:sz w:val="20"/>
              </w:rPr>
              <w:t xml:space="preserve"> evaluations conducted since the beginn</w:t>
            </w:r>
            <w:r w:rsidR="00D11FE7" w:rsidRPr="009E32A1">
              <w:rPr>
                <w:rFonts w:asciiTheme="minorHAnsi" w:hAnsiTheme="minorHAnsi"/>
                <w:color w:val="000000" w:themeColor="text1"/>
                <w:sz w:val="20"/>
              </w:rPr>
              <w:t xml:space="preserve">ing of the programming cycle recognizing </w:t>
            </w:r>
            <w:r w:rsidR="00A277F2" w:rsidRPr="009E32A1">
              <w:rPr>
                <w:rFonts w:asciiTheme="minorHAnsi" w:hAnsiTheme="minorHAnsi"/>
                <w:color w:val="000000" w:themeColor="text1"/>
                <w:sz w:val="20"/>
              </w:rPr>
              <w:t>the</w:t>
            </w:r>
            <w:r w:rsidR="003571FD" w:rsidRPr="009E32A1">
              <w:rPr>
                <w:rFonts w:asciiTheme="minorHAnsi" w:hAnsiTheme="minorHAnsi"/>
                <w:color w:val="000000" w:themeColor="text1"/>
                <w:sz w:val="20"/>
              </w:rPr>
              <w:t xml:space="preserve"> overall</w:t>
            </w:r>
            <w:r w:rsidR="00A277F2" w:rsidRPr="009E32A1">
              <w:rPr>
                <w:rFonts w:asciiTheme="minorHAnsi" w:hAnsiTheme="minorHAnsi"/>
                <w:color w:val="000000" w:themeColor="text1"/>
                <w:sz w:val="20"/>
              </w:rPr>
              <w:t xml:space="preserve"> </w:t>
            </w:r>
            <w:r w:rsidR="005D437C" w:rsidRPr="009E32A1">
              <w:rPr>
                <w:rFonts w:asciiTheme="minorHAnsi" w:hAnsiTheme="minorHAnsi"/>
                <w:color w:val="000000" w:themeColor="text1"/>
                <w:sz w:val="20"/>
              </w:rPr>
              <w:t>satisfactory performance</w:t>
            </w:r>
            <w:r w:rsidR="00C14AD8" w:rsidRPr="009E32A1">
              <w:rPr>
                <w:rFonts w:asciiTheme="minorHAnsi" w:hAnsiTheme="minorHAnsi"/>
                <w:color w:val="000000" w:themeColor="text1"/>
                <w:sz w:val="20"/>
              </w:rPr>
              <w:t xml:space="preserve"> and relevance</w:t>
            </w:r>
            <w:r w:rsidR="00A277F2" w:rsidRPr="009E32A1">
              <w:rPr>
                <w:rFonts w:asciiTheme="minorHAnsi" w:hAnsiTheme="minorHAnsi"/>
                <w:color w:val="000000" w:themeColor="text1"/>
                <w:sz w:val="20"/>
              </w:rPr>
              <w:t xml:space="preserve"> of </w:t>
            </w:r>
            <w:r w:rsidR="00693CAB" w:rsidRPr="009E32A1">
              <w:rPr>
                <w:rFonts w:asciiTheme="minorHAnsi" w:hAnsiTheme="minorHAnsi"/>
                <w:color w:val="000000" w:themeColor="text1"/>
                <w:sz w:val="20"/>
              </w:rPr>
              <w:t xml:space="preserve">the </w:t>
            </w:r>
            <w:r w:rsidR="00A277F2" w:rsidRPr="009E32A1">
              <w:rPr>
                <w:rFonts w:asciiTheme="minorHAnsi" w:hAnsiTheme="minorHAnsi"/>
                <w:color w:val="000000" w:themeColor="text1"/>
                <w:sz w:val="20"/>
              </w:rPr>
              <w:t xml:space="preserve">UNDP initiatives in Uzbekistan. </w:t>
            </w:r>
          </w:p>
          <w:p w14:paraId="0FC84CCA" w14:textId="77777777" w:rsidR="00C30E5C" w:rsidRPr="004358A8" w:rsidRDefault="00C30E5C" w:rsidP="00407538">
            <w:pPr>
              <w:rPr>
                <w:rFonts w:asciiTheme="minorHAnsi" w:hAnsiTheme="minorHAnsi"/>
                <w:color w:val="00B050"/>
                <w:sz w:val="20"/>
              </w:rPr>
            </w:pPr>
          </w:p>
          <w:p w14:paraId="6EA36725" w14:textId="6147EE65" w:rsidR="0035791F" w:rsidRPr="009E32A1" w:rsidRDefault="00381FDE" w:rsidP="002F2E22">
            <w:pPr>
              <w:rPr>
                <w:rFonts w:asciiTheme="minorHAnsi" w:hAnsiTheme="minorHAnsi"/>
                <w:color w:val="000000" w:themeColor="text1"/>
                <w:sz w:val="20"/>
              </w:rPr>
            </w:pPr>
            <w:r w:rsidRPr="009E32A1">
              <w:rPr>
                <w:rFonts w:asciiTheme="minorHAnsi" w:hAnsiTheme="minorHAnsi"/>
                <w:color w:val="000000" w:themeColor="text1"/>
                <w:sz w:val="20"/>
              </w:rPr>
              <w:t>The major</w:t>
            </w:r>
            <w:r w:rsidR="001B019A" w:rsidRPr="009E32A1">
              <w:rPr>
                <w:rFonts w:asciiTheme="minorHAnsi" w:hAnsiTheme="minorHAnsi"/>
                <w:color w:val="000000" w:themeColor="text1"/>
                <w:sz w:val="20"/>
              </w:rPr>
              <w:t xml:space="preserve"> achievements </w:t>
            </w:r>
            <w:r w:rsidR="001F3C09" w:rsidRPr="009E32A1">
              <w:rPr>
                <w:rFonts w:asciiTheme="minorHAnsi" w:hAnsiTheme="minorHAnsi"/>
                <w:color w:val="000000" w:themeColor="text1"/>
                <w:sz w:val="20"/>
              </w:rPr>
              <w:t>acknowledged by the evaluations</w:t>
            </w:r>
            <w:r w:rsidR="006A6592" w:rsidRPr="009E32A1">
              <w:rPr>
                <w:rFonts w:asciiTheme="minorHAnsi" w:hAnsiTheme="minorHAnsi"/>
                <w:color w:val="000000" w:themeColor="text1"/>
                <w:sz w:val="20"/>
              </w:rPr>
              <w:t xml:space="preserve"> concerning the Environment and Energy portfolio</w:t>
            </w:r>
            <w:r w:rsidR="001F3C09" w:rsidRPr="009E32A1">
              <w:rPr>
                <w:rFonts w:asciiTheme="minorHAnsi" w:hAnsiTheme="minorHAnsi"/>
                <w:color w:val="000000" w:themeColor="text1"/>
                <w:sz w:val="20"/>
              </w:rPr>
              <w:t xml:space="preserve"> </w:t>
            </w:r>
            <w:r w:rsidR="00414F87" w:rsidRPr="009E32A1">
              <w:rPr>
                <w:rFonts w:asciiTheme="minorHAnsi" w:hAnsiTheme="minorHAnsi"/>
                <w:color w:val="000000" w:themeColor="text1"/>
                <w:sz w:val="20"/>
              </w:rPr>
              <w:t xml:space="preserve">are </w:t>
            </w:r>
            <w:r w:rsidR="009B2486" w:rsidRPr="009E32A1">
              <w:rPr>
                <w:rFonts w:asciiTheme="minorHAnsi" w:hAnsiTheme="minorHAnsi"/>
                <w:color w:val="000000" w:themeColor="text1"/>
                <w:sz w:val="20"/>
              </w:rPr>
              <w:t xml:space="preserve">related to </w:t>
            </w:r>
            <w:r w:rsidR="00245F99" w:rsidRPr="009E32A1">
              <w:rPr>
                <w:rFonts w:asciiTheme="minorHAnsi" w:hAnsiTheme="minorHAnsi"/>
                <w:color w:val="000000" w:themeColor="text1"/>
                <w:sz w:val="20"/>
              </w:rPr>
              <w:t xml:space="preserve">the </w:t>
            </w:r>
            <w:r w:rsidR="001F3C09" w:rsidRPr="009E32A1">
              <w:rPr>
                <w:rFonts w:asciiTheme="minorHAnsi" w:hAnsiTheme="minorHAnsi"/>
                <w:color w:val="000000" w:themeColor="text1"/>
                <w:sz w:val="20"/>
              </w:rPr>
              <w:t>protected areas management</w:t>
            </w:r>
            <w:r w:rsidR="00694869" w:rsidRPr="009E32A1">
              <w:rPr>
                <w:rFonts w:asciiTheme="minorHAnsi" w:hAnsiTheme="minorHAnsi"/>
                <w:color w:val="000000" w:themeColor="text1"/>
                <w:sz w:val="20"/>
              </w:rPr>
              <w:t xml:space="preserve"> and systems</w:t>
            </w:r>
            <w:r w:rsidR="001F3C09" w:rsidRPr="009E32A1">
              <w:rPr>
                <w:rFonts w:asciiTheme="minorHAnsi" w:hAnsiTheme="minorHAnsi"/>
                <w:color w:val="000000" w:themeColor="text1"/>
                <w:sz w:val="20"/>
              </w:rPr>
              <w:t>,</w:t>
            </w:r>
            <w:r w:rsidR="005F3280" w:rsidRPr="009E32A1">
              <w:rPr>
                <w:rFonts w:asciiTheme="minorHAnsi" w:hAnsiTheme="minorHAnsi"/>
                <w:color w:val="000000" w:themeColor="text1"/>
                <w:sz w:val="20"/>
              </w:rPr>
              <w:t xml:space="preserve"> </w:t>
            </w:r>
            <w:r w:rsidR="002B395D" w:rsidRPr="009E32A1">
              <w:rPr>
                <w:rFonts w:asciiTheme="minorHAnsi" w:hAnsiTheme="minorHAnsi"/>
                <w:color w:val="000000" w:themeColor="text1"/>
                <w:sz w:val="20"/>
              </w:rPr>
              <w:t>Rio C</w:t>
            </w:r>
            <w:r w:rsidR="005F3280" w:rsidRPr="009E32A1">
              <w:rPr>
                <w:rFonts w:asciiTheme="minorHAnsi" w:hAnsiTheme="minorHAnsi"/>
                <w:color w:val="000000" w:themeColor="text1"/>
                <w:sz w:val="20"/>
              </w:rPr>
              <w:t xml:space="preserve">onvention implementation, </w:t>
            </w:r>
            <w:r w:rsidR="009B2486" w:rsidRPr="009E32A1">
              <w:rPr>
                <w:rFonts w:asciiTheme="minorHAnsi" w:hAnsiTheme="minorHAnsi"/>
                <w:color w:val="000000" w:themeColor="text1"/>
                <w:sz w:val="20"/>
              </w:rPr>
              <w:t xml:space="preserve">and </w:t>
            </w:r>
            <w:r w:rsidR="00DE04FE" w:rsidRPr="009E32A1">
              <w:rPr>
                <w:rFonts w:asciiTheme="minorHAnsi" w:hAnsiTheme="minorHAnsi"/>
                <w:color w:val="000000" w:themeColor="text1"/>
                <w:sz w:val="20"/>
              </w:rPr>
              <w:t xml:space="preserve">ecosystem stability in </w:t>
            </w:r>
            <w:r w:rsidR="00D31AAC" w:rsidRPr="009E32A1">
              <w:rPr>
                <w:rFonts w:asciiTheme="minorHAnsi" w:hAnsiTheme="minorHAnsi"/>
                <w:color w:val="000000" w:themeColor="text1"/>
                <w:sz w:val="20"/>
              </w:rPr>
              <w:t>vulnerable areas</w:t>
            </w:r>
            <w:r w:rsidR="009B2486" w:rsidRPr="009E32A1">
              <w:rPr>
                <w:rFonts w:asciiTheme="minorHAnsi" w:hAnsiTheme="minorHAnsi"/>
                <w:color w:val="000000" w:themeColor="text1"/>
                <w:sz w:val="20"/>
              </w:rPr>
              <w:t>.</w:t>
            </w:r>
            <w:r w:rsidR="005877A7" w:rsidRPr="009E32A1">
              <w:rPr>
                <w:rFonts w:asciiTheme="minorHAnsi" w:hAnsiTheme="minorHAnsi"/>
                <w:color w:val="000000" w:themeColor="text1"/>
                <w:sz w:val="20"/>
              </w:rPr>
              <w:t xml:space="preserve"> </w:t>
            </w:r>
            <w:r w:rsidR="00C859A8" w:rsidRPr="009E32A1">
              <w:rPr>
                <w:rFonts w:asciiTheme="minorHAnsi" w:hAnsiTheme="minorHAnsi"/>
                <w:color w:val="000000" w:themeColor="text1"/>
                <w:sz w:val="20"/>
              </w:rPr>
              <w:t>U</w:t>
            </w:r>
            <w:r w:rsidR="008A670A" w:rsidRPr="009E32A1">
              <w:rPr>
                <w:rFonts w:asciiTheme="minorHAnsi" w:hAnsiTheme="minorHAnsi"/>
                <w:color w:val="000000" w:themeColor="text1"/>
                <w:sz w:val="20"/>
              </w:rPr>
              <w:t>NDP has a</w:t>
            </w:r>
            <w:r w:rsidR="00E903A9" w:rsidRPr="009E32A1">
              <w:rPr>
                <w:rFonts w:asciiTheme="minorHAnsi" w:hAnsiTheme="minorHAnsi"/>
                <w:color w:val="000000" w:themeColor="text1"/>
                <w:sz w:val="20"/>
              </w:rPr>
              <w:t xml:space="preserve"> </w:t>
            </w:r>
            <w:r w:rsidR="008A670A" w:rsidRPr="009E32A1">
              <w:rPr>
                <w:rFonts w:asciiTheme="minorHAnsi" w:hAnsiTheme="minorHAnsi"/>
                <w:color w:val="000000" w:themeColor="text1"/>
                <w:sz w:val="20"/>
              </w:rPr>
              <w:t>well-established inclusive</w:t>
            </w:r>
            <w:r w:rsidR="004E65DE" w:rsidRPr="009E32A1">
              <w:rPr>
                <w:rFonts w:asciiTheme="minorHAnsi" w:hAnsiTheme="minorHAnsi"/>
                <w:color w:val="000000" w:themeColor="text1"/>
                <w:sz w:val="20"/>
              </w:rPr>
              <w:t xml:space="preserve"> </w:t>
            </w:r>
            <w:r w:rsidR="00E903A9" w:rsidRPr="009E32A1">
              <w:rPr>
                <w:rFonts w:asciiTheme="minorHAnsi" w:hAnsiTheme="minorHAnsi"/>
                <w:color w:val="000000" w:themeColor="text1"/>
                <w:sz w:val="20"/>
              </w:rPr>
              <w:t>partnership</w:t>
            </w:r>
            <w:r w:rsidR="00E43309" w:rsidRPr="009E32A1">
              <w:rPr>
                <w:rFonts w:asciiTheme="minorHAnsi" w:hAnsiTheme="minorHAnsi"/>
                <w:color w:val="000000" w:themeColor="text1"/>
                <w:sz w:val="20"/>
              </w:rPr>
              <w:t xml:space="preserve"> with the </w:t>
            </w:r>
            <w:r w:rsidR="004E65DE" w:rsidRPr="009E32A1">
              <w:rPr>
                <w:rFonts w:asciiTheme="minorHAnsi" w:hAnsiTheme="minorHAnsi"/>
                <w:color w:val="000000" w:themeColor="text1"/>
                <w:sz w:val="20"/>
              </w:rPr>
              <w:t>government</w:t>
            </w:r>
            <w:r w:rsidR="00E903A9" w:rsidRPr="009E32A1">
              <w:rPr>
                <w:rFonts w:asciiTheme="minorHAnsi" w:hAnsiTheme="minorHAnsi"/>
                <w:color w:val="000000" w:themeColor="text1"/>
                <w:sz w:val="20"/>
              </w:rPr>
              <w:t xml:space="preserve"> particularly </w:t>
            </w:r>
            <w:r w:rsidR="00F14B80" w:rsidRPr="009E32A1">
              <w:rPr>
                <w:rFonts w:asciiTheme="minorHAnsi" w:hAnsiTheme="minorHAnsi"/>
                <w:color w:val="000000" w:themeColor="text1"/>
                <w:sz w:val="20"/>
              </w:rPr>
              <w:t>in the field of environment w</w:t>
            </w:r>
            <w:r w:rsidR="00EA4224" w:rsidRPr="009E32A1">
              <w:rPr>
                <w:rFonts w:asciiTheme="minorHAnsi" w:hAnsiTheme="minorHAnsi"/>
                <w:color w:val="000000" w:themeColor="text1"/>
                <w:sz w:val="20"/>
              </w:rPr>
              <w:t>h</w:t>
            </w:r>
            <w:r w:rsidR="00F14B80" w:rsidRPr="009E32A1">
              <w:rPr>
                <w:rFonts w:asciiTheme="minorHAnsi" w:hAnsiTheme="minorHAnsi"/>
                <w:color w:val="000000" w:themeColor="text1"/>
                <w:sz w:val="20"/>
              </w:rPr>
              <w:t>ich</w:t>
            </w:r>
            <w:r w:rsidR="00E903A9" w:rsidRPr="009E32A1">
              <w:rPr>
                <w:rFonts w:asciiTheme="minorHAnsi" w:hAnsiTheme="minorHAnsi"/>
                <w:color w:val="000000" w:themeColor="text1"/>
                <w:sz w:val="20"/>
              </w:rPr>
              <w:t xml:space="preserve"> </w:t>
            </w:r>
            <w:r w:rsidR="009E32A1">
              <w:rPr>
                <w:rFonts w:asciiTheme="minorHAnsi" w:hAnsiTheme="minorHAnsi"/>
                <w:color w:val="000000" w:themeColor="text1"/>
                <w:sz w:val="20"/>
              </w:rPr>
              <w:t xml:space="preserve">has advanced </w:t>
            </w:r>
            <w:r w:rsidR="00ED5836">
              <w:rPr>
                <w:rFonts w:asciiTheme="minorHAnsi" w:hAnsiTheme="minorHAnsi"/>
                <w:color w:val="000000" w:themeColor="text1"/>
                <w:sz w:val="20"/>
              </w:rPr>
              <w:t xml:space="preserve">the </w:t>
            </w:r>
            <w:r w:rsidR="00E903A9" w:rsidRPr="009E32A1">
              <w:rPr>
                <w:rFonts w:asciiTheme="minorHAnsi" w:hAnsiTheme="minorHAnsi"/>
                <w:color w:val="000000" w:themeColor="text1"/>
                <w:sz w:val="20"/>
              </w:rPr>
              <w:t xml:space="preserve">progress </w:t>
            </w:r>
            <w:r w:rsidR="00626A54" w:rsidRPr="009E32A1">
              <w:rPr>
                <w:rFonts w:asciiTheme="minorHAnsi" w:hAnsiTheme="minorHAnsi"/>
                <w:color w:val="000000" w:themeColor="text1"/>
                <w:sz w:val="20"/>
              </w:rPr>
              <w:t>t</w:t>
            </w:r>
            <w:r w:rsidR="00C859A8" w:rsidRPr="009E32A1">
              <w:rPr>
                <w:rFonts w:asciiTheme="minorHAnsi" w:hAnsiTheme="minorHAnsi"/>
                <w:color w:val="000000" w:themeColor="text1"/>
                <w:sz w:val="20"/>
              </w:rPr>
              <w:t>owards programmatic targets</w:t>
            </w:r>
            <w:r w:rsidR="00626A54" w:rsidRPr="009E32A1">
              <w:rPr>
                <w:rFonts w:asciiTheme="minorHAnsi" w:hAnsiTheme="minorHAnsi"/>
                <w:color w:val="000000" w:themeColor="text1"/>
                <w:sz w:val="20"/>
              </w:rPr>
              <w:t>.</w:t>
            </w:r>
            <w:r w:rsidR="00804083" w:rsidRPr="009E32A1">
              <w:rPr>
                <w:rFonts w:asciiTheme="minorHAnsi" w:hAnsiTheme="minorHAnsi"/>
                <w:color w:val="000000" w:themeColor="text1"/>
                <w:sz w:val="20"/>
              </w:rPr>
              <w:t xml:space="preserve"> Nevertheless some of the important lessons learned </w:t>
            </w:r>
            <w:r w:rsidR="00D43F14">
              <w:rPr>
                <w:rFonts w:asciiTheme="minorHAnsi" w:hAnsiTheme="minorHAnsi"/>
                <w:color w:val="000000" w:themeColor="text1"/>
                <w:sz w:val="20"/>
              </w:rPr>
              <w:t>concern</w:t>
            </w:r>
            <w:r w:rsidR="008E26D5">
              <w:rPr>
                <w:rFonts w:asciiTheme="minorHAnsi" w:hAnsiTheme="minorHAnsi"/>
                <w:color w:val="000000" w:themeColor="text1"/>
                <w:sz w:val="20"/>
              </w:rPr>
              <w:t xml:space="preserve">ing </w:t>
            </w:r>
            <w:r w:rsidR="008E26D5">
              <w:rPr>
                <w:rFonts w:asciiTheme="minorHAnsi" w:hAnsiTheme="minorHAnsi"/>
                <w:color w:val="000000" w:themeColor="text1"/>
                <w:sz w:val="20"/>
              </w:rPr>
              <w:lastRenderedPageBreak/>
              <w:t xml:space="preserve">the environment sector </w:t>
            </w:r>
            <w:r w:rsidR="00804083" w:rsidRPr="009E32A1">
              <w:rPr>
                <w:rFonts w:asciiTheme="minorHAnsi" w:hAnsiTheme="minorHAnsi"/>
                <w:color w:val="000000" w:themeColor="text1"/>
                <w:sz w:val="20"/>
              </w:rPr>
              <w:t>are related to overly ambitious pro</w:t>
            </w:r>
            <w:r w:rsidR="00AD6771" w:rsidRPr="009E32A1">
              <w:rPr>
                <w:rFonts w:asciiTheme="minorHAnsi" w:hAnsiTheme="minorHAnsi"/>
                <w:color w:val="000000" w:themeColor="text1"/>
                <w:sz w:val="20"/>
              </w:rPr>
              <w:t xml:space="preserve">ject </w:t>
            </w:r>
            <w:r w:rsidR="0076441F" w:rsidRPr="009E32A1">
              <w:rPr>
                <w:rFonts w:asciiTheme="minorHAnsi" w:hAnsiTheme="minorHAnsi"/>
                <w:color w:val="000000" w:themeColor="text1"/>
                <w:sz w:val="20"/>
              </w:rPr>
              <w:t>design and target settings, as well as</w:t>
            </w:r>
            <w:r w:rsidR="00AD6771" w:rsidRPr="009E32A1">
              <w:rPr>
                <w:rFonts w:asciiTheme="minorHAnsi" w:hAnsiTheme="minorHAnsi"/>
                <w:color w:val="000000" w:themeColor="text1"/>
                <w:sz w:val="20"/>
              </w:rPr>
              <w:t xml:space="preserve"> limited sustainability</w:t>
            </w:r>
            <w:r w:rsidR="002F1193" w:rsidRPr="009E32A1">
              <w:rPr>
                <w:rFonts w:asciiTheme="minorHAnsi" w:hAnsiTheme="minorHAnsi"/>
                <w:color w:val="000000" w:themeColor="text1"/>
                <w:sz w:val="20"/>
              </w:rPr>
              <w:t xml:space="preserve"> of some of the </w:t>
            </w:r>
            <w:r w:rsidR="00B27D4C" w:rsidRPr="009E32A1">
              <w:rPr>
                <w:rFonts w:asciiTheme="minorHAnsi" w:hAnsiTheme="minorHAnsi"/>
                <w:color w:val="000000" w:themeColor="text1"/>
                <w:sz w:val="20"/>
              </w:rPr>
              <w:t>initiatives</w:t>
            </w:r>
            <w:r w:rsidR="00AD6771" w:rsidRPr="009E32A1">
              <w:rPr>
                <w:rFonts w:asciiTheme="minorHAnsi" w:hAnsiTheme="minorHAnsi"/>
                <w:color w:val="000000" w:themeColor="text1"/>
                <w:sz w:val="20"/>
              </w:rPr>
              <w:t>.</w:t>
            </w:r>
            <w:r w:rsidR="00804083" w:rsidRPr="009E32A1">
              <w:rPr>
                <w:rFonts w:asciiTheme="minorHAnsi" w:hAnsiTheme="minorHAnsi"/>
                <w:color w:val="000000" w:themeColor="text1"/>
                <w:sz w:val="20"/>
              </w:rPr>
              <w:t xml:space="preserve"> </w:t>
            </w:r>
          </w:p>
          <w:p w14:paraId="05BB1D78" w14:textId="77777777" w:rsidR="00371684" w:rsidRPr="004358A8" w:rsidRDefault="00371684" w:rsidP="002F2E22">
            <w:pPr>
              <w:rPr>
                <w:rFonts w:asciiTheme="minorHAnsi" w:hAnsiTheme="minorHAnsi"/>
                <w:color w:val="00B050"/>
                <w:sz w:val="20"/>
              </w:rPr>
            </w:pPr>
          </w:p>
          <w:p w14:paraId="4961EE6B" w14:textId="2D218014" w:rsidR="006666EC" w:rsidRPr="00EE36DD" w:rsidRDefault="00C34869" w:rsidP="006666EC">
            <w:pPr>
              <w:rPr>
                <w:rFonts w:asciiTheme="minorHAnsi" w:hAnsiTheme="minorHAnsi"/>
                <w:color w:val="000000" w:themeColor="text1"/>
                <w:sz w:val="20"/>
              </w:rPr>
            </w:pPr>
            <w:r>
              <w:rPr>
                <w:rFonts w:asciiTheme="minorHAnsi" w:hAnsiTheme="minorHAnsi"/>
                <w:color w:val="000000" w:themeColor="text1"/>
                <w:sz w:val="20"/>
              </w:rPr>
              <w:t>P</w:t>
            </w:r>
            <w:r w:rsidR="006C551B" w:rsidRPr="004B4AC0">
              <w:rPr>
                <w:rFonts w:asciiTheme="minorHAnsi" w:hAnsiTheme="minorHAnsi"/>
                <w:color w:val="000000" w:themeColor="text1"/>
                <w:sz w:val="20"/>
              </w:rPr>
              <w:t xml:space="preserve">rogrammatic portfolio on Democratic Governance </w:t>
            </w:r>
            <w:r w:rsidR="003A0C11" w:rsidRPr="004B4AC0">
              <w:rPr>
                <w:rFonts w:asciiTheme="minorHAnsi" w:hAnsiTheme="minorHAnsi"/>
                <w:color w:val="000000" w:themeColor="text1"/>
                <w:sz w:val="20"/>
              </w:rPr>
              <w:t xml:space="preserve">is recognized as the </w:t>
            </w:r>
            <w:r w:rsidR="000A1D3E" w:rsidRPr="004B4AC0">
              <w:rPr>
                <w:rFonts w:asciiTheme="minorHAnsi" w:hAnsiTheme="minorHAnsi"/>
                <w:color w:val="000000" w:themeColor="text1"/>
                <w:sz w:val="20"/>
              </w:rPr>
              <w:t>most diverse and dynamic</w:t>
            </w:r>
            <w:r w:rsidR="00C06321" w:rsidRPr="004B4AC0">
              <w:rPr>
                <w:rFonts w:asciiTheme="minorHAnsi" w:hAnsiTheme="minorHAnsi"/>
                <w:color w:val="000000" w:themeColor="text1"/>
                <w:sz w:val="20"/>
              </w:rPr>
              <w:t xml:space="preserve"> are</w:t>
            </w:r>
            <w:r w:rsidR="004864A2" w:rsidRPr="004B4AC0">
              <w:rPr>
                <w:rFonts w:asciiTheme="minorHAnsi" w:hAnsiTheme="minorHAnsi"/>
                <w:color w:val="000000" w:themeColor="text1"/>
                <w:sz w:val="20"/>
              </w:rPr>
              <w:t>a</w:t>
            </w:r>
            <w:r w:rsidR="00C06321" w:rsidRPr="004B4AC0">
              <w:rPr>
                <w:rFonts w:asciiTheme="minorHAnsi" w:hAnsiTheme="minorHAnsi"/>
                <w:color w:val="000000" w:themeColor="text1"/>
                <w:sz w:val="20"/>
              </w:rPr>
              <w:t xml:space="preserve"> of </w:t>
            </w:r>
            <w:r w:rsidR="00F06BA7" w:rsidRPr="004B4AC0">
              <w:rPr>
                <w:rFonts w:asciiTheme="minorHAnsi" w:hAnsiTheme="minorHAnsi"/>
                <w:color w:val="000000" w:themeColor="text1"/>
                <w:sz w:val="20"/>
              </w:rPr>
              <w:t xml:space="preserve">UNDP’s </w:t>
            </w:r>
            <w:r w:rsidR="00C06321" w:rsidRPr="004B4AC0">
              <w:rPr>
                <w:rFonts w:asciiTheme="minorHAnsi" w:hAnsiTheme="minorHAnsi"/>
                <w:color w:val="000000" w:themeColor="text1"/>
                <w:sz w:val="20"/>
              </w:rPr>
              <w:t>work</w:t>
            </w:r>
            <w:r w:rsidR="000A1D3E" w:rsidRPr="004B4AC0">
              <w:rPr>
                <w:rFonts w:asciiTheme="minorHAnsi" w:hAnsiTheme="minorHAnsi"/>
                <w:color w:val="000000" w:themeColor="text1"/>
                <w:sz w:val="20"/>
              </w:rPr>
              <w:t xml:space="preserve">, at the same time being harder to measure in comparison to other outcome </w:t>
            </w:r>
            <w:r w:rsidR="000A1D3E" w:rsidRPr="00C3333D">
              <w:rPr>
                <w:rFonts w:asciiTheme="minorHAnsi" w:hAnsiTheme="minorHAnsi"/>
                <w:color w:val="000000" w:themeColor="text1"/>
                <w:sz w:val="20"/>
              </w:rPr>
              <w:t xml:space="preserve">areas. </w:t>
            </w:r>
            <w:r w:rsidR="0011422F">
              <w:rPr>
                <w:rFonts w:asciiTheme="minorHAnsi" w:hAnsiTheme="minorHAnsi"/>
                <w:color w:val="000000" w:themeColor="text1"/>
                <w:sz w:val="20"/>
              </w:rPr>
              <w:t xml:space="preserve">At the same time </w:t>
            </w:r>
            <w:r w:rsidR="00CC55CB" w:rsidRPr="00C3333D">
              <w:rPr>
                <w:rFonts w:asciiTheme="minorHAnsi" w:hAnsiTheme="minorHAnsi"/>
                <w:color w:val="000000" w:themeColor="text1"/>
                <w:sz w:val="20"/>
              </w:rPr>
              <w:t>high-</w:t>
            </w:r>
            <w:r w:rsidR="00CC55CB" w:rsidRPr="00EE36DD">
              <w:rPr>
                <w:rFonts w:asciiTheme="minorHAnsi" w:hAnsiTheme="minorHAnsi"/>
                <w:color w:val="000000" w:themeColor="text1"/>
                <w:sz w:val="20"/>
              </w:rPr>
              <w:t xml:space="preserve">visibility progress </w:t>
            </w:r>
            <w:r w:rsidR="005E26CD" w:rsidRPr="00EE36DD">
              <w:rPr>
                <w:rFonts w:asciiTheme="minorHAnsi" w:hAnsiTheme="minorHAnsi"/>
                <w:color w:val="000000" w:themeColor="text1"/>
                <w:sz w:val="20"/>
              </w:rPr>
              <w:t xml:space="preserve">was made </w:t>
            </w:r>
            <w:r w:rsidR="00935763" w:rsidRPr="00EE36DD">
              <w:rPr>
                <w:rFonts w:asciiTheme="minorHAnsi" w:hAnsiTheme="minorHAnsi"/>
                <w:color w:val="000000" w:themeColor="text1"/>
                <w:sz w:val="20"/>
              </w:rPr>
              <w:t>with</w:t>
            </w:r>
            <w:r w:rsidR="00CC55CB" w:rsidRPr="00EE36DD">
              <w:rPr>
                <w:rFonts w:asciiTheme="minorHAnsi" w:hAnsiTheme="minorHAnsi"/>
                <w:color w:val="000000" w:themeColor="text1"/>
                <w:sz w:val="20"/>
              </w:rPr>
              <w:t xml:space="preserve"> numerous initiatives, including </w:t>
            </w:r>
            <w:r w:rsidR="00D46B0C" w:rsidRPr="00EE36DD">
              <w:rPr>
                <w:rFonts w:asciiTheme="minorHAnsi" w:hAnsiTheme="minorHAnsi"/>
                <w:color w:val="000000" w:themeColor="text1"/>
                <w:sz w:val="20"/>
              </w:rPr>
              <w:t>e-government and</w:t>
            </w:r>
            <w:r w:rsidR="00D62C5D" w:rsidRPr="00EE36DD">
              <w:rPr>
                <w:rFonts w:asciiTheme="minorHAnsi" w:hAnsiTheme="minorHAnsi"/>
                <w:color w:val="000000" w:themeColor="text1"/>
                <w:sz w:val="20"/>
              </w:rPr>
              <w:t xml:space="preserve"> revision</w:t>
            </w:r>
            <w:r w:rsidR="00D46B0C" w:rsidRPr="00EE36DD">
              <w:rPr>
                <w:rFonts w:asciiTheme="minorHAnsi" w:hAnsiTheme="minorHAnsi"/>
                <w:color w:val="000000" w:themeColor="text1"/>
                <w:sz w:val="20"/>
              </w:rPr>
              <w:t xml:space="preserve"> </w:t>
            </w:r>
            <w:r w:rsidR="00CC55CB" w:rsidRPr="00EE36DD">
              <w:rPr>
                <w:rFonts w:asciiTheme="minorHAnsi" w:hAnsiTheme="minorHAnsi"/>
                <w:color w:val="000000" w:themeColor="text1"/>
                <w:sz w:val="20"/>
              </w:rPr>
              <w:t>legislative fr</w:t>
            </w:r>
            <w:r w:rsidR="00935763" w:rsidRPr="00EE36DD">
              <w:rPr>
                <w:rFonts w:asciiTheme="minorHAnsi" w:hAnsiTheme="minorHAnsi"/>
                <w:color w:val="000000" w:themeColor="text1"/>
                <w:sz w:val="20"/>
              </w:rPr>
              <w:t>ameworks</w:t>
            </w:r>
            <w:r w:rsidR="00D46B0C" w:rsidRPr="00EE36DD">
              <w:rPr>
                <w:rFonts w:asciiTheme="minorHAnsi" w:hAnsiTheme="minorHAnsi"/>
                <w:color w:val="000000" w:themeColor="text1"/>
                <w:sz w:val="20"/>
              </w:rPr>
              <w:t xml:space="preserve"> </w:t>
            </w:r>
            <w:r w:rsidR="00D46B0C" w:rsidRPr="00EE36DD">
              <w:rPr>
                <w:rFonts w:ascii="Calibri" w:hAnsi="Calibri" w:cs="Calibri"/>
                <w:color w:val="000000" w:themeColor="text1"/>
                <w:sz w:val="20"/>
                <w:szCs w:val="22"/>
              </w:rPr>
              <w:t>improving the quality of governance systems</w:t>
            </w:r>
            <w:r w:rsidR="00CC55CB" w:rsidRPr="00EE36DD">
              <w:rPr>
                <w:rFonts w:asciiTheme="minorHAnsi" w:hAnsiTheme="minorHAnsi"/>
                <w:color w:val="000000" w:themeColor="text1"/>
                <w:sz w:val="20"/>
              </w:rPr>
              <w:t xml:space="preserve">. </w:t>
            </w:r>
            <w:r w:rsidR="009D15BD" w:rsidRPr="00EE36DD">
              <w:rPr>
                <w:rFonts w:asciiTheme="minorHAnsi" w:hAnsiTheme="minorHAnsi"/>
                <w:color w:val="000000" w:themeColor="text1"/>
                <w:sz w:val="20"/>
              </w:rPr>
              <w:t>Challenges as acknowledge</w:t>
            </w:r>
            <w:r w:rsidR="00D62C5D" w:rsidRPr="00EE36DD">
              <w:rPr>
                <w:rFonts w:asciiTheme="minorHAnsi" w:hAnsiTheme="minorHAnsi"/>
                <w:color w:val="000000" w:themeColor="text1"/>
                <w:sz w:val="20"/>
              </w:rPr>
              <w:t>d</w:t>
            </w:r>
            <w:r w:rsidR="009D15BD" w:rsidRPr="00EE36DD">
              <w:rPr>
                <w:rFonts w:asciiTheme="minorHAnsi" w:hAnsiTheme="minorHAnsi"/>
                <w:color w:val="000000" w:themeColor="text1"/>
                <w:sz w:val="20"/>
              </w:rPr>
              <w:t xml:space="preserve"> by evaluation</w:t>
            </w:r>
            <w:r w:rsidR="00757758" w:rsidRPr="00EE36DD">
              <w:rPr>
                <w:rFonts w:asciiTheme="minorHAnsi" w:hAnsiTheme="minorHAnsi"/>
                <w:color w:val="000000" w:themeColor="text1"/>
                <w:sz w:val="20"/>
              </w:rPr>
              <w:t>s</w:t>
            </w:r>
            <w:r w:rsidR="00001E9F" w:rsidRPr="00EE36DD">
              <w:rPr>
                <w:rFonts w:asciiTheme="minorHAnsi" w:hAnsiTheme="minorHAnsi"/>
                <w:color w:val="000000" w:themeColor="text1"/>
                <w:sz w:val="20"/>
              </w:rPr>
              <w:t xml:space="preserve"> with</w:t>
            </w:r>
            <w:r w:rsidR="009D15BD" w:rsidRPr="00EE36DD">
              <w:rPr>
                <w:rFonts w:asciiTheme="minorHAnsi" w:hAnsiTheme="minorHAnsi"/>
                <w:color w:val="000000" w:themeColor="text1"/>
                <w:sz w:val="20"/>
              </w:rPr>
              <w:t xml:space="preserve"> the </w:t>
            </w:r>
            <w:r w:rsidR="007E6200" w:rsidRPr="00EE36DD">
              <w:rPr>
                <w:rFonts w:asciiTheme="minorHAnsi" w:hAnsiTheme="minorHAnsi"/>
                <w:color w:val="000000" w:themeColor="text1"/>
                <w:sz w:val="20"/>
              </w:rPr>
              <w:t xml:space="preserve">democratic governance </w:t>
            </w:r>
            <w:r w:rsidR="009D15BD" w:rsidRPr="00EE36DD">
              <w:rPr>
                <w:rFonts w:asciiTheme="minorHAnsi" w:hAnsiTheme="minorHAnsi"/>
                <w:color w:val="000000" w:themeColor="text1"/>
                <w:sz w:val="20"/>
              </w:rPr>
              <w:t>portfolio</w:t>
            </w:r>
            <w:r w:rsidR="00757758" w:rsidRPr="00EE36DD">
              <w:rPr>
                <w:rFonts w:asciiTheme="minorHAnsi" w:hAnsiTheme="minorHAnsi"/>
                <w:color w:val="000000" w:themeColor="text1"/>
                <w:sz w:val="20"/>
              </w:rPr>
              <w:t xml:space="preserve"> were also mainly related to</w:t>
            </w:r>
            <w:r w:rsidR="007E6200" w:rsidRPr="00EE36DD">
              <w:rPr>
                <w:rFonts w:asciiTheme="minorHAnsi" w:hAnsiTheme="minorHAnsi"/>
                <w:color w:val="000000" w:themeColor="text1"/>
                <w:sz w:val="20"/>
              </w:rPr>
              <w:t xml:space="preserve"> overly ambitious</w:t>
            </w:r>
            <w:r w:rsidR="00757758" w:rsidRPr="00EE36DD">
              <w:rPr>
                <w:rFonts w:asciiTheme="minorHAnsi" w:hAnsiTheme="minorHAnsi"/>
                <w:color w:val="000000" w:themeColor="text1"/>
                <w:sz w:val="20"/>
              </w:rPr>
              <w:t xml:space="preserve"> </w:t>
            </w:r>
            <w:r w:rsidR="007E6200" w:rsidRPr="00EE36DD">
              <w:rPr>
                <w:rFonts w:asciiTheme="minorHAnsi" w:hAnsiTheme="minorHAnsi"/>
                <w:color w:val="000000" w:themeColor="text1"/>
                <w:sz w:val="20"/>
              </w:rPr>
              <w:t>project design and target setting</w:t>
            </w:r>
            <w:r w:rsidR="00D46B0C" w:rsidRPr="00EE36DD">
              <w:rPr>
                <w:rFonts w:asciiTheme="minorHAnsi" w:hAnsiTheme="minorHAnsi"/>
                <w:color w:val="000000" w:themeColor="text1"/>
                <w:sz w:val="20"/>
              </w:rPr>
              <w:t xml:space="preserve">, as well </w:t>
            </w:r>
            <w:r w:rsidR="00F73D8E">
              <w:rPr>
                <w:rFonts w:asciiTheme="minorHAnsi" w:hAnsiTheme="minorHAnsi"/>
                <w:color w:val="000000" w:themeColor="text1"/>
                <w:sz w:val="20"/>
              </w:rPr>
              <w:t xml:space="preserve">as </w:t>
            </w:r>
            <w:r w:rsidR="00C668B4" w:rsidRPr="00EE36DD">
              <w:rPr>
                <w:rFonts w:asciiTheme="minorHAnsi" w:hAnsiTheme="minorHAnsi"/>
                <w:color w:val="000000" w:themeColor="text1"/>
                <w:sz w:val="20"/>
              </w:rPr>
              <w:t xml:space="preserve">lack </w:t>
            </w:r>
            <w:r w:rsidR="00486E8C" w:rsidRPr="00EE36DD">
              <w:rPr>
                <w:rFonts w:asciiTheme="minorHAnsi" w:hAnsiTheme="minorHAnsi"/>
                <w:color w:val="000000" w:themeColor="text1"/>
                <w:sz w:val="20"/>
              </w:rPr>
              <w:t>c</w:t>
            </w:r>
            <w:r w:rsidR="00C668B4" w:rsidRPr="00EE36DD">
              <w:rPr>
                <w:rFonts w:asciiTheme="minorHAnsi" w:hAnsiTheme="minorHAnsi"/>
                <w:color w:val="000000" w:themeColor="text1"/>
                <w:sz w:val="20"/>
              </w:rPr>
              <w:t>ommitment</w:t>
            </w:r>
            <w:r w:rsidR="00486E8C" w:rsidRPr="00EE36DD">
              <w:rPr>
                <w:rFonts w:asciiTheme="minorHAnsi" w:hAnsiTheme="minorHAnsi"/>
                <w:color w:val="000000" w:themeColor="text1"/>
                <w:sz w:val="20"/>
              </w:rPr>
              <w:t xml:space="preserve"> from the national partners’ side</w:t>
            </w:r>
            <w:r w:rsidR="00F00CB8" w:rsidRPr="00EE36DD">
              <w:rPr>
                <w:rFonts w:asciiTheme="minorHAnsi" w:hAnsiTheme="minorHAnsi"/>
                <w:color w:val="000000" w:themeColor="text1"/>
                <w:sz w:val="20"/>
              </w:rPr>
              <w:t xml:space="preserve"> in some cases</w:t>
            </w:r>
            <w:r w:rsidR="00C668B4" w:rsidRPr="00EE36DD">
              <w:rPr>
                <w:rFonts w:asciiTheme="minorHAnsi" w:hAnsiTheme="minorHAnsi"/>
                <w:color w:val="000000" w:themeColor="text1"/>
                <w:sz w:val="20"/>
              </w:rPr>
              <w:t>.</w:t>
            </w:r>
          </w:p>
          <w:p w14:paraId="38E645A5" w14:textId="77777777" w:rsidR="006666EC" w:rsidRPr="004358A8" w:rsidRDefault="006666EC" w:rsidP="006666EC">
            <w:pPr>
              <w:rPr>
                <w:rFonts w:asciiTheme="minorHAnsi" w:hAnsiTheme="minorHAnsi"/>
                <w:color w:val="00B050"/>
                <w:sz w:val="20"/>
              </w:rPr>
            </w:pPr>
          </w:p>
          <w:p w14:paraId="4B616EAF" w14:textId="35F9824F" w:rsidR="00A74F3F" w:rsidRPr="008665E2" w:rsidRDefault="00D3591F" w:rsidP="006666EC">
            <w:pPr>
              <w:rPr>
                <w:rFonts w:asciiTheme="minorHAnsi" w:hAnsiTheme="minorHAnsi"/>
                <w:color w:val="000000" w:themeColor="text1"/>
                <w:sz w:val="20"/>
              </w:rPr>
            </w:pPr>
            <w:r>
              <w:rPr>
                <w:rFonts w:asciiTheme="minorHAnsi" w:hAnsiTheme="minorHAnsi"/>
                <w:color w:val="000000" w:themeColor="text1"/>
                <w:sz w:val="20"/>
              </w:rPr>
              <w:t>U</w:t>
            </w:r>
            <w:r w:rsidR="006666EC" w:rsidRPr="00003A03">
              <w:rPr>
                <w:rFonts w:asciiTheme="minorHAnsi" w:hAnsiTheme="minorHAnsi"/>
                <w:color w:val="000000" w:themeColor="text1"/>
                <w:sz w:val="20"/>
              </w:rPr>
              <w:t>NDP’s effort</w:t>
            </w:r>
            <w:r w:rsidR="001A0CF0" w:rsidRPr="00003A03">
              <w:rPr>
                <w:rFonts w:asciiTheme="minorHAnsi" w:hAnsiTheme="minorHAnsi"/>
                <w:color w:val="000000" w:themeColor="text1"/>
                <w:sz w:val="20"/>
              </w:rPr>
              <w:t xml:space="preserve">s </w:t>
            </w:r>
            <w:r w:rsidR="003228E6" w:rsidRPr="00003A03">
              <w:rPr>
                <w:rFonts w:asciiTheme="minorHAnsi" w:hAnsiTheme="minorHAnsi"/>
                <w:color w:val="000000" w:themeColor="text1"/>
                <w:sz w:val="20"/>
              </w:rPr>
              <w:t>could be further</w:t>
            </w:r>
            <w:r w:rsidR="001A0CF0" w:rsidRPr="00003A03">
              <w:rPr>
                <w:rFonts w:asciiTheme="minorHAnsi" w:hAnsiTheme="minorHAnsi"/>
                <w:color w:val="000000" w:themeColor="text1"/>
                <w:sz w:val="20"/>
              </w:rPr>
              <w:t xml:space="preserve"> scaled up and better aligned with each other</w:t>
            </w:r>
            <w:r w:rsidR="008E0859" w:rsidRPr="00003A03">
              <w:rPr>
                <w:rFonts w:asciiTheme="minorHAnsi" w:hAnsiTheme="minorHAnsi"/>
                <w:color w:val="000000" w:themeColor="text1"/>
                <w:sz w:val="20"/>
              </w:rPr>
              <w:t xml:space="preserve"> in the field of economic governance</w:t>
            </w:r>
            <w:r w:rsidR="006666EC" w:rsidRPr="00003A03">
              <w:rPr>
                <w:rFonts w:asciiTheme="minorHAnsi" w:hAnsiTheme="minorHAnsi"/>
                <w:color w:val="000000" w:themeColor="text1"/>
                <w:sz w:val="20"/>
              </w:rPr>
              <w:t>.</w:t>
            </w:r>
            <w:r w:rsidR="00717FC4" w:rsidRPr="00003A03">
              <w:rPr>
                <w:rFonts w:asciiTheme="minorHAnsi" w:hAnsiTheme="minorHAnsi"/>
                <w:color w:val="000000" w:themeColor="text1"/>
                <w:sz w:val="20"/>
              </w:rPr>
              <w:t xml:space="preserve"> At the same time it’</w:t>
            </w:r>
            <w:r w:rsidR="003061CE" w:rsidRPr="00003A03">
              <w:rPr>
                <w:rFonts w:asciiTheme="minorHAnsi" w:hAnsiTheme="minorHAnsi"/>
                <w:color w:val="000000" w:themeColor="text1"/>
                <w:sz w:val="20"/>
              </w:rPr>
              <w:t>s been noted that UNDP has been able to build meaningful partnerships with significant national partners in the area of private sector development (e.g. CCI</w:t>
            </w:r>
            <w:r w:rsidR="00626F07" w:rsidRPr="00003A03">
              <w:rPr>
                <w:rFonts w:asciiTheme="minorHAnsi" w:hAnsiTheme="minorHAnsi"/>
                <w:color w:val="000000" w:themeColor="text1"/>
                <w:sz w:val="20"/>
              </w:rPr>
              <w:t xml:space="preserve"> and national think-tanks</w:t>
            </w:r>
            <w:r w:rsidR="003061CE" w:rsidRPr="008665E2">
              <w:rPr>
                <w:rFonts w:asciiTheme="minorHAnsi" w:hAnsiTheme="minorHAnsi"/>
                <w:color w:val="000000" w:themeColor="text1"/>
                <w:sz w:val="20"/>
              </w:rPr>
              <w:t>).</w:t>
            </w:r>
            <w:r w:rsidR="00003A03" w:rsidRPr="008665E2">
              <w:rPr>
                <w:rFonts w:asciiTheme="minorHAnsi" w:hAnsiTheme="minorHAnsi"/>
                <w:color w:val="000000" w:themeColor="text1"/>
                <w:sz w:val="20"/>
              </w:rPr>
              <w:t xml:space="preserve"> </w:t>
            </w:r>
            <w:r w:rsidR="008665E2" w:rsidRPr="008665E2">
              <w:rPr>
                <w:rFonts w:asciiTheme="minorHAnsi" w:hAnsiTheme="minorHAnsi"/>
                <w:color w:val="000000" w:themeColor="text1"/>
                <w:sz w:val="20"/>
              </w:rPr>
              <w:t xml:space="preserve">In addition </w:t>
            </w:r>
            <w:r w:rsidR="00414F87" w:rsidRPr="008665E2">
              <w:rPr>
                <w:rFonts w:asciiTheme="minorHAnsi" w:hAnsiTheme="minorHAnsi"/>
                <w:color w:val="000000" w:themeColor="text1"/>
                <w:sz w:val="20"/>
              </w:rPr>
              <w:t>UNDP’s contribution in development of public finance</w:t>
            </w:r>
            <w:r w:rsidR="00770F61" w:rsidRPr="008665E2">
              <w:rPr>
                <w:rFonts w:asciiTheme="minorHAnsi" w:hAnsiTheme="minorHAnsi"/>
                <w:color w:val="000000" w:themeColor="text1"/>
                <w:sz w:val="20"/>
              </w:rPr>
              <w:t xml:space="preserve"> systems has been significant.</w:t>
            </w:r>
            <w:r w:rsidR="00414F87" w:rsidRPr="008665E2">
              <w:rPr>
                <w:rFonts w:asciiTheme="minorHAnsi" w:hAnsiTheme="minorHAnsi"/>
                <w:color w:val="000000" w:themeColor="text1"/>
                <w:sz w:val="20"/>
              </w:rPr>
              <w:t xml:space="preserve"> </w:t>
            </w:r>
            <w:r w:rsidR="003061CE" w:rsidRPr="008665E2">
              <w:rPr>
                <w:rFonts w:asciiTheme="minorHAnsi" w:hAnsiTheme="minorHAnsi"/>
                <w:color w:val="000000" w:themeColor="text1"/>
                <w:sz w:val="20"/>
              </w:rPr>
              <w:t xml:space="preserve"> The project level evaluations </w:t>
            </w:r>
            <w:r w:rsidR="00081947" w:rsidRPr="008665E2">
              <w:rPr>
                <w:rFonts w:asciiTheme="minorHAnsi" w:hAnsiTheme="minorHAnsi"/>
                <w:color w:val="000000" w:themeColor="text1"/>
                <w:sz w:val="20"/>
              </w:rPr>
              <w:t xml:space="preserve">also highlight the </w:t>
            </w:r>
            <w:r w:rsidR="004864A2" w:rsidRPr="008665E2">
              <w:rPr>
                <w:rFonts w:asciiTheme="minorHAnsi" w:hAnsiTheme="minorHAnsi"/>
                <w:color w:val="000000" w:themeColor="text1"/>
                <w:sz w:val="20"/>
              </w:rPr>
              <w:t>role of SME</w:t>
            </w:r>
            <w:r w:rsidR="00F25EBF" w:rsidRPr="008665E2">
              <w:rPr>
                <w:rFonts w:asciiTheme="minorHAnsi" w:hAnsiTheme="minorHAnsi"/>
                <w:color w:val="000000" w:themeColor="text1"/>
                <w:sz w:val="20"/>
              </w:rPr>
              <w:t>s</w:t>
            </w:r>
            <w:r w:rsidR="004864A2" w:rsidRPr="008665E2">
              <w:rPr>
                <w:rFonts w:asciiTheme="minorHAnsi" w:hAnsiTheme="minorHAnsi"/>
                <w:color w:val="000000" w:themeColor="text1"/>
                <w:sz w:val="20"/>
              </w:rPr>
              <w:t xml:space="preserve"> for economic growth and UNDP</w:t>
            </w:r>
            <w:r w:rsidR="00414F87" w:rsidRPr="008665E2">
              <w:rPr>
                <w:rFonts w:asciiTheme="minorHAnsi" w:hAnsiTheme="minorHAnsi"/>
                <w:color w:val="000000" w:themeColor="text1"/>
                <w:sz w:val="20"/>
              </w:rPr>
              <w:t xml:space="preserve">’s positive results in this </w:t>
            </w:r>
            <w:r w:rsidR="00196B24" w:rsidRPr="008665E2">
              <w:rPr>
                <w:rFonts w:asciiTheme="minorHAnsi" w:hAnsiTheme="minorHAnsi"/>
                <w:color w:val="000000" w:themeColor="text1"/>
                <w:sz w:val="20"/>
              </w:rPr>
              <w:t>particular field</w:t>
            </w:r>
            <w:r w:rsidR="00081947" w:rsidRPr="008665E2">
              <w:rPr>
                <w:rFonts w:asciiTheme="minorHAnsi" w:hAnsiTheme="minorHAnsi"/>
                <w:color w:val="000000" w:themeColor="text1"/>
                <w:sz w:val="20"/>
              </w:rPr>
              <w:t>.</w:t>
            </w:r>
            <w:r w:rsidR="00F85E5E" w:rsidRPr="008665E2">
              <w:rPr>
                <w:rFonts w:asciiTheme="minorHAnsi" w:hAnsiTheme="minorHAnsi"/>
                <w:color w:val="000000" w:themeColor="text1"/>
                <w:sz w:val="20"/>
              </w:rPr>
              <w:t xml:space="preserve"> </w:t>
            </w:r>
            <w:r w:rsidR="00C662C8" w:rsidRPr="008665E2">
              <w:rPr>
                <w:rFonts w:asciiTheme="minorHAnsi" w:hAnsiTheme="minorHAnsi"/>
                <w:color w:val="000000" w:themeColor="text1"/>
                <w:sz w:val="20"/>
              </w:rPr>
              <w:t>Important shortcoming</w:t>
            </w:r>
            <w:r w:rsidR="00533921" w:rsidRPr="008665E2">
              <w:rPr>
                <w:rFonts w:asciiTheme="minorHAnsi" w:hAnsiTheme="minorHAnsi"/>
                <w:color w:val="000000" w:themeColor="text1"/>
                <w:sz w:val="20"/>
              </w:rPr>
              <w:t>s</w:t>
            </w:r>
            <w:r w:rsidR="00F15AA8" w:rsidRPr="008665E2">
              <w:rPr>
                <w:rFonts w:asciiTheme="minorHAnsi" w:hAnsiTheme="minorHAnsi"/>
                <w:color w:val="000000" w:themeColor="text1"/>
                <w:sz w:val="20"/>
              </w:rPr>
              <w:t xml:space="preserve"> and</w:t>
            </w:r>
            <w:r w:rsidR="00C662C8" w:rsidRPr="008665E2">
              <w:rPr>
                <w:rFonts w:asciiTheme="minorHAnsi" w:hAnsiTheme="minorHAnsi"/>
                <w:color w:val="000000" w:themeColor="text1"/>
                <w:sz w:val="20"/>
              </w:rPr>
              <w:t xml:space="preserve"> les</w:t>
            </w:r>
            <w:r w:rsidR="00CE73DB" w:rsidRPr="008665E2">
              <w:rPr>
                <w:rFonts w:asciiTheme="minorHAnsi" w:hAnsiTheme="minorHAnsi"/>
                <w:color w:val="000000" w:themeColor="text1"/>
                <w:sz w:val="20"/>
              </w:rPr>
              <w:t>son</w:t>
            </w:r>
            <w:r w:rsidR="00F15AA8" w:rsidRPr="008665E2">
              <w:rPr>
                <w:rFonts w:asciiTheme="minorHAnsi" w:hAnsiTheme="minorHAnsi"/>
                <w:color w:val="000000" w:themeColor="text1"/>
                <w:sz w:val="20"/>
              </w:rPr>
              <w:t>s</w:t>
            </w:r>
            <w:r w:rsidR="00A10183" w:rsidRPr="008665E2">
              <w:rPr>
                <w:rFonts w:asciiTheme="minorHAnsi" w:hAnsiTheme="minorHAnsi"/>
                <w:color w:val="000000" w:themeColor="text1"/>
                <w:sz w:val="20"/>
              </w:rPr>
              <w:t xml:space="preserve"> noted are mainly related to</w:t>
            </w:r>
            <w:r w:rsidR="00ED7EAB">
              <w:rPr>
                <w:rFonts w:asciiTheme="minorHAnsi" w:hAnsiTheme="minorHAnsi"/>
                <w:color w:val="000000" w:themeColor="text1"/>
                <w:sz w:val="20"/>
              </w:rPr>
              <w:t xml:space="preserve"> </w:t>
            </w:r>
            <w:r w:rsidR="009D51EB" w:rsidRPr="008665E2">
              <w:rPr>
                <w:rFonts w:asciiTheme="minorHAnsi" w:hAnsiTheme="minorHAnsi"/>
                <w:color w:val="000000" w:themeColor="text1"/>
                <w:sz w:val="20"/>
              </w:rPr>
              <w:t>challenges to capture and report</w:t>
            </w:r>
            <w:r w:rsidR="002D29D8" w:rsidRPr="008665E2">
              <w:rPr>
                <w:rFonts w:asciiTheme="minorHAnsi" w:hAnsiTheme="minorHAnsi"/>
                <w:color w:val="000000" w:themeColor="text1"/>
                <w:sz w:val="20"/>
              </w:rPr>
              <w:t xml:space="preserve"> on</w:t>
            </w:r>
            <w:r w:rsidR="00C662C8" w:rsidRPr="008665E2">
              <w:rPr>
                <w:rFonts w:asciiTheme="minorHAnsi" w:hAnsiTheme="minorHAnsi"/>
                <w:color w:val="000000" w:themeColor="text1"/>
                <w:sz w:val="20"/>
              </w:rPr>
              <w:t xml:space="preserve"> </w:t>
            </w:r>
            <w:r w:rsidR="004E66F6" w:rsidRPr="008665E2">
              <w:rPr>
                <w:rFonts w:asciiTheme="minorHAnsi" w:hAnsiTheme="minorHAnsi"/>
                <w:color w:val="000000" w:themeColor="text1"/>
                <w:sz w:val="20"/>
              </w:rPr>
              <w:t>progress towards more outcome level results</w:t>
            </w:r>
            <w:r w:rsidR="008665E2">
              <w:rPr>
                <w:rFonts w:asciiTheme="minorHAnsi" w:hAnsiTheme="minorHAnsi"/>
                <w:color w:val="000000" w:themeColor="text1"/>
                <w:sz w:val="20"/>
              </w:rPr>
              <w:t xml:space="preserve"> especially in case of the area-based initiatives</w:t>
            </w:r>
            <w:r w:rsidR="004E66F6" w:rsidRPr="008665E2">
              <w:rPr>
                <w:rFonts w:asciiTheme="minorHAnsi" w:hAnsiTheme="minorHAnsi"/>
                <w:color w:val="000000" w:themeColor="text1"/>
                <w:sz w:val="20"/>
              </w:rPr>
              <w:t>.</w:t>
            </w:r>
            <w:r w:rsidR="008665E2">
              <w:rPr>
                <w:rFonts w:asciiTheme="minorHAnsi" w:hAnsiTheme="minorHAnsi"/>
                <w:color w:val="000000" w:themeColor="text1"/>
                <w:sz w:val="20"/>
              </w:rPr>
              <w:t xml:space="preserve"> </w:t>
            </w:r>
            <w:r w:rsidR="003C3D32" w:rsidRPr="008665E2">
              <w:rPr>
                <w:rFonts w:asciiTheme="minorHAnsi" w:hAnsiTheme="minorHAnsi"/>
                <w:color w:val="000000" w:themeColor="text1"/>
                <w:sz w:val="20"/>
              </w:rPr>
              <w:t xml:space="preserve"> </w:t>
            </w:r>
            <w:r w:rsidR="00A74F3F" w:rsidRPr="008665E2">
              <w:rPr>
                <w:rFonts w:asciiTheme="minorHAnsi" w:hAnsiTheme="minorHAnsi"/>
                <w:color w:val="000000" w:themeColor="text1"/>
                <w:sz w:val="20"/>
              </w:rPr>
              <w:t xml:space="preserve"> </w:t>
            </w:r>
          </w:p>
          <w:p w14:paraId="731E2CF7" w14:textId="77777777" w:rsidR="00A74F3F" w:rsidRPr="004358A8" w:rsidRDefault="00A74F3F" w:rsidP="006666EC">
            <w:pPr>
              <w:rPr>
                <w:rFonts w:asciiTheme="minorHAnsi" w:hAnsiTheme="minorHAnsi"/>
                <w:color w:val="00B050"/>
                <w:sz w:val="20"/>
              </w:rPr>
            </w:pPr>
          </w:p>
          <w:p w14:paraId="7F4B59DA" w14:textId="0D949F28" w:rsidR="005228BF" w:rsidRPr="000A5E49" w:rsidRDefault="004004C0" w:rsidP="000A5E49">
            <w:pPr>
              <w:rPr>
                <w:rFonts w:asciiTheme="minorHAnsi" w:hAnsiTheme="minorHAnsi"/>
                <w:color w:val="000000" w:themeColor="text1"/>
                <w:sz w:val="20"/>
              </w:rPr>
            </w:pPr>
            <w:r>
              <w:rPr>
                <w:rFonts w:asciiTheme="minorHAnsi" w:hAnsiTheme="minorHAnsi"/>
                <w:color w:val="000000" w:themeColor="text1"/>
                <w:sz w:val="20"/>
              </w:rPr>
              <w:t>Mid-term evaluation</w:t>
            </w:r>
            <w:r w:rsidR="00A776F6">
              <w:rPr>
                <w:rFonts w:asciiTheme="minorHAnsi" w:hAnsiTheme="minorHAnsi"/>
                <w:color w:val="000000" w:themeColor="text1"/>
                <w:sz w:val="20"/>
              </w:rPr>
              <w:t xml:space="preserve"> of country programme</w:t>
            </w:r>
            <w:r w:rsidR="00F653C7">
              <w:rPr>
                <w:rFonts w:asciiTheme="minorHAnsi" w:hAnsiTheme="minorHAnsi"/>
                <w:color w:val="000000" w:themeColor="text1"/>
                <w:sz w:val="20"/>
              </w:rPr>
              <w:t xml:space="preserve"> outcomes </w:t>
            </w:r>
            <w:r w:rsidR="00536B85" w:rsidRPr="00E7103D">
              <w:rPr>
                <w:rFonts w:asciiTheme="minorHAnsi" w:hAnsiTheme="minorHAnsi"/>
                <w:color w:val="000000" w:themeColor="text1"/>
                <w:sz w:val="20"/>
              </w:rPr>
              <w:t xml:space="preserve">gives credit </w:t>
            </w:r>
            <w:r w:rsidR="00A22BCE" w:rsidRPr="00E7103D">
              <w:rPr>
                <w:rFonts w:asciiTheme="minorHAnsi" w:hAnsiTheme="minorHAnsi"/>
                <w:color w:val="000000" w:themeColor="text1"/>
                <w:sz w:val="20"/>
              </w:rPr>
              <w:t xml:space="preserve">for </w:t>
            </w:r>
            <w:r w:rsidR="00536B85" w:rsidRPr="00E7103D">
              <w:rPr>
                <w:rFonts w:asciiTheme="minorHAnsi" w:hAnsiTheme="minorHAnsi"/>
                <w:color w:val="000000" w:themeColor="text1"/>
                <w:sz w:val="20"/>
              </w:rPr>
              <w:t>UNDP</w:t>
            </w:r>
            <w:r w:rsidR="00A74F3F" w:rsidRPr="00E7103D">
              <w:rPr>
                <w:rFonts w:asciiTheme="minorHAnsi" w:hAnsiTheme="minorHAnsi"/>
                <w:color w:val="000000" w:themeColor="text1"/>
                <w:sz w:val="20"/>
              </w:rPr>
              <w:t>’s endeavors</w:t>
            </w:r>
            <w:r w:rsidR="006D272E" w:rsidRPr="00E7103D">
              <w:rPr>
                <w:rFonts w:asciiTheme="minorHAnsi" w:hAnsiTheme="minorHAnsi"/>
                <w:color w:val="000000" w:themeColor="text1"/>
                <w:sz w:val="20"/>
              </w:rPr>
              <w:t xml:space="preserve"> in mainstreaming </w:t>
            </w:r>
            <w:r w:rsidR="00536B85" w:rsidRPr="00E7103D">
              <w:rPr>
                <w:rFonts w:asciiTheme="minorHAnsi" w:hAnsiTheme="minorHAnsi"/>
                <w:color w:val="000000" w:themeColor="text1"/>
                <w:sz w:val="20"/>
              </w:rPr>
              <w:t xml:space="preserve">gender </w:t>
            </w:r>
            <w:r w:rsidR="00A74F3F" w:rsidRPr="00E7103D">
              <w:rPr>
                <w:rFonts w:asciiTheme="minorHAnsi" w:hAnsiTheme="minorHAnsi"/>
                <w:color w:val="000000" w:themeColor="text1"/>
                <w:sz w:val="20"/>
              </w:rPr>
              <w:t>in monitoring and reporting</w:t>
            </w:r>
            <w:r w:rsidR="00CD0C33" w:rsidRPr="00E7103D">
              <w:rPr>
                <w:rFonts w:asciiTheme="minorHAnsi" w:hAnsiTheme="minorHAnsi"/>
                <w:color w:val="000000" w:themeColor="text1"/>
                <w:sz w:val="20"/>
              </w:rPr>
              <w:t xml:space="preserve"> practices</w:t>
            </w:r>
            <w:r w:rsidR="00D8748B" w:rsidRPr="00E7103D">
              <w:rPr>
                <w:rFonts w:asciiTheme="minorHAnsi" w:hAnsiTheme="minorHAnsi"/>
                <w:color w:val="000000" w:themeColor="text1"/>
                <w:sz w:val="20"/>
              </w:rPr>
              <w:t>. Also</w:t>
            </w:r>
            <w:r w:rsidR="00536B85" w:rsidRPr="00E7103D">
              <w:rPr>
                <w:rFonts w:asciiTheme="minorHAnsi" w:hAnsiTheme="minorHAnsi"/>
                <w:color w:val="000000" w:themeColor="text1"/>
                <w:sz w:val="20"/>
              </w:rPr>
              <w:t xml:space="preserve"> capacity building</w:t>
            </w:r>
            <w:r w:rsidR="00D8748B" w:rsidRPr="00E7103D">
              <w:rPr>
                <w:rFonts w:asciiTheme="minorHAnsi" w:hAnsiTheme="minorHAnsi"/>
                <w:color w:val="000000" w:themeColor="text1"/>
                <w:sz w:val="20"/>
              </w:rPr>
              <w:t xml:space="preserve"> is </w:t>
            </w:r>
            <w:r w:rsidR="00BF0740" w:rsidRPr="00E7103D">
              <w:rPr>
                <w:rFonts w:asciiTheme="minorHAnsi" w:hAnsiTheme="minorHAnsi"/>
                <w:color w:val="000000" w:themeColor="text1"/>
                <w:sz w:val="20"/>
              </w:rPr>
              <w:t>acknowledge</w:t>
            </w:r>
            <w:r w:rsidR="00D8748B" w:rsidRPr="00E7103D">
              <w:rPr>
                <w:rFonts w:asciiTheme="minorHAnsi" w:hAnsiTheme="minorHAnsi"/>
                <w:color w:val="000000" w:themeColor="text1"/>
                <w:sz w:val="20"/>
              </w:rPr>
              <w:t xml:space="preserve"> to be </w:t>
            </w:r>
            <w:r w:rsidR="00A776F6">
              <w:rPr>
                <w:rFonts w:asciiTheme="minorHAnsi" w:hAnsiTheme="minorHAnsi"/>
                <w:color w:val="000000" w:themeColor="text1"/>
                <w:sz w:val="20"/>
              </w:rPr>
              <w:t xml:space="preserve">well in </w:t>
            </w:r>
            <w:r w:rsidR="00D8748B" w:rsidRPr="00E7103D">
              <w:rPr>
                <w:rFonts w:asciiTheme="minorHAnsi" w:hAnsiTheme="minorHAnsi"/>
                <w:color w:val="000000" w:themeColor="text1"/>
                <w:sz w:val="20"/>
              </w:rPr>
              <w:t>focus</w:t>
            </w:r>
            <w:r w:rsidR="00536B85" w:rsidRPr="00E7103D">
              <w:rPr>
                <w:rFonts w:asciiTheme="minorHAnsi" w:hAnsiTheme="minorHAnsi"/>
                <w:color w:val="000000" w:themeColor="text1"/>
                <w:sz w:val="20"/>
              </w:rPr>
              <w:t xml:space="preserve"> throughout its programmes.  </w:t>
            </w:r>
            <w:r w:rsidR="00A508CF" w:rsidRPr="00E7103D">
              <w:rPr>
                <w:rFonts w:asciiTheme="minorHAnsi" w:hAnsiTheme="minorHAnsi"/>
                <w:color w:val="000000" w:themeColor="text1"/>
                <w:sz w:val="20"/>
              </w:rPr>
              <w:t xml:space="preserve">Overall lessons learned as </w:t>
            </w:r>
            <w:r w:rsidR="009B5379" w:rsidRPr="00E7103D">
              <w:rPr>
                <w:rFonts w:asciiTheme="minorHAnsi" w:hAnsiTheme="minorHAnsi"/>
                <w:color w:val="000000" w:themeColor="text1"/>
                <w:sz w:val="20"/>
              </w:rPr>
              <w:t xml:space="preserve">are related to </w:t>
            </w:r>
            <w:r w:rsidR="00760B0C" w:rsidRPr="00E7103D">
              <w:rPr>
                <w:rFonts w:asciiTheme="minorHAnsi" w:hAnsiTheme="minorHAnsi"/>
                <w:color w:val="000000" w:themeColor="text1"/>
                <w:sz w:val="20"/>
              </w:rPr>
              <w:t xml:space="preserve">the </w:t>
            </w:r>
            <w:r w:rsidR="009B5379" w:rsidRPr="00E7103D">
              <w:rPr>
                <w:rFonts w:asciiTheme="minorHAnsi" w:hAnsiTheme="minorHAnsi"/>
                <w:color w:val="000000" w:themeColor="text1"/>
                <w:sz w:val="20"/>
              </w:rPr>
              <w:t>need to enhance d</w:t>
            </w:r>
            <w:r w:rsidR="00A508CF" w:rsidRPr="00E7103D">
              <w:rPr>
                <w:rFonts w:asciiTheme="minorHAnsi" w:hAnsiTheme="minorHAnsi"/>
                <w:color w:val="000000" w:themeColor="text1"/>
                <w:sz w:val="20"/>
              </w:rPr>
              <w:t>ata management and national ca</w:t>
            </w:r>
            <w:r w:rsidR="009B5379" w:rsidRPr="00E7103D">
              <w:rPr>
                <w:rFonts w:asciiTheme="minorHAnsi" w:hAnsiTheme="minorHAnsi"/>
                <w:color w:val="000000" w:themeColor="text1"/>
                <w:sz w:val="20"/>
              </w:rPr>
              <w:t>pacity to capture outcome level progress, enhance</w:t>
            </w:r>
            <w:r w:rsidR="00A508CF" w:rsidRPr="00E7103D">
              <w:rPr>
                <w:rFonts w:asciiTheme="minorHAnsi" w:hAnsiTheme="minorHAnsi"/>
                <w:color w:val="000000" w:themeColor="text1"/>
                <w:sz w:val="20"/>
              </w:rPr>
              <w:t xml:space="preserve"> RBM</w:t>
            </w:r>
            <w:r w:rsidR="009B5379" w:rsidRPr="00E7103D">
              <w:rPr>
                <w:rFonts w:asciiTheme="minorHAnsi" w:hAnsiTheme="minorHAnsi"/>
                <w:color w:val="000000" w:themeColor="text1"/>
                <w:sz w:val="20"/>
              </w:rPr>
              <w:t xml:space="preserve"> approach in country programming level (UNDAF)</w:t>
            </w:r>
            <w:r w:rsidR="00A508CF" w:rsidRPr="00E7103D">
              <w:rPr>
                <w:rFonts w:asciiTheme="minorHAnsi" w:hAnsiTheme="minorHAnsi"/>
                <w:color w:val="000000" w:themeColor="text1"/>
                <w:sz w:val="20"/>
              </w:rPr>
              <w:t xml:space="preserve"> </w:t>
            </w:r>
            <w:r w:rsidR="009B5379" w:rsidRPr="00E7103D">
              <w:rPr>
                <w:rFonts w:asciiTheme="minorHAnsi" w:hAnsiTheme="minorHAnsi"/>
                <w:color w:val="000000" w:themeColor="text1"/>
                <w:sz w:val="20"/>
              </w:rPr>
              <w:t>with quality indicator</w:t>
            </w:r>
            <w:r w:rsidR="00760B0C" w:rsidRPr="00E7103D">
              <w:rPr>
                <w:rFonts w:asciiTheme="minorHAnsi" w:hAnsiTheme="minorHAnsi"/>
                <w:color w:val="000000" w:themeColor="text1"/>
                <w:sz w:val="20"/>
              </w:rPr>
              <w:t>s</w:t>
            </w:r>
            <w:r w:rsidR="009B5379" w:rsidRPr="00E7103D">
              <w:rPr>
                <w:rFonts w:asciiTheme="minorHAnsi" w:hAnsiTheme="minorHAnsi"/>
                <w:color w:val="000000" w:themeColor="text1"/>
                <w:sz w:val="20"/>
              </w:rPr>
              <w:t xml:space="preserve"> to capture</w:t>
            </w:r>
            <w:r w:rsidR="00F22075">
              <w:rPr>
                <w:rFonts w:asciiTheme="minorHAnsi" w:hAnsiTheme="minorHAnsi"/>
                <w:color w:val="000000" w:themeColor="text1"/>
                <w:sz w:val="20"/>
              </w:rPr>
              <w:t xml:space="preserve"> outcome level</w:t>
            </w:r>
            <w:r w:rsidR="009B5379" w:rsidRPr="00E7103D">
              <w:rPr>
                <w:rFonts w:asciiTheme="minorHAnsi" w:hAnsiTheme="minorHAnsi"/>
                <w:color w:val="000000" w:themeColor="text1"/>
                <w:sz w:val="20"/>
              </w:rPr>
              <w:t xml:space="preserve"> progress, </w:t>
            </w:r>
            <w:r w:rsidR="00623B76" w:rsidRPr="00E7103D">
              <w:rPr>
                <w:rFonts w:asciiTheme="minorHAnsi" w:hAnsiTheme="minorHAnsi"/>
                <w:color w:val="000000" w:themeColor="text1"/>
                <w:sz w:val="20"/>
              </w:rPr>
              <w:t>and to ensure better linkage with UNDP programme with the UNDAF level. It has been also noted that UNDP ap</w:t>
            </w:r>
            <w:r w:rsidR="000E626D" w:rsidRPr="00E7103D">
              <w:rPr>
                <w:rFonts w:asciiTheme="minorHAnsi" w:hAnsiTheme="minorHAnsi"/>
                <w:color w:val="000000" w:themeColor="text1"/>
                <w:sz w:val="20"/>
              </w:rPr>
              <w:t>proach could</w:t>
            </w:r>
            <w:r w:rsidR="00623B76" w:rsidRPr="00E7103D">
              <w:rPr>
                <w:rFonts w:asciiTheme="minorHAnsi" w:hAnsiTheme="minorHAnsi"/>
                <w:color w:val="000000" w:themeColor="text1"/>
                <w:sz w:val="20"/>
              </w:rPr>
              <w:t xml:space="preserve"> lean more on cross-sectoral policy advice and </w:t>
            </w:r>
            <w:r w:rsidR="00CB589C" w:rsidRPr="00E7103D">
              <w:rPr>
                <w:rFonts w:asciiTheme="minorHAnsi" w:hAnsiTheme="minorHAnsi"/>
                <w:color w:val="000000" w:themeColor="text1"/>
                <w:sz w:val="20"/>
              </w:rPr>
              <w:t xml:space="preserve">unified </w:t>
            </w:r>
            <w:r w:rsidR="00623B76" w:rsidRPr="00E7103D">
              <w:rPr>
                <w:rFonts w:asciiTheme="minorHAnsi" w:hAnsiTheme="minorHAnsi"/>
                <w:color w:val="000000" w:themeColor="text1"/>
                <w:sz w:val="20"/>
              </w:rPr>
              <w:t>programming</w:t>
            </w:r>
            <w:r w:rsidR="00CB589C" w:rsidRPr="00E7103D">
              <w:rPr>
                <w:rFonts w:asciiTheme="minorHAnsi" w:hAnsiTheme="minorHAnsi"/>
                <w:color w:val="000000" w:themeColor="text1"/>
                <w:sz w:val="20"/>
              </w:rPr>
              <w:t xml:space="preserve"> instead of project focused approach.</w:t>
            </w:r>
          </w:p>
        </w:tc>
      </w:tr>
    </w:tbl>
    <w:p w14:paraId="7AA517DC" w14:textId="77777777" w:rsidR="00F6031A" w:rsidRDefault="00F6031A">
      <w:pPr>
        <w:pStyle w:val="BodyText2"/>
        <w:rPr>
          <w:rFonts w:ascii="Times New Roman" w:hAnsi="Times New Roman"/>
          <w:sz w:val="24"/>
        </w:rPr>
      </w:pPr>
    </w:p>
    <w:p w14:paraId="402B9ECE" w14:textId="77777777" w:rsidR="00E37E7A" w:rsidRPr="005474ED" w:rsidRDefault="00EA7740" w:rsidP="00E37E7A">
      <w:pPr>
        <w:pStyle w:val="BodyText2"/>
        <w:jc w:val="center"/>
        <w:rPr>
          <w:rFonts w:asciiTheme="minorHAnsi" w:hAnsiTheme="minorHAnsi"/>
          <w:sz w:val="24"/>
        </w:rPr>
      </w:pPr>
      <w:r>
        <w:rPr>
          <w:rFonts w:asciiTheme="minorHAnsi" w:hAnsiTheme="minorHAnsi"/>
          <w:sz w:val="24"/>
        </w:rPr>
        <w:t xml:space="preserve">III. </w:t>
      </w:r>
      <w:r w:rsidR="00673710" w:rsidRPr="005474ED">
        <w:rPr>
          <w:rFonts w:asciiTheme="minorHAnsi" w:hAnsiTheme="minorHAnsi"/>
          <w:sz w:val="24"/>
        </w:rPr>
        <w:t xml:space="preserve">Country Programme </w:t>
      </w:r>
      <w:r w:rsidR="00E37E7A" w:rsidRPr="005474ED">
        <w:rPr>
          <w:rFonts w:asciiTheme="minorHAnsi" w:hAnsiTheme="minorHAnsi"/>
          <w:sz w:val="24"/>
        </w:rPr>
        <w:t>Resources</w:t>
      </w:r>
    </w:p>
    <w:tbl>
      <w:tblPr>
        <w:tblStyle w:val="TableGrid"/>
        <w:tblW w:w="0" w:type="auto"/>
        <w:tblLook w:val="04A0" w:firstRow="1" w:lastRow="0" w:firstColumn="1" w:lastColumn="0" w:noHBand="0" w:noVBand="1"/>
      </w:tblPr>
      <w:tblGrid>
        <w:gridCol w:w="6097"/>
        <w:gridCol w:w="1872"/>
        <w:gridCol w:w="2047"/>
        <w:gridCol w:w="1960"/>
        <w:gridCol w:w="1974"/>
      </w:tblGrid>
      <w:tr w:rsidR="0015409F" w:rsidRPr="006900FE" w14:paraId="402B9ED2" w14:textId="77777777" w:rsidTr="000D6DE5">
        <w:tc>
          <w:tcPr>
            <w:tcW w:w="6228" w:type="dxa"/>
            <w:shd w:val="clear" w:color="auto" w:fill="000000" w:themeFill="text1"/>
          </w:tcPr>
          <w:p w14:paraId="402B9ECF" w14:textId="77777777" w:rsidR="0015409F" w:rsidRPr="006900FE" w:rsidRDefault="0015409F" w:rsidP="00E37E7A">
            <w:pPr>
              <w:pStyle w:val="BodyText2"/>
              <w:jc w:val="center"/>
              <w:rPr>
                <w:rFonts w:asciiTheme="minorHAnsi" w:hAnsiTheme="minorHAnsi"/>
                <w:b/>
                <w:color w:val="FFFFFF" w:themeColor="background1"/>
                <w:sz w:val="24"/>
              </w:rPr>
            </w:pPr>
            <w:r w:rsidRPr="006900FE">
              <w:rPr>
                <w:rFonts w:asciiTheme="minorHAnsi" w:hAnsiTheme="minorHAnsi"/>
                <w:b/>
                <w:color w:val="FFFFFF" w:themeColor="background1"/>
                <w:sz w:val="24"/>
              </w:rPr>
              <w:t>Focus Area</w:t>
            </w:r>
          </w:p>
        </w:tc>
        <w:tc>
          <w:tcPr>
            <w:tcW w:w="5940" w:type="dxa"/>
            <w:gridSpan w:val="3"/>
            <w:shd w:val="clear" w:color="auto" w:fill="000000" w:themeFill="text1"/>
          </w:tcPr>
          <w:p w14:paraId="402B9ED0" w14:textId="77777777" w:rsidR="0015409F" w:rsidRPr="006900FE" w:rsidRDefault="000D6DE5" w:rsidP="00E37E7A">
            <w:pPr>
              <w:pStyle w:val="BodyText2"/>
              <w:jc w:val="center"/>
              <w:rPr>
                <w:rFonts w:asciiTheme="minorHAnsi" w:hAnsiTheme="minorHAnsi"/>
                <w:b/>
                <w:color w:val="FFFFFF" w:themeColor="background1"/>
                <w:sz w:val="24"/>
              </w:rPr>
            </w:pPr>
            <w:r w:rsidRPr="006900FE">
              <w:rPr>
                <w:rFonts w:asciiTheme="minorHAnsi" w:hAnsiTheme="minorHAnsi"/>
                <w:b/>
                <w:color w:val="FFFFFF" w:themeColor="background1"/>
                <w:sz w:val="24"/>
              </w:rPr>
              <w:t xml:space="preserve">Programme </w:t>
            </w:r>
            <w:r w:rsidR="0015409F" w:rsidRPr="006900FE">
              <w:rPr>
                <w:rFonts w:asciiTheme="minorHAnsi" w:hAnsiTheme="minorHAnsi"/>
                <w:b/>
                <w:color w:val="FFFFFF" w:themeColor="background1"/>
                <w:sz w:val="24"/>
              </w:rPr>
              <w:t>Expenditure ($)</w:t>
            </w:r>
          </w:p>
        </w:tc>
        <w:tc>
          <w:tcPr>
            <w:tcW w:w="2008" w:type="dxa"/>
            <w:shd w:val="clear" w:color="auto" w:fill="000000" w:themeFill="text1"/>
          </w:tcPr>
          <w:p w14:paraId="402B9ED1" w14:textId="77777777" w:rsidR="0015409F" w:rsidRPr="006900FE" w:rsidRDefault="0015409F" w:rsidP="00E37E7A">
            <w:pPr>
              <w:pStyle w:val="BodyText2"/>
              <w:jc w:val="center"/>
              <w:rPr>
                <w:rFonts w:asciiTheme="minorHAnsi" w:hAnsiTheme="minorHAnsi"/>
                <w:b/>
                <w:color w:val="FFFFFF" w:themeColor="background1"/>
                <w:sz w:val="24"/>
              </w:rPr>
            </w:pPr>
            <w:r w:rsidRPr="006900FE">
              <w:rPr>
                <w:rFonts w:asciiTheme="minorHAnsi" w:hAnsiTheme="minorHAnsi"/>
                <w:b/>
                <w:color w:val="FFFFFF" w:themeColor="background1"/>
                <w:sz w:val="24"/>
              </w:rPr>
              <w:t>% of Total</w:t>
            </w:r>
          </w:p>
        </w:tc>
      </w:tr>
      <w:tr w:rsidR="000D6DE5" w:rsidRPr="006900FE" w14:paraId="402B9ED8" w14:textId="77777777" w:rsidTr="000D6DE5">
        <w:tc>
          <w:tcPr>
            <w:tcW w:w="6228" w:type="dxa"/>
          </w:tcPr>
          <w:p w14:paraId="402B9ED3" w14:textId="77777777" w:rsidR="000D6DE5" w:rsidRPr="006900FE" w:rsidRDefault="000D6DE5" w:rsidP="00A0001A">
            <w:pPr>
              <w:pStyle w:val="BodyText2"/>
              <w:rPr>
                <w:rFonts w:asciiTheme="minorHAnsi" w:hAnsiTheme="minorHAnsi"/>
              </w:rPr>
            </w:pPr>
          </w:p>
        </w:tc>
        <w:tc>
          <w:tcPr>
            <w:tcW w:w="1890" w:type="dxa"/>
          </w:tcPr>
          <w:p w14:paraId="402B9ED4" w14:textId="77777777" w:rsidR="000D6DE5" w:rsidRPr="006900FE" w:rsidRDefault="000D6DE5" w:rsidP="00E37E7A">
            <w:pPr>
              <w:pStyle w:val="BodyText2"/>
              <w:jc w:val="center"/>
              <w:rPr>
                <w:rFonts w:asciiTheme="minorHAnsi" w:hAnsiTheme="minorHAnsi"/>
              </w:rPr>
            </w:pPr>
            <w:r w:rsidRPr="006900FE">
              <w:rPr>
                <w:rFonts w:asciiTheme="minorHAnsi" w:hAnsiTheme="minorHAnsi"/>
              </w:rPr>
              <w:t>Regular (TRAC)</w:t>
            </w:r>
          </w:p>
        </w:tc>
        <w:tc>
          <w:tcPr>
            <w:tcW w:w="2070" w:type="dxa"/>
          </w:tcPr>
          <w:p w14:paraId="402B9ED5" w14:textId="77777777" w:rsidR="000D6DE5" w:rsidRPr="006900FE" w:rsidRDefault="000D6DE5" w:rsidP="00E37E7A">
            <w:pPr>
              <w:pStyle w:val="BodyText2"/>
              <w:jc w:val="center"/>
              <w:rPr>
                <w:rFonts w:asciiTheme="minorHAnsi" w:hAnsiTheme="minorHAnsi"/>
              </w:rPr>
            </w:pPr>
            <w:r w:rsidRPr="006900FE">
              <w:rPr>
                <w:rFonts w:asciiTheme="minorHAnsi" w:hAnsiTheme="minorHAnsi"/>
              </w:rPr>
              <w:t>Other</w:t>
            </w:r>
          </w:p>
        </w:tc>
        <w:tc>
          <w:tcPr>
            <w:tcW w:w="1980" w:type="dxa"/>
          </w:tcPr>
          <w:p w14:paraId="402B9ED6" w14:textId="77777777" w:rsidR="000D6DE5" w:rsidRPr="006900FE" w:rsidRDefault="000D6DE5" w:rsidP="00E37E7A">
            <w:pPr>
              <w:pStyle w:val="BodyText2"/>
              <w:jc w:val="center"/>
              <w:rPr>
                <w:rFonts w:asciiTheme="minorHAnsi" w:hAnsiTheme="minorHAnsi"/>
              </w:rPr>
            </w:pPr>
            <w:r w:rsidRPr="006900FE">
              <w:rPr>
                <w:rFonts w:asciiTheme="minorHAnsi" w:hAnsiTheme="minorHAnsi"/>
              </w:rPr>
              <w:t>Total</w:t>
            </w:r>
          </w:p>
        </w:tc>
        <w:tc>
          <w:tcPr>
            <w:tcW w:w="2008" w:type="dxa"/>
          </w:tcPr>
          <w:p w14:paraId="402B9ED7" w14:textId="77777777" w:rsidR="000D6DE5" w:rsidRPr="006900FE" w:rsidRDefault="000D6DE5" w:rsidP="00E37E7A">
            <w:pPr>
              <w:pStyle w:val="BodyText2"/>
              <w:jc w:val="center"/>
              <w:rPr>
                <w:rFonts w:asciiTheme="minorHAnsi" w:hAnsiTheme="minorHAnsi"/>
              </w:rPr>
            </w:pPr>
          </w:p>
        </w:tc>
      </w:tr>
      <w:tr w:rsidR="000D6DE5" w:rsidRPr="006900FE" w14:paraId="402B9EDE" w14:textId="77777777" w:rsidTr="000D6DE5">
        <w:tc>
          <w:tcPr>
            <w:tcW w:w="6228" w:type="dxa"/>
          </w:tcPr>
          <w:p w14:paraId="402B9ED9" w14:textId="77777777" w:rsidR="000D6DE5" w:rsidRPr="006900FE" w:rsidRDefault="000D6DE5" w:rsidP="00A0001A">
            <w:pPr>
              <w:pStyle w:val="BodyText2"/>
              <w:rPr>
                <w:rFonts w:asciiTheme="minorHAnsi" w:hAnsiTheme="minorHAnsi"/>
              </w:rPr>
            </w:pPr>
            <w:r w:rsidRPr="006900FE">
              <w:rPr>
                <w:rFonts w:asciiTheme="minorHAnsi" w:hAnsiTheme="minorHAnsi"/>
              </w:rPr>
              <w:t>Poverty and MDGs</w:t>
            </w:r>
          </w:p>
        </w:tc>
        <w:tc>
          <w:tcPr>
            <w:tcW w:w="1890" w:type="dxa"/>
          </w:tcPr>
          <w:p w14:paraId="402B9EDA" w14:textId="3DA35727" w:rsidR="000D6DE5" w:rsidRPr="006900FE" w:rsidRDefault="00D059AE" w:rsidP="00E37E7A">
            <w:pPr>
              <w:pStyle w:val="BodyText2"/>
              <w:jc w:val="center"/>
              <w:rPr>
                <w:rFonts w:asciiTheme="minorHAnsi" w:hAnsiTheme="minorHAnsi"/>
              </w:rPr>
            </w:pPr>
            <w:r>
              <w:rPr>
                <w:rFonts w:asciiTheme="minorHAnsi" w:hAnsiTheme="minorHAnsi"/>
              </w:rPr>
              <w:t>$13,746,351</w:t>
            </w:r>
          </w:p>
        </w:tc>
        <w:tc>
          <w:tcPr>
            <w:tcW w:w="2070" w:type="dxa"/>
          </w:tcPr>
          <w:p w14:paraId="402B9EDB" w14:textId="1AD84D42" w:rsidR="000D6DE5" w:rsidRPr="006900FE" w:rsidRDefault="00D059AE" w:rsidP="00E37E7A">
            <w:pPr>
              <w:pStyle w:val="BodyText2"/>
              <w:jc w:val="center"/>
              <w:rPr>
                <w:rFonts w:asciiTheme="minorHAnsi" w:hAnsiTheme="minorHAnsi"/>
              </w:rPr>
            </w:pPr>
            <w:r>
              <w:rPr>
                <w:rFonts w:asciiTheme="minorHAnsi" w:hAnsiTheme="minorHAnsi"/>
              </w:rPr>
              <w:t>$9,481,426</w:t>
            </w:r>
          </w:p>
        </w:tc>
        <w:tc>
          <w:tcPr>
            <w:tcW w:w="1980" w:type="dxa"/>
          </w:tcPr>
          <w:p w14:paraId="402B9EDC" w14:textId="771895EB" w:rsidR="000D6DE5" w:rsidRPr="006900FE" w:rsidRDefault="00D059AE" w:rsidP="00E37E7A">
            <w:pPr>
              <w:pStyle w:val="BodyText2"/>
              <w:jc w:val="center"/>
              <w:rPr>
                <w:rFonts w:asciiTheme="minorHAnsi" w:hAnsiTheme="minorHAnsi"/>
              </w:rPr>
            </w:pPr>
            <w:r>
              <w:rPr>
                <w:rFonts w:asciiTheme="minorHAnsi" w:hAnsiTheme="minorHAnsi"/>
              </w:rPr>
              <w:t>$23,227,777</w:t>
            </w:r>
          </w:p>
        </w:tc>
        <w:tc>
          <w:tcPr>
            <w:tcW w:w="2008" w:type="dxa"/>
          </w:tcPr>
          <w:p w14:paraId="402B9EDD" w14:textId="42F8C664" w:rsidR="000D6DE5" w:rsidRPr="006900FE" w:rsidRDefault="008B6B69" w:rsidP="00E37E7A">
            <w:pPr>
              <w:pStyle w:val="BodyText2"/>
              <w:jc w:val="center"/>
              <w:rPr>
                <w:rFonts w:asciiTheme="minorHAnsi" w:hAnsiTheme="minorHAnsi"/>
              </w:rPr>
            </w:pPr>
            <w:r>
              <w:rPr>
                <w:rFonts w:asciiTheme="minorHAnsi" w:hAnsiTheme="minorHAnsi"/>
              </w:rPr>
              <w:t>24%</w:t>
            </w:r>
          </w:p>
        </w:tc>
      </w:tr>
      <w:tr w:rsidR="000D6DE5" w:rsidRPr="006900FE" w14:paraId="402B9EE4" w14:textId="77777777" w:rsidTr="000D6DE5">
        <w:tc>
          <w:tcPr>
            <w:tcW w:w="6228" w:type="dxa"/>
          </w:tcPr>
          <w:p w14:paraId="402B9EDF" w14:textId="77777777" w:rsidR="000D6DE5" w:rsidRPr="006900FE" w:rsidRDefault="000D6DE5" w:rsidP="00A0001A">
            <w:pPr>
              <w:pStyle w:val="BodyText2"/>
              <w:rPr>
                <w:rFonts w:asciiTheme="minorHAnsi" w:hAnsiTheme="minorHAnsi"/>
              </w:rPr>
            </w:pPr>
            <w:r w:rsidRPr="006900FE">
              <w:rPr>
                <w:rFonts w:asciiTheme="minorHAnsi" w:hAnsiTheme="minorHAnsi"/>
              </w:rPr>
              <w:t>Democratic Governance</w:t>
            </w:r>
          </w:p>
        </w:tc>
        <w:tc>
          <w:tcPr>
            <w:tcW w:w="1890" w:type="dxa"/>
          </w:tcPr>
          <w:p w14:paraId="402B9EE0" w14:textId="33B8537F" w:rsidR="000D6DE5" w:rsidRPr="006900FE" w:rsidRDefault="00D059AE" w:rsidP="008B6B69">
            <w:pPr>
              <w:pStyle w:val="BodyText2"/>
              <w:jc w:val="center"/>
              <w:rPr>
                <w:rFonts w:asciiTheme="minorHAnsi" w:hAnsiTheme="minorHAnsi"/>
              </w:rPr>
            </w:pPr>
            <w:r>
              <w:rPr>
                <w:rFonts w:asciiTheme="minorHAnsi" w:hAnsiTheme="minorHAnsi"/>
              </w:rPr>
              <w:t>$</w:t>
            </w:r>
            <w:r w:rsidR="008B6B69">
              <w:rPr>
                <w:rFonts w:asciiTheme="minorHAnsi" w:hAnsiTheme="minorHAnsi"/>
              </w:rPr>
              <w:t>9,216,877</w:t>
            </w:r>
          </w:p>
        </w:tc>
        <w:tc>
          <w:tcPr>
            <w:tcW w:w="2070" w:type="dxa"/>
          </w:tcPr>
          <w:p w14:paraId="402B9EE1" w14:textId="4D5E6550" w:rsidR="000D6DE5" w:rsidRPr="006900FE" w:rsidRDefault="008B6B69" w:rsidP="00E37E7A">
            <w:pPr>
              <w:pStyle w:val="BodyText2"/>
              <w:jc w:val="center"/>
              <w:rPr>
                <w:rFonts w:asciiTheme="minorHAnsi" w:hAnsiTheme="minorHAnsi"/>
              </w:rPr>
            </w:pPr>
            <w:r>
              <w:rPr>
                <w:rFonts w:asciiTheme="minorHAnsi" w:hAnsiTheme="minorHAnsi"/>
              </w:rPr>
              <w:t>$44,284,810</w:t>
            </w:r>
          </w:p>
        </w:tc>
        <w:tc>
          <w:tcPr>
            <w:tcW w:w="1980" w:type="dxa"/>
          </w:tcPr>
          <w:p w14:paraId="402B9EE2" w14:textId="6F4847D6" w:rsidR="000D6DE5" w:rsidRPr="006900FE" w:rsidRDefault="008B6B69" w:rsidP="00E37E7A">
            <w:pPr>
              <w:pStyle w:val="BodyText2"/>
              <w:jc w:val="center"/>
              <w:rPr>
                <w:rFonts w:asciiTheme="minorHAnsi" w:hAnsiTheme="minorHAnsi"/>
              </w:rPr>
            </w:pPr>
            <w:r>
              <w:rPr>
                <w:rFonts w:asciiTheme="minorHAnsi" w:hAnsiTheme="minorHAnsi"/>
              </w:rPr>
              <w:t>$53,501,687</w:t>
            </w:r>
          </w:p>
        </w:tc>
        <w:tc>
          <w:tcPr>
            <w:tcW w:w="2008" w:type="dxa"/>
          </w:tcPr>
          <w:p w14:paraId="402B9EE3" w14:textId="5CDFC8A9" w:rsidR="000D6DE5" w:rsidRPr="006900FE" w:rsidRDefault="008B6B69" w:rsidP="00E37E7A">
            <w:pPr>
              <w:pStyle w:val="BodyText2"/>
              <w:jc w:val="center"/>
              <w:rPr>
                <w:rFonts w:asciiTheme="minorHAnsi" w:hAnsiTheme="minorHAnsi"/>
              </w:rPr>
            </w:pPr>
            <w:r>
              <w:rPr>
                <w:rFonts w:asciiTheme="minorHAnsi" w:hAnsiTheme="minorHAnsi"/>
              </w:rPr>
              <w:t>56%</w:t>
            </w:r>
          </w:p>
        </w:tc>
      </w:tr>
      <w:tr w:rsidR="000D6DE5" w:rsidRPr="006900FE" w14:paraId="402B9EEA" w14:textId="77777777" w:rsidTr="000D6DE5">
        <w:tc>
          <w:tcPr>
            <w:tcW w:w="6228" w:type="dxa"/>
          </w:tcPr>
          <w:p w14:paraId="402B9EE5" w14:textId="77777777" w:rsidR="000D6DE5" w:rsidRPr="006900FE" w:rsidRDefault="000D6DE5" w:rsidP="00A0001A">
            <w:pPr>
              <w:pStyle w:val="BodyText2"/>
              <w:rPr>
                <w:rFonts w:asciiTheme="minorHAnsi" w:hAnsiTheme="minorHAnsi"/>
              </w:rPr>
            </w:pPr>
            <w:r w:rsidRPr="006900FE">
              <w:rPr>
                <w:rFonts w:asciiTheme="minorHAnsi" w:hAnsiTheme="minorHAnsi"/>
              </w:rPr>
              <w:t>Crisis Prevention and Recovery</w:t>
            </w:r>
          </w:p>
        </w:tc>
        <w:tc>
          <w:tcPr>
            <w:tcW w:w="1890" w:type="dxa"/>
          </w:tcPr>
          <w:p w14:paraId="402B9EE6" w14:textId="3824BD61" w:rsidR="000D6DE5" w:rsidRPr="006900FE" w:rsidRDefault="00D059AE" w:rsidP="00E37E7A">
            <w:pPr>
              <w:pStyle w:val="BodyText2"/>
              <w:jc w:val="center"/>
              <w:rPr>
                <w:rFonts w:asciiTheme="minorHAnsi" w:hAnsiTheme="minorHAnsi"/>
              </w:rPr>
            </w:pPr>
            <w:r>
              <w:rPr>
                <w:rFonts w:asciiTheme="minorHAnsi" w:hAnsiTheme="minorHAnsi"/>
              </w:rPr>
              <w:t>$480,688</w:t>
            </w:r>
          </w:p>
        </w:tc>
        <w:tc>
          <w:tcPr>
            <w:tcW w:w="2070" w:type="dxa"/>
          </w:tcPr>
          <w:p w14:paraId="402B9EE7" w14:textId="74820482" w:rsidR="000D6DE5" w:rsidRPr="006900FE" w:rsidRDefault="00D059AE" w:rsidP="00E37E7A">
            <w:pPr>
              <w:pStyle w:val="BodyText2"/>
              <w:jc w:val="center"/>
              <w:rPr>
                <w:rFonts w:asciiTheme="minorHAnsi" w:hAnsiTheme="minorHAnsi"/>
              </w:rPr>
            </w:pPr>
            <w:r>
              <w:rPr>
                <w:rFonts w:asciiTheme="minorHAnsi" w:hAnsiTheme="minorHAnsi"/>
              </w:rPr>
              <w:t>$1,686,411</w:t>
            </w:r>
          </w:p>
        </w:tc>
        <w:tc>
          <w:tcPr>
            <w:tcW w:w="1980" w:type="dxa"/>
          </w:tcPr>
          <w:p w14:paraId="402B9EE8" w14:textId="3AF3DA00" w:rsidR="000D6DE5" w:rsidRPr="006900FE" w:rsidRDefault="00D059AE" w:rsidP="00E37E7A">
            <w:pPr>
              <w:pStyle w:val="BodyText2"/>
              <w:jc w:val="center"/>
              <w:rPr>
                <w:rFonts w:asciiTheme="minorHAnsi" w:hAnsiTheme="minorHAnsi"/>
              </w:rPr>
            </w:pPr>
            <w:r>
              <w:rPr>
                <w:rFonts w:asciiTheme="minorHAnsi" w:hAnsiTheme="minorHAnsi"/>
              </w:rPr>
              <w:t>$2,167,099</w:t>
            </w:r>
          </w:p>
        </w:tc>
        <w:tc>
          <w:tcPr>
            <w:tcW w:w="2008" w:type="dxa"/>
          </w:tcPr>
          <w:p w14:paraId="402B9EE9" w14:textId="1021EF89" w:rsidR="000D6DE5" w:rsidRPr="006900FE" w:rsidRDefault="008B6B69" w:rsidP="00E37E7A">
            <w:pPr>
              <w:pStyle w:val="BodyText2"/>
              <w:jc w:val="center"/>
              <w:rPr>
                <w:rFonts w:asciiTheme="minorHAnsi" w:hAnsiTheme="minorHAnsi"/>
              </w:rPr>
            </w:pPr>
            <w:r>
              <w:rPr>
                <w:rFonts w:asciiTheme="minorHAnsi" w:hAnsiTheme="minorHAnsi"/>
              </w:rPr>
              <w:t>2%</w:t>
            </w:r>
          </w:p>
        </w:tc>
      </w:tr>
      <w:tr w:rsidR="000D6DE5" w:rsidRPr="006900FE" w14:paraId="402B9EF0" w14:textId="77777777" w:rsidTr="000D6DE5">
        <w:tc>
          <w:tcPr>
            <w:tcW w:w="6228" w:type="dxa"/>
          </w:tcPr>
          <w:p w14:paraId="402B9EEB" w14:textId="77777777" w:rsidR="000D6DE5" w:rsidRPr="006900FE" w:rsidRDefault="000D6DE5" w:rsidP="00A0001A">
            <w:pPr>
              <w:pStyle w:val="BodyText2"/>
              <w:rPr>
                <w:rFonts w:asciiTheme="minorHAnsi" w:hAnsiTheme="minorHAnsi"/>
              </w:rPr>
            </w:pPr>
            <w:r w:rsidRPr="006900FE">
              <w:rPr>
                <w:rFonts w:asciiTheme="minorHAnsi" w:hAnsiTheme="minorHAnsi"/>
              </w:rPr>
              <w:t>Environment and Sustainable Development</w:t>
            </w:r>
          </w:p>
        </w:tc>
        <w:tc>
          <w:tcPr>
            <w:tcW w:w="1890" w:type="dxa"/>
          </w:tcPr>
          <w:p w14:paraId="402B9EEC" w14:textId="37FF05B2" w:rsidR="000D6DE5" w:rsidRPr="006900FE" w:rsidRDefault="00D059AE" w:rsidP="00E37E7A">
            <w:pPr>
              <w:pStyle w:val="BodyText2"/>
              <w:jc w:val="center"/>
              <w:rPr>
                <w:rFonts w:asciiTheme="minorHAnsi" w:hAnsiTheme="minorHAnsi"/>
              </w:rPr>
            </w:pPr>
            <w:r>
              <w:rPr>
                <w:rFonts w:asciiTheme="minorHAnsi" w:hAnsiTheme="minorHAnsi"/>
              </w:rPr>
              <w:t>$6,405,016</w:t>
            </w:r>
          </w:p>
        </w:tc>
        <w:tc>
          <w:tcPr>
            <w:tcW w:w="2070" w:type="dxa"/>
          </w:tcPr>
          <w:p w14:paraId="402B9EED" w14:textId="4D8A5362" w:rsidR="000D6DE5" w:rsidRPr="006900FE" w:rsidRDefault="00D059AE" w:rsidP="00E37E7A">
            <w:pPr>
              <w:pStyle w:val="BodyText2"/>
              <w:jc w:val="center"/>
              <w:rPr>
                <w:rFonts w:asciiTheme="minorHAnsi" w:hAnsiTheme="minorHAnsi"/>
              </w:rPr>
            </w:pPr>
            <w:r>
              <w:rPr>
                <w:rFonts w:asciiTheme="minorHAnsi" w:hAnsiTheme="minorHAnsi"/>
              </w:rPr>
              <w:t>$10,513,697</w:t>
            </w:r>
          </w:p>
        </w:tc>
        <w:tc>
          <w:tcPr>
            <w:tcW w:w="1980" w:type="dxa"/>
          </w:tcPr>
          <w:p w14:paraId="402B9EEE" w14:textId="4EADA8A6" w:rsidR="000D6DE5" w:rsidRPr="006900FE" w:rsidRDefault="00D059AE" w:rsidP="00E37E7A">
            <w:pPr>
              <w:pStyle w:val="BodyText2"/>
              <w:jc w:val="center"/>
              <w:rPr>
                <w:rFonts w:asciiTheme="minorHAnsi" w:hAnsiTheme="minorHAnsi"/>
              </w:rPr>
            </w:pPr>
            <w:r>
              <w:rPr>
                <w:rFonts w:asciiTheme="minorHAnsi" w:hAnsiTheme="minorHAnsi"/>
              </w:rPr>
              <w:t>16,918,713</w:t>
            </w:r>
          </w:p>
        </w:tc>
        <w:tc>
          <w:tcPr>
            <w:tcW w:w="2008" w:type="dxa"/>
          </w:tcPr>
          <w:p w14:paraId="402B9EEF" w14:textId="00EF2314" w:rsidR="000D6DE5" w:rsidRPr="006900FE" w:rsidRDefault="008B6B69" w:rsidP="00E37E7A">
            <w:pPr>
              <w:pStyle w:val="BodyText2"/>
              <w:jc w:val="center"/>
              <w:rPr>
                <w:rFonts w:asciiTheme="minorHAnsi" w:hAnsiTheme="minorHAnsi"/>
              </w:rPr>
            </w:pPr>
            <w:r>
              <w:rPr>
                <w:rFonts w:asciiTheme="minorHAnsi" w:hAnsiTheme="minorHAnsi"/>
              </w:rPr>
              <w:t>18%</w:t>
            </w:r>
          </w:p>
        </w:tc>
      </w:tr>
      <w:tr w:rsidR="000D6DE5" w:rsidRPr="006900FE" w14:paraId="402B9EF6" w14:textId="77777777" w:rsidTr="000D6DE5">
        <w:tc>
          <w:tcPr>
            <w:tcW w:w="6228" w:type="dxa"/>
            <w:shd w:val="clear" w:color="auto" w:fill="00B0F0"/>
          </w:tcPr>
          <w:p w14:paraId="402B9EF1" w14:textId="77777777" w:rsidR="000D6DE5" w:rsidRPr="006900FE" w:rsidRDefault="000D6DE5" w:rsidP="00A0001A">
            <w:pPr>
              <w:pStyle w:val="BodyText2"/>
              <w:jc w:val="center"/>
              <w:rPr>
                <w:rFonts w:asciiTheme="minorHAnsi" w:hAnsiTheme="minorHAnsi"/>
              </w:rPr>
            </w:pPr>
            <w:r w:rsidRPr="006900FE">
              <w:rPr>
                <w:rFonts w:asciiTheme="minorHAnsi" w:hAnsiTheme="minorHAnsi"/>
              </w:rPr>
              <w:t>Total</w:t>
            </w:r>
          </w:p>
        </w:tc>
        <w:tc>
          <w:tcPr>
            <w:tcW w:w="1890" w:type="dxa"/>
            <w:shd w:val="clear" w:color="auto" w:fill="00B0F0"/>
          </w:tcPr>
          <w:p w14:paraId="402B9EF2" w14:textId="77777777" w:rsidR="000D6DE5" w:rsidRPr="006900FE" w:rsidRDefault="000D6DE5" w:rsidP="00E37E7A">
            <w:pPr>
              <w:pStyle w:val="BodyText2"/>
              <w:jc w:val="center"/>
              <w:rPr>
                <w:rFonts w:asciiTheme="minorHAnsi" w:hAnsiTheme="minorHAnsi"/>
              </w:rPr>
            </w:pPr>
          </w:p>
        </w:tc>
        <w:tc>
          <w:tcPr>
            <w:tcW w:w="2070" w:type="dxa"/>
            <w:shd w:val="clear" w:color="auto" w:fill="00B0F0"/>
          </w:tcPr>
          <w:p w14:paraId="402B9EF3" w14:textId="77777777" w:rsidR="000D6DE5" w:rsidRPr="006900FE" w:rsidRDefault="000D6DE5" w:rsidP="00E37E7A">
            <w:pPr>
              <w:pStyle w:val="BodyText2"/>
              <w:jc w:val="center"/>
              <w:rPr>
                <w:rFonts w:asciiTheme="minorHAnsi" w:hAnsiTheme="minorHAnsi"/>
              </w:rPr>
            </w:pPr>
          </w:p>
        </w:tc>
        <w:tc>
          <w:tcPr>
            <w:tcW w:w="1980" w:type="dxa"/>
            <w:shd w:val="clear" w:color="auto" w:fill="00B0F0"/>
          </w:tcPr>
          <w:p w14:paraId="402B9EF4" w14:textId="77777777" w:rsidR="000D6DE5" w:rsidRPr="006900FE" w:rsidRDefault="000D6DE5" w:rsidP="00E37E7A">
            <w:pPr>
              <w:pStyle w:val="BodyText2"/>
              <w:jc w:val="center"/>
              <w:rPr>
                <w:rFonts w:asciiTheme="minorHAnsi" w:hAnsiTheme="minorHAnsi"/>
              </w:rPr>
            </w:pPr>
          </w:p>
        </w:tc>
        <w:tc>
          <w:tcPr>
            <w:tcW w:w="2008" w:type="dxa"/>
            <w:shd w:val="clear" w:color="auto" w:fill="00B0F0"/>
          </w:tcPr>
          <w:p w14:paraId="402B9EF5" w14:textId="77777777" w:rsidR="000D6DE5" w:rsidRPr="006900FE" w:rsidRDefault="000D6DE5" w:rsidP="00E37E7A">
            <w:pPr>
              <w:pStyle w:val="BodyText2"/>
              <w:jc w:val="center"/>
              <w:rPr>
                <w:rFonts w:asciiTheme="minorHAnsi" w:hAnsiTheme="minorHAnsi"/>
              </w:rPr>
            </w:pPr>
          </w:p>
        </w:tc>
      </w:tr>
    </w:tbl>
    <w:p w14:paraId="402B9EF7" w14:textId="77777777" w:rsidR="00635929" w:rsidRPr="006900FE" w:rsidRDefault="00635929" w:rsidP="002315A5">
      <w:pPr>
        <w:pStyle w:val="BodyText2"/>
        <w:rPr>
          <w:rFonts w:asciiTheme="minorHAnsi" w:hAnsiTheme="minorHAnsi"/>
          <w:sz w:val="24"/>
        </w:rPr>
      </w:pPr>
    </w:p>
    <w:tbl>
      <w:tblPr>
        <w:tblStyle w:val="TableGrid"/>
        <w:tblW w:w="0" w:type="auto"/>
        <w:tblLook w:val="04A0" w:firstRow="1" w:lastRow="0" w:firstColumn="1" w:lastColumn="0" w:noHBand="0" w:noVBand="1"/>
      </w:tblPr>
      <w:tblGrid>
        <w:gridCol w:w="13950"/>
      </w:tblGrid>
      <w:tr w:rsidR="002547CF" w:rsidRPr="006900FE" w14:paraId="402B9EF9" w14:textId="77777777" w:rsidTr="00B64ACA">
        <w:tc>
          <w:tcPr>
            <w:tcW w:w="14176" w:type="dxa"/>
          </w:tcPr>
          <w:p w14:paraId="402B9EF8" w14:textId="77777777" w:rsidR="002547CF" w:rsidRPr="006900FE" w:rsidRDefault="002547CF" w:rsidP="005E0C05">
            <w:pPr>
              <w:pStyle w:val="BodyText2"/>
              <w:rPr>
                <w:rFonts w:asciiTheme="minorHAnsi" w:hAnsiTheme="minorHAnsi"/>
                <w:b/>
              </w:rPr>
            </w:pPr>
            <w:r w:rsidRPr="006900FE">
              <w:rPr>
                <w:rFonts w:asciiTheme="minorHAnsi" w:hAnsiTheme="minorHAnsi"/>
                <w:b/>
              </w:rPr>
              <w:t xml:space="preserve">Data sources:  (please indicate the main sources from which data were obtained for this report.) </w:t>
            </w:r>
          </w:p>
        </w:tc>
      </w:tr>
      <w:tr w:rsidR="00B64ACA" w:rsidRPr="006900FE" w14:paraId="402B9EFF" w14:textId="77777777" w:rsidTr="00B64ACA">
        <w:tc>
          <w:tcPr>
            <w:tcW w:w="14176" w:type="dxa"/>
          </w:tcPr>
          <w:p w14:paraId="45F51FF9" w14:textId="14BA61E6" w:rsidR="008647BD" w:rsidRPr="0079693F" w:rsidRDefault="008647BD" w:rsidP="00CD659B">
            <w:pPr>
              <w:pStyle w:val="BodyText2"/>
              <w:numPr>
                <w:ilvl w:val="0"/>
                <w:numId w:val="24"/>
              </w:numPr>
              <w:rPr>
                <w:rFonts w:asciiTheme="minorHAnsi" w:hAnsiTheme="minorHAnsi"/>
              </w:rPr>
            </w:pPr>
            <w:r w:rsidRPr="0079693F">
              <w:rPr>
                <w:rFonts w:asciiTheme="minorHAnsi" w:hAnsiTheme="minorHAnsi"/>
              </w:rPr>
              <w:t xml:space="preserve">UNDP UZBEKISTAN </w:t>
            </w:r>
            <w:r w:rsidR="002967F3">
              <w:rPr>
                <w:rFonts w:asciiTheme="minorHAnsi" w:hAnsiTheme="minorHAnsi"/>
              </w:rPr>
              <w:t>Result-Oriented Annual R</w:t>
            </w:r>
            <w:r w:rsidRPr="0079693F">
              <w:rPr>
                <w:rFonts w:asciiTheme="minorHAnsi" w:hAnsiTheme="minorHAnsi"/>
              </w:rPr>
              <w:t>eports 2010-2014</w:t>
            </w:r>
          </w:p>
          <w:p w14:paraId="64635E3C" w14:textId="47DFF8C1" w:rsidR="008647BD" w:rsidRPr="0079693F" w:rsidRDefault="00F22F95" w:rsidP="00CD659B">
            <w:pPr>
              <w:pStyle w:val="BodyText2"/>
              <w:numPr>
                <w:ilvl w:val="0"/>
                <w:numId w:val="24"/>
              </w:numPr>
              <w:rPr>
                <w:rFonts w:asciiTheme="minorHAnsi" w:hAnsiTheme="minorHAnsi"/>
              </w:rPr>
            </w:pPr>
            <w:r>
              <w:rPr>
                <w:rFonts w:asciiTheme="minorHAnsi" w:hAnsiTheme="minorHAnsi"/>
              </w:rPr>
              <w:t>UNCT UZBEKISTAN UNDAF reports</w:t>
            </w:r>
            <w:r w:rsidR="008647BD" w:rsidRPr="0079693F">
              <w:rPr>
                <w:rFonts w:asciiTheme="minorHAnsi" w:hAnsiTheme="minorHAnsi"/>
              </w:rPr>
              <w:t xml:space="preserve"> </w:t>
            </w:r>
            <w:r w:rsidR="00670A01" w:rsidRPr="0079693F">
              <w:rPr>
                <w:rFonts w:asciiTheme="minorHAnsi" w:hAnsiTheme="minorHAnsi"/>
              </w:rPr>
              <w:t>2010-2014</w:t>
            </w:r>
          </w:p>
          <w:p w14:paraId="5FBF473E" w14:textId="77777777" w:rsidR="007615B8" w:rsidRPr="0079693F" w:rsidRDefault="007615B8" w:rsidP="00CD659B">
            <w:pPr>
              <w:pStyle w:val="BodyText2"/>
              <w:numPr>
                <w:ilvl w:val="0"/>
                <w:numId w:val="24"/>
              </w:numPr>
              <w:rPr>
                <w:rFonts w:asciiTheme="minorHAnsi" w:hAnsiTheme="minorHAnsi"/>
              </w:rPr>
            </w:pPr>
            <w:r w:rsidRPr="0079693F">
              <w:rPr>
                <w:rFonts w:asciiTheme="minorHAnsi" w:hAnsiTheme="minorHAnsi"/>
              </w:rPr>
              <w:t>EVALUATION OF THE COUNTRY PROGRAMME OUTCOMES (conducted in 2013)</w:t>
            </w:r>
          </w:p>
          <w:p w14:paraId="481CF056" w14:textId="523A8679" w:rsidR="007615B8" w:rsidRDefault="007615B8" w:rsidP="00CD659B">
            <w:pPr>
              <w:pStyle w:val="BodyText2"/>
              <w:numPr>
                <w:ilvl w:val="0"/>
                <w:numId w:val="24"/>
              </w:numPr>
              <w:rPr>
                <w:rFonts w:asciiTheme="minorHAnsi" w:hAnsiTheme="minorHAnsi"/>
              </w:rPr>
            </w:pPr>
            <w:r w:rsidRPr="0079693F">
              <w:rPr>
                <w:rFonts w:asciiTheme="minorHAnsi" w:hAnsiTheme="minorHAnsi"/>
              </w:rPr>
              <w:t>UNDAF evaluation (conducted in 2014)</w:t>
            </w:r>
          </w:p>
          <w:p w14:paraId="402B9EFE" w14:textId="653E9379" w:rsidR="008D791F" w:rsidRPr="006900FE" w:rsidRDefault="000C3B0A" w:rsidP="00CD659B">
            <w:pPr>
              <w:pStyle w:val="BodyText2"/>
              <w:numPr>
                <w:ilvl w:val="0"/>
                <w:numId w:val="24"/>
              </w:numPr>
              <w:rPr>
                <w:rFonts w:asciiTheme="minorHAnsi" w:hAnsiTheme="minorHAnsi"/>
                <w:b/>
              </w:rPr>
            </w:pPr>
            <w:r>
              <w:rPr>
                <w:rFonts w:asciiTheme="minorHAnsi" w:hAnsiTheme="minorHAnsi"/>
              </w:rPr>
              <w:t>Final project evaluations 2010-2014</w:t>
            </w:r>
          </w:p>
        </w:tc>
      </w:tr>
    </w:tbl>
    <w:p w14:paraId="402B9F00" w14:textId="77777777" w:rsidR="00635929" w:rsidRDefault="00635929" w:rsidP="005E0C05">
      <w:pPr>
        <w:pStyle w:val="BodyText2"/>
        <w:rPr>
          <w:rFonts w:ascii="Times New Roman" w:hAnsi="Times New Roman"/>
          <w:sz w:val="24"/>
        </w:rPr>
      </w:pPr>
    </w:p>
    <w:sectPr w:rsidR="00635929" w:rsidSect="0037523B">
      <w:endnotePr>
        <w:numFmt w:val="decimal"/>
      </w:endnotePr>
      <w:pgSz w:w="16840" w:h="11907" w:orient="landscape"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CE6FAE" w14:textId="77777777" w:rsidR="00FF244F" w:rsidRDefault="00FF244F">
      <w:r>
        <w:separator/>
      </w:r>
    </w:p>
  </w:endnote>
  <w:endnote w:type="continuationSeparator" w:id="0">
    <w:p w14:paraId="11A60FB9" w14:textId="77777777" w:rsidR="00FF244F" w:rsidRDefault="00FF2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407"/>
      <w:docPartObj>
        <w:docPartGallery w:val="Page Numbers (Bottom of Page)"/>
        <w:docPartUnique/>
      </w:docPartObj>
    </w:sdtPr>
    <w:sdtEndPr/>
    <w:sdtContent>
      <w:p w14:paraId="402B9F06" w14:textId="77777777" w:rsidR="00A210CD" w:rsidRDefault="00C40DAF">
        <w:pPr>
          <w:pStyle w:val="Footer"/>
          <w:jc w:val="center"/>
        </w:pPr>
        <w:r>
          <w:fldChar w:fldCharType="begin"/>
        </w:r>
        <w:r>
          <w:instrText xml:space="preserve"> PAGE   \* MERGEFORMAT </w:instrText>
        </w:r>
        <w:r>
          <w:fldChar w:fldCharType="separate"/>
        </w:r>
        <w:r w:rsidR="004A5495">
          <w:rPr>
            <w:noProof/>
          </w:rPr>
          <w:t>12</w:t>
        </w:r>
        <w:r>
          <w:rPr>
            <w:noProof/>
          </w:rPr>
          <w:fldChar w:fldCharType="end"/>
        </w:r>
      </w:p>
    </w:sdtContent>
  </w:sdt>
  <w:p w14:paraId="402B9F07" w14:textId="77777777" w:rsidR="00A210CD" w:rsidRDefault="00A210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74C242" w14:textId="77777777" w:rsidR="00FF244F" w:rsidRDefault="00FF244F">
      <w:r>
        <w:separator/>
      </w:r>
    </w:p>
  </w:footnote>
  <w:footnote w:type="continuationSeparator" w:id="0">
    <w:p w14:paraId="3D1EA43B" w14:textId="77777777" w:rsidR="00FF244F" w:rsidRDefault="00FF244F">
      <w:r>
        <w:continuationSeparator/>
      </w:r>
    </w:p>
  </w:footnote>
  <w:footnote w:id="1">
    <w:p w14:paraId="402B9F08" w14:textId="77777777" w:rsidR="001F3524" w:rsidRPr="0064746F" w:rsidRDefault="001F3524">
      <w:pPr>
        <w:pStyle w:val="FootnoteText"/>
        <w:rPr>
          <w:rFonts w:asciiTheme="minorHAnsi" w:hAnsiTheme="minorHAnsi"/>
        </w:rPr>
      </w:pPr>
      <w:r w:rsidRPr="0064746F">
        <w:rPr>
          <w:rStyle w:val="FootnoteReference"/>
          <w:rFonts w:asciiTheme="minorHAnsi" w:hAnsiTheme="minorHAnsi"/>
        </w:rPr>
        <w:footnoteRef/>
      </w:r>
      <w:r w:rsidRPr="0064746F">
        <w:rPr>
          <w:rFonts w:asciiTheme="minorHAnsi" w:hAnsiTheme="minorHAnsi"/>
        </w:rPr>
        <w:t xml:space="preserve"> This assessment of results is to be</w:t>
      </w:r>
      <w:r w:rsidR="0064746F" w:rsidRPr="0064746F">
        <w:rPr>
          <w:rFonts w:asciiTheme="minorHAnsi" w:hAnsiTheme="minorHAnsi"/>
        </w:rPr>
        <w:t xml:space="preserve"> prepared</w:t>
      </w:r>
      <w:r w:rsidRPr="0064746F">
        <w:rPr>
          <w:rFonts w:asciiTheme="minorHAnsi" w:hAnsiTheme="minorHAnsi"/>
        </w:rPr>
        <w:t xml:space="preserve"> only in the absence of a completed Assessment of Development Results (ADR) for the cycle.</w:t>
      </w:r>
    </w:p>
  </w:footnote>
  <w:footnote w:id="2">
    <w:p w14:paraId="2FA92753" w14:textId="703F618A" w:rsidR="00B40C87" w:rsidRPr="00AE1E16" w:rsidRDefault="00B40C87">
      <w:pPr>
        <w:pStyle w:val="FootnoteText"/>
        <w:rPr>
          <w:sz w:val="16"/>
        </w:rPr>
      </w:pPr>
      <w:r w:rsidRPr="00AE1E16">
        <w:rPr>
          <w:rStyle w:val="FootnoteReference"/>
          <w:sz w:val="16"/>
        </w:rPr>
        <w:footnoteRef/>
      </w:r>
      <w:r w:rsidRPr="00AE1E16">
        <w:rPr>
          <w:sz w:val="16"/>
        </w:rPr>
        <w:t xml:space="preserve"> </w:t>
      </w:r>
      <w:r w:rsidRPr="00AE1E16">
        <w:rPr>
          <w:rFonts w:asciiTheme="minorHAnsi" w:hAnsiTheme="minorHAnsi" w:cstheme="minorHAnsi"/>
          <w:color w:val="000000" w:themeColor="text1"/>
          <w:sz w:val="16"/>
        </w:rPr>
        <w:t>Protocols of consultations on 2nd National MDG report, 18-26 Sept 2014</w:t>
      </w:r>
    </w:p>
  </w:footnote>
  <w:footnote w:id="3">
    <w:p w14:paraId="659A6586" w14:textId="0B6C2B32" w:rsidR="007D26AE" w:rsidRPr="00AE1E16" w:rsidRDefault="007D26AE">
      <w:pPr>
        <w:pStyle w:val="FootnoteText"/>
        <w:rPr>
          <w:sz w:val="16"/>
        </w:rPr>
      </w:pPr>
      <w:r w:rsidRPr="00AE1E16">
        <w:rPr>
          <w:rStyle w:val="FootnoteReference"/>
          <w:sz w:val="16"/>
        </w:rPr>
        <w:footnoteRef/>
      </w:r>
      <w:r w:rsidRPr="00AE1E16">
        <w:rPr>
          <w:sz w:val="16"/>
        </w:rPr>
        <w:t xml:space="preserve"> </w:t>
      </w:r>
      <w:r w:rsidRPr="00AE1E16">
        <w:rPr>
          <w:rFonts w:asciiTheme="minorHAnsi" w:hAnsiTheme="minorHAnsi" w:cstheme="minorHAnsi"/>
          <w:color w:val="000000" w:themeColor="text1"/>
          <w:sz w:val="16"/>
        </w:rPr>
        <w:t>2nd National MDG Report, final draft approved by Uzbekistan, December 2014</w:t>
      </w:r>
    </w:p>
  </w:footnote>
  <w:footnote w:id="4">
    <w:p w14:paraId="1C72FC37" w14:textId="101AC166" w:rsidR="00D97429" w:rsidRPr="00AE1E16" w:rsidRDefault="00D97429">
      <w:pPr>
        <w:pStyle w:val="FootnoteText"/>
        <w:rPr>
          <w:sz w:val="16"/>
        </w:rPr>
      </w:pPr>
      <w:r w:rsidRPr="00AE1E16">
        <w:rPr>
          <w:rStyle w:val="FootnoteReference"/>
          <w:sz w:val="16"/>
        </w:rPr>
        <w:footnoteRef/>
      </w:r>
      <w:r w:rsidRPr="00AE1E16">
        <w:rPr>
          <w:sz w:val="16"/>
        </w:rPr>
        <w:t xml:space="preserve"> </w:t>
      </w:r>
      <w:r w:rsidRPr="00AE1E16">
        <w:rPr>
          <w:rFonts w:asciiTheme="minorHAnsi" w:hAnsiTheme="minorHAnsi" w:cstheme="minorHAnsi"/>
          <w:color w:val="000000" w:themeColor="text1"/>
          <w:sz w:val="16"/>
        </w:rPr>
        <w:t xml:space="preserve">Assessment reports, </w:t>
      </w:r>
      <w:proofErr w:type="spellStart"/>
      <w:r w:rsidRPr="00AE1E16">
        <w:rPr>
          <w:rFonts w:asciiTheme="minorHAnsi" w:hAnsiTheme="minorHAnsi" w:cstheme="minorHAnsi"/>
          <w:color w:val="000000" w:themeColor="text1"/>
          <w:sz w:val="16"/>
        </w:rPr>
        <w:t>Udaya</w:t>
      </w:r>
      <w:proofErr w:type="spellEnd"/>
      <w:r w:rsidRPr="00AE1E16">
        <w:rPr>
          <w:rFonts w:asciiTheme="minorHAnsi" w:hAnsiTheme="minorHAnsi" w:cstheme="minorHAnsi"/>
          <w:color w:val="000000" w:themeColor="text1"/>
          <w:sz w:val="16"/>
        </w:rPr>
        <w:t xml:space="preserve"> R. </w:t>
      </w:r>
      <w:proofErr w:type="spellStart"/>
      <w:r w:rsidRPr="00AE1E16">
        <w:rPr>
          <w:rFonts w:asciiTheme="minorHAnsi" w:hAnsiTheme="minorHAnsi" w:cstheme="minorHAnsi"/>
          <w:color w:val="000000" w:themeColor="text1"/>
          <w:sz w:val="16"/>
        </w:rPr>
        <w:t>Wagle</w:t>
      </w:r>
      <w:proofErr w:type="spellEnd"/>
      <w:r w:rsidRPr="00AE1E16">
        <w:rPr>
          <w:rFonts w:asciiTheme="minorHAnsi" w:hAnsiTheme="minorHAnsi" w:cstheme="minorHAnsi"/>
          <w:color w:val="000000" w:themeColor="text1"/>
          <w:sz w:val="16"/>
        </w:rPr>
        <w:t xml:space="preserve"> and </w:t>
      </w:r>
      <w:proofErr w:type="spellStart"/>
      <w:r w:rsidRPr="00AE1E16">
        <w:rPr>
          <w:rFonts w:asciiTheme="minorHAnsi" w:hAnsiTheme="minorHAnsi" w:cstheme="minorHAnsi"/>
          <w:color w:val="000000" w:themeColor="text1"/>
          <w:sz w:val="16"/>
        </w:rPr>
        <w:t>Mihail</w:t>
      </w:r>
      <w:proofErr w:type="spellEnd"/>
      <w:r w:rsidRPr="00AE1E16">
        <w:rPr>
          <w:rFonts w:asciiTheme="minorHAnsi" w:hAnsiTheme="minorHAnsi" w:cstheme="minorHAnsi"/>
          <w:color w:val="000000" w:themeColor="text1"/>
          <w:sz w:val="16"/>
        </w:rPr>
        <w:t xml:space="preserve"> </w:t>
      </w:r>
      <w:proofErr w:type="spellStart"/>
      <w:r w:rsidRPr="00AE1E16">
        <w:rPr>
          <w:rFonts w:asciiTheme="minorHAnsi" w:hAnsiTheme="minorHAnsi" w:cstheme="minorHAnsi"/>
          <w:color w:val="000000" w:themeColor="text1"/>
          <w:sz w:val="16"/>
        </w:rPr>
        <w:t>Peleah</w:t>
      </w:r>
      <w:proofErr w:type="spellEnd"/>
      <w:r w:rsidRPr="00AE1E16">
        <w:rPr>
          <w:rFonts w:asciiTheme="minorHAnsi" w:hAnsiTheme="minorHAnsi" w:cstheme="minorHAnsi"/>
          <w:color w:val="000000" w:themeColor="text1"/>
          <w:sz w:val="16"/>
        </w:rPr>
        <w:t>, May 2014</w:t>
      </w:r>
    </w:p>
  </w:footnote>
  <w:footnote w:id="5">
    <w:p w14:paraId="3FE6DCF4" w14:textId="7C0AF62C" w:rsidR="00224341" w:rsidRPr="00AE1E16" w:rsidRDefault="00224341">
      <w:pPr>
        <w:pStyle w:val="FootnoteText"/>
        <w:rPr>
          <w:sz w:val="16"/>
        </w:rPr>
      </w:pPr>
      <w:r w:rsidRPr="00AE1E16">
        <w:rPr>
          <w:rStyle w:val="FootnoteReference"/>
          <w:sz w:val="16"/>
        </w:rPr>
        <w:footnoteRef/>
      </w:r>
      <w:r w:rsidRPr="00AE1E16">
        <w:rPr>
          <w:sz w:val="16"/>
        </w:rPr>
        <w:t xml:space="preserve"> </w:t>
      </w:r>
      <w:hyperlink r:id="rId1" w:tgtFrame="_blank" w:history="1">
        <w:r w:rsidRPr="00AE1E16">
          <w:rPr>
            <w:rStyle w:val="Hyperlink"/>
            <w:rFonts w:asciiTheme="minorHAnsi" w:hAnsiTheme="minorHAnsi" w:cstheme="minorHAnsi"/>
            <w:sz w:val="16"/>
          </w:rPr>
          <w:t>http://www.lex.uz/ru/law_collection/1262/</w:t>
        </w:r>
      </w:hyperlink>
      <w:r w:rsidRPr="00AE1E16">
        <w:rPr>
          <w:rStyle w:val="Hyperlink"/>
          <w:rFonts w:ascii="Tahoma" w:hAnsi="Tahoma" w:cs="Tahoma"/>
          <w:sz w:val="16"/>
        </w:rPr>
        <w:t xml:space="preserve"> </w:t>
      </w:r>
    </w:p>
  </w:footnote>
  <w:footnote w:id="6">
    <w:p w14:paraId="1F99B338" w14:textId="0490D252" w:rsidR="00B66979" w:rsidRDefault="00B66979">
      <w:pPr>
        <w:pStyle w:val="FootnoteText"/>
      </w:pPr>
      <w:r w:rsidRPr="00AE1E16">
        <w:rPr>
          <w:rStyle w:val="FootnoteReference"/>
          <w:sz w:val="16"/>
        </w:rPr>
        <w:footnoteRef/>
      </w:r>
      <w:r w:rsidRPr="00AE1E16">
        <w:rPr>
          <w:sz w:val="16"/>
        </w:rPr>
        <w:t xml:space="preserve"> </w:t>
      </w:r>
      <w:r w:rsidRPr="00AE1E16">
        <w:rPr>
          <w:rFonts w:asciiTheme="minorHAnsi" w:hAnsiTheme="minorHAnsi" w:cstheme="minorHAnsi"/>
          <w:color w:val="000000" w:themeColor="text1"/>
          <w:sz w:val="16"/>
        </w:rPr>
        <w:t>http://www.uzdaily.com/articles-id-30044.htm</w:t>
      </w:r>
    </w:p>
  </w:footnote>
  <w:footnote w:id="7">
    <w:p w14:paraId="556950DF" w14:textId="34A67580" w:rsidR="00231343" w:rsidRPr="00EA0DC9" w:rsidRDefault="00231343">
      <w:pPr>
        <w:pStyle w:val="FootnoteText"/>
        <w:rPr>
          <w:rFonts w:asciiTheme="minorHAnsi" w:hAnsiTheme="minorHAnsi" w:cstheme="minorHAnsi"/>
          <w:sz w:val="16"/>
        </w:rPr>
      </w:pPr>
      <w:r w:rsidRPr="00EA0DC9">
        <w:rPr>
          <w:rStyle w:val="FootnoteReference"/>
          <w:rFonts w:asciiTheme="minorHAnsi" w:hAnsiTheme="minorHAnsi" w:cstheme="minorHAnsi"/>
          <w:sz w:val="16"/>
        </w:rPr>
        <w:footnoteRef/>
      </w:r>
      <w:r w:rsidRPr="00EA0DC9">
        <w:rPr>
          <w:rFonts w:asciiTheme="minorHAnsi" w:hAnsiTheme="minorHAnsi" w:cstheme="minorHAnsi"/>
          <w:sz w:val="16"/>
        </w:rPr>
        <w:t xml:space="preserve"> Presidential Decree #4609 of 07.04.2014 on simplification of procedures on starting/doing business</w:t>
      </w:r>
    </w:p>
  </w:footnote>
  <w:footnote w:id="8">
    <w:p w14:paraId="3BF4FE8E" w14:textId="5BA71682" w:rsidR="000F1A6F" w:rsidRPr="00EA0DC9" w:rsidRDefault="000F1A6F">
      <w:pPr>
        <w:pStyle w:val="FootnoteText"/>
        <w:rPr>
          <w:rFonts w:asciiTheme="minorHAnsi" w:hAnsiTheme="minorHAnsi" w:cstheme="minorHAnsi"/>
          <w:sz w:val="16"/>
        </w:rPr>
      </w:pPr>
      <w:r w:rsidRPr="00EA0DC9">
        <w:rPr>
          <w:rStyle w:val="FootnoteReference"/>
          <w:rFonts w:asciiTheme="minorHAnsi" w:hAnsiTheme="minorHAnsi" w:cstheme="minorHAnsi"/>
          <w:sz w:val="16"/>
        </w:rPr>
        <w:footnoteRef/>
      </w:r>
      <w:r w:rsidRPr="00EA0DC9">
        <w:rPr>
          <w:rFonts w:asciiTheme="minorHAnsi" w:hAnsiTheme="minorHAnsi" w:cstheme="minorHAnsi"/>
          <w:sz w:val="16"/>
        </w:rPr>
        <w:t xml:space="preserve"> </w:t>
      </w:r>
      <w:hyperlink r:id="rId2" w:history="1">
        <w:r w:rsidRPr="00EA0DC9">
          <w:rPr>
            <w:rStyle w:val="Hyperlink"/>
            <w:rFonts w:asciiTheme="minorHAnsi" w:hAnsiTheme="minorHAnsi" w:cstheme="minorHAnsi"/>
            <w:sz w:val="16"/>
          </w:rPr>
          <w:t>http://www.doingbusiness.org/reports/global-reports/doing-business-2014</w:t>
        </w:r>
      </w:hyperlink>
      <w:r w:rsidRPr="00EA0DC9">
        <w:rPr>
          <w:rFonts w:asciiTheme="minorHAnsi" w:hAnsiTheme="minorHAnsi" w:cstheme="minorHAnsi"/>
          <w:color w:val="FF0000"/>
          <w:sz w:val="16"/>
        </w:rPr>
        <w:t xml:space="preserve"> </w:t>
      </w:r>
    </w:p>
  </w:footnote>
  <w:footnote w:id="9">
    <w:p w14:paraId="4C1133D7" w14:textId="3F8871BB" w:rsidR="00A0490F" w:rsidRPr="00EA0DC9" w:rsidRDefault="00A0490F">
      <w:pPr>
        <w:pStyle w:val="FootnoteText"/>
        <w:rPr>
          <w:rFonts w:asciiTheme="minorHAnsi" w:hAnsiTheme="minorHAnsi" w:cstheme="minorHAnsi"/>
          <w:sz w:val="16"/>
        </w:rPr>
      </w:pPr>
      <w:r w:rsidRPr="00EA0DC9">
        <w:rPr>
          <w:rStyle w:val="FootnoteReference"/>
          <w:rFonts w:asciiTheme="minorHAnsi" w:hAnsiTheme="minorHAnsi" w:cstheme="minorHAnsi"/>
          <w:sz w:val="16"/>
        </w:rPr>
        <w:footnoteRef/>
      </w:r>
      <w:r w:rsidRPr="00EA0DC9">
        <w:rPr>
          <w:rFonts w:asciiTheme="minorHAnsi" w:hAnsiTheme="minorHAnsi" w:cstheme="minorHAnsi"/>
          <w:sz w:val="16"/>
        </w:rPr>
        <w:t xml:space="preserve"> </w:t>
      </w:r>
      <w:hyperlink r:id="rId3" w:history="1">
        <w:r w:rsidRPr="00EA0DC9">
          <w:rPr>
            <w:rStyle w:val="Hyperlink"/>
            <w:rFonts w:asciiTheme="minorHAnsi" w:hAnsiTheme="minorHAnsi" w:cstheme="minorHAnsi"/>
            <w:sz w:val="16"/>
          </w:rPr>
          <w:t>http://mehnat.uz/ru/law_zak_o_zanyatosti</w:t>
        </w:r>
      </w:hyperlink>
      <w:r w:rsidRPr="00EA0DC9">
        <w:rPr>
          <w:rFonts w:asciiTheme="minorHAnsi" w:hAnsiTheme="minorHAnsi" w:cstheme="minorHAnsi"/>
          <w:sz w:val="16"/>
        </w:rPr>
        <w:t xml:space="preserve"> </w:t>
      </w:r>
    </w:p>
  </w:footnote>
  <w:footnote w:id="10">
    <w:p w14:paraId="08906C03" w14:textId="47CAB6B5" w:rsidR="00A4035C" w:rsidRPr="00EA0DC9" w:rsidRDefault="00A4035C">
      <w:pPr>
        <w:pStyle w:val="FootnoteText"/>
        <w:rPr>
          <w:rFonts w:asciiTheme="minorHAnsi" w:hAnsiTheme="minorHAnsi" w:cstheme="minorHAnsi"/>
          <w:sz w:val="16"/>
        </w:rPr>
      </w:pPr>
      <w:r w:rsidRPr="00EA0DC9">
        <w:rPr>
          <w:rStyle w:val="FootnoteReference"/>
          <w:rFonts w:asciiTheme="minorHAnsi" w:hAnsiTheme="minorHAnsi" w:cstheme="minorHAnsi"/>
          <w:sz w:val="16"/>
        </w:rPr>
        <w:footnoteRef/>
      </w:r>
      <w:r w:rsidRPr="00EA0DC9">
        <w:rPr>
          <w:rFonts w:asciiTheme="minorHAnsi" w:hAnsiTheme="minorHAnsi" w:cstheme="minorHAnsi"/>
          <w:sz w:val="16"/>
        </w:rPr>
        <w:t xml:space="preserve"> Project Evaluation Report, 2 March 2014 and Project Monitoring data (Dec-2014) </w:t>
      </w:r>
    </w:p>
  </w:footnote>
  <w:footnote w:id="11">
    <w:p w14:paraId="28907331" w14:textId="12985092" w:rsidR="00BF46B8" w:rsidRPr="00BF46B8" w:rsidRDefault="00BF46B8">
      <w:pPr>
        <w:pStyle w:val="FootnoteText"/>
        <w:rPr>
          <w:rFonts w:asciiTheme="minorHAnsi" w:hAnsiTheme="minorHAnsi" w:cstheme="minorHAnsi"/>
        </w:rPr>
      </w:pPr>
      <w:r w:rsidRPr="00EA0DC9">
        <w:rPr>
          <w:rStyle w:val="FootnoteReference"/>
          <w:rFonts w:asciiTheme="minorHAnsi" w:hAnsiTheme="minorHAnsi" w:cstheme="minorHAnsi"/>
          <w:sz w:val="16"/>
        </w:rPr>
        <w:footnoteRef/>
      </w:r>
      <w:r w:rsidRPr="00EA0DC9">
        <w:rPr>
          <w:rFonts w:asciiTheme="minorHAnsi" w:hAnsiTheme="minorHAnsi" w:cstheme="minorHAnsi"/>
          <w:sz w:val="16"/>
        </w:rPr>
        <w:t xml:space="preserve"> Letter of Intent with the Govt on mitigating consequences of the Aral Sea disaster dd. 29.10.2014</w:t>
      </w:r>
    </w:p>
  </w:footnote>
  <w:footnote w:id="12">
    <w:p w14:paraId="412FB383" w14:textId="77777777" w:rsidR="00212FB6" w:rsidRPr="00EA0DC9" w:rsidRDefault="00212FB6" w:rsidP="00212FB6">
      <w:pPr>
        <w:pStyle w:val="FootnoteText"/>
        <w:rPr>
          <w:sz w:val="16"/>
        </w:rPr>
      </w:pPr>
      <w:r w:rsidRPr="00EA0DC9">
        <w:rPr>
          <w:rStyle w:val="FootnoteReference"/>
          <w:sz w:val="16"/>
        </w:rPr>
        <w:footnoteRef/>
      </w:r>
      <w:r w:rsidRPr="00EA0DC9">
        <w:rPr>
          <w:sz w:val="16"/>
        </w:rPr>
        <w:t xml:space="preserve"> </w:t>
      </w:r>
      <w:r w:rsidRPr="00EA0DC9">
        <w:rPr>
          <w:rFonts w:asciiTheme="minorHAnsi" w:hAnsiTheme="minorHAnsi"/>
          <w:color w:val="000000" w:themeColor="text1"/>
          <w:sz w:val="16"/>
        </w:rPr>
        <w:t>Letter from the State Committee for Nature Protection to UNDP # KC-02/05-2203, 1 September 2014</w:t>
      </w:r>
    </w:p>
  </w:footnote>
  <w:footnote w:id="13">
    <w:p w14:paraId="386DC2AA" w14:textId="77777777" w:rsidR="00212FB6" w:rsidRPr="00EA0DC9" w:rsidRDefault="00212FB6" w:rsidP="00212FB6">
      <w:pPr>
        <w:pStyle w:val="FootnoteText"/>
        <w:rPr>
          <w:sz w:val="16"/>
        </w:rPr>
      </w:pPr>
      <w:r w:rsidRPr="00EA0DC9">
        <w:rPr>
          <w:rStyle w:val="FootnoteReference"/>
          <w:sz w:val="16"/>
        </w:rPr>
        <w:footnoteRef/>
      </w:r>
      <w:r w:rsidRPr="00EA0DC9">
        <w:rPr>
          <w:sz w:val="16"/>
        </w:rPr>
        <w:t xml:space="preserve"> </w:t>
      </w:r>
      <w:r w:rsidRPr="00EA0DC9">
        <w:rPr>
          <w:rFonts w:asciiTheme="minorHAnsi" w:hAnsiTheme="minorHAnsi"/>
          <w:color w:val="000000" w:themeColor="text1"/>
          <w:sz w:val="16"/>
        </w:rPr>
        <w:t>http://cdm.unfccc.int/Statistics/Public/files/201311/Proj_reg_byHost.xls</w:t>
      </w:r>
    </w:p>
  </w:footnote>
  <w:footnote w:id="14">
    <w:p w14:paraId="65D1B817" w14:textId="77777777" w:rsidR="00212FB6" w:rsidRDefault="00212FB6" w:rsidP="00212FB6">
      <w:pPr>
        <w:pStyle w:val="FootnoteText"/>
      </w:pPr>
      <w:r w:rsidRPr="00EA0DC9">
        <w:rPr>
          <w:rStyle w:val="FootnoteReference"/>
          <w:sz w:val="16"/>
        </w:rPr>
        <w:footnoteRef/>
      </w:r>
      <w:r w:rsidRPr="00EA0DC9">
        <w:rPr>
          <w:sz w:val="16"/>
        </w:rPr>
        <w:t xml:space="preserve"> </w:t>
      </w:r>
      <w:r w:rsidRPr="00EA0DC9">
        <w:rPr>
          <w:rFonts w:asciiTheme="minorHAnsi" w:hAnsiTheme="minorHAnsi"/>
          <w:color w:val="000000" w:themeColor="text1"/>
          <w:sz w:val="16"/>
        </w:rPr>
        <w:t>https://cdm.unfccc.int/methodologies/standard_base/new/sb7_index.html</w:t>
      </w:r>
    </w:p>
  </w:footnote>
  <w:footnote w:id="15">
    <w:p w14:paraId="39903D5F" w14:textId="77777777" w:rsidR="00212FB6" w:rsidRPr="00EA0DC9" w:rsidRDefault="00212FB6" w:rsidP="00212FB6">
      <w:pPr>
        <w:pStyle w:val="FootnoteText"/>
        <w:rPr>
          <w:sz w:val="16"/>
        </w:rPr>
      </w:pPr>
      <w:r w:rsidRPr="00EA0DC9">
        <w:rPr>
          <w:rStyle w:val="FootnoteReference"/>
          <w:sz w:val="16"/>
        </w:rPr>
        <w:footnoteRef/>
      </w:r>
      <w:r w:rsidRPr="00EA0DC9">
        <w:rPr>
          <w:sz w:val="16"/>
        </w:rPr>
        <w:t xml:space="preserve"> </w:t>
      </w:r>
      <w:r w:rsidRPr="00EA0DC9">
        <w:rPr>
          <w:rFonts w:asciiTheme="minorHAnsi" w:hAnsiTheme="minorHAnsi" w:cstheme="minorHAnsi"/>
          <w:sz w:val="16"/>
        </w:rPr>
        <w:t>Decisions of the sector-wide meeting (#01-05/23-3) chaired by the Prime-Minister (27.11.2014)</w:t>
      </w:r>
    </w:p>
  </w:footnote>
  <w:footnote w:id="16">
    <w:p w14:paraId="6D8F3861" w14:textId="77777777" w:rsidR="00212FB6" w:rsidRPr="00EA0DC9" w:rsidRDefault="00212FB6" w:rsidP="00212FB6">
      <w:pPr>
        <w:pStyle w:val="FootnoteText"/>
        <w:rPr>
          <w:sz w:val="16"/>
        </w:rPr>
      </w:pPr>
      <w:r w:rsidRPr="00EA0DC9">
        <w:rPr>
          <w:rStyle w:val="FootnoteReference"/>
          <w:sz w:val="16"/>
        </w:rPr>
        <w:footnoteRef/>
      </w:r>
      <w:r w:rsidRPr="00EA0DC9">
        <w:rPr>
          <w:sz w:val="16"/>
        </w:rPr>
        <w:t xml:space="preserve"> </w:t>
      </w:r>
      <w:r w:rsidRPr="00EA0DC9">
        <w:rPr>
          <w:rFonts w:asciiTheme="minorHAnsi" w:hAnsiTheme="minorHAnsi"/>
          <w:color w:val="000000" w:themeColor="text1"/>
          <w:sz w:val="16"/>
        </w:rPr>
        <w:t>Letter from the Ministry of Agriculture dd. 07.10. 2013, http://uzdaily.uz/RSSKO/articles-id-17909.htm</w:t>
      </w:r>
    </w:p>
  </w:footnote>
  <w:footnote w:id="17">
    <w:p w14:paraId="2A72DD65" w14:textId="77777777" w:rsidR="00212FB6" w:rsidRDefault="00212FB6" w:rsidP="00212FB6">
      <w:pPr>
        <w:pStyle w:val="FootnoteText"/>
      </w:pPr>
      <w:r w:rsidRPr="00EA0DC9">
        <w:rPr>
          <w:rStyle w:val="FootnoteReference"/>
          <w:sz w:val="16"/>
        </w:rPr>
        <w:footnoteRef/>
      </w:r>
      <w:r w:rsidRPr="00EA0DC9">
        <w:rPr>
          <w:sz w:val="16"/>
        </w:rPr>
        <w:t xml:space="preserve"> </w:t>
      </w:r>
      <w:r w:rsidRPr="00EA0DC9">
        <w:rPr>
          <w:rFonts w:asciiTheme="minorHAnsi" w:hAnsiTheme="minorHAnsi"/>
          <w:color w:val="000000" w:themeColor="text1"/>
          <w:sz w:val="16"/>
        </w:rPr>
        <w:t>CPAP Mid-term evaluation, Dec. 2013</w:t>
      </w:r>
    </w:p>
  </w:footnote>
  <w:footnote w:id="18">
    <w:p w14:paraId="144ADF63" w14:textId="77777777" w:rsidR="0077637A" w:rsidRPr="00EA0DC9" w:rsidRDefault="0077637A" w:rsidP="0077637A">
      <w:pPr>
        <w:pStyle w:val="FootnoteText"/>
        <w:rPr>
          <w:rFonts w:asciiTheme="minorHAnsi" w:hAnsiTheme="minorHAnsi" w:cstheme="minorHAnsi"/>
          <w:sz w:val="16"/>
        </w:rPr>
      </w:pPr>
      <w:r w:rsidRPr="00EA0DC9">
        <w:rPr>
          <w:rStyle w:val="FootnoteReference"/>
          <w:rFonts w:asciiTheme="minorHAnsi" w:hAnsiTheme="minorHAnsi" w:cstheme="minorHAnsi"/>
          <w:sz w:val="16"/>
        </w:rPr>
        <w:footnoteRef/>
      </w:r>
      <w:r w:rsidRPr="00EA0DC9">
        <w:rPr>
          <w:rFonts w:asciiTheme="minorHAnsi" w:hAnsiTheme="minorHAnsi" w:cstheme="minorHAnsi"/>
          <w:sz w:val="16"/>
        </w:rPr>
        <w:t xml:space="preserve"> Equipment commissioning act by </w:t>
      </w:r>
      <w:proofErr w:type="spellStart"/>
      <w:r w:rsidRPr="00EA0DC9">
        <w:rPr>
          <w:rFonts w:asciiTheme="minorHAnsi" w:hAnsiTheme="minorHAnsi" w:cstheme="minorHAnsi"/>
          <w:sz w:val="16"/>
        </w:rPr>
        <w:t>Uzhydromet</w:t>
      </w:r>
      <w:proofErr w:type="spellEnd"/>
      <w:r w:rsidRPr="00EA0DC9">
        <w:rPr>
          <w:rFonts w:asciiTheme="minorHAnsi" w:hAnsiTheme="minorHAnsi" w:cstheme="minorHAnsi"/>
          <w:sz w:val="16"/>
        </w:rPr>
        <w:t>, dated 16 September, 2014</w:t>
      </w:r>
    </w:p>
  </w:footnote>
  <w:footnote w:id="19">
    <w:p w14:paraId="7EC8ADB8" w14:textId="7A55F5EC" w:rsidR="00751DC6" w:rsidRPr="00EA0DC9" w:rsidRDefault="00751DC6">
      <w:pPr>
        <w:pStyle w:val="FootnoteText"/>
        <w:rPr>
          <w:sz w:val="16"/>
        </w:rPr>
      </w:pPr>
      <w:r w:rsidRPr="00EA0DC9">
        <w:rPr>
          <w:rStyle w:val="FootnoteReference"/>
          <w:sz w:val="16"/>
        </w:rPr>
        <w:footnoteRef/>
      </w:r>
      <w:r w:rsidRPr="00EA0DC9">
        <w:rPr>
          <w:sz w:val="16"/>
        </w:rPr>
        <w:t xml:space="preserve"> </w:t>
      </w:r>
      <w:r w:rsidRPr="00EA0DC9">
        <w:rPr>
          <w:rFonts w:asciiTheme="minorHAnsi" w:hAnsiTheme="minorHAnsi" w:cstheme="minorHAnsi"/>
          <w:sz w:val="16"/>
        </w:rPr>
        <w:t>Transfer of Assets doc to the Ministry of Emergency Situations, April 2014 &amp; media coverage</w:t>
      </w:r>
    </w:p>
  </w:footnote>
  <w:footnote w:id="20">
    <w:p w14:paraId="20340985" w14:textId="382BD19D" w:rsidR="00FE5283" w:rsidRPr="00FE5283" w:rsidRDefault="00FE5283">
      <w:pPr>
        <w:pStyle w:val="FootnoteText"/>
        <w:rPr>
          <w:rFonts w:asciiTheme="minorHAnsi" w:hAnsiTheme="minorHAnsi" w:cstheme="minorHAnsi"/>
        </w:rPr>
      </w:pPr>
      <w:r w:rsidRPr="00EA0DC9">
        <w:rPr>
          <w:rStyle w:val="FootnoteReference"/>
          <w:rFonts w:asciiTheme="minorHAnsi" w:hAnsiTheme="minorHAnsi" w:cstheme="minorHAnsi"/>
          <w:sz w:val="16"/>
        </w:rPr>
        <w:footnoteRef/>
      </w:r>
      <w:r w:rsidRPr="00EA0DC9">
        <w:rPr>
          <w:rFonts w:asciiTheme="minorHAnsi" w:hAnsiTheme="minorHAnsi" w:cstheme="minorHAnsi"/>
          <w:sz w:val="16"/>
        </w:rPr>
        <w:t xml:space="preserve"> Decree of the Cabinet of Ministers #274, dd. 02.10.2014</w:t>
      </w:r>
    </w:p>
  </w:footnote>
  <w:footnote w:id="21">
    <w:p w14:paraId="50B2CB5F" w14:textId="77777777" w:rsidR="00D748D4" w:rsidRPr="00EA0DC9" w:rsidRDefault="00D748D4" w:rsidP="00D748D4">
      <w:pPr>
        <w:pStyle w:val="FootnoteText"/>
        <w:rPr>
          <w:sz w:val="16"/>
        </w:rPr>
      </w:pPr>
      <w:r w:rsidRPr="00EA0DC9">
        <w:rPr>
          <w:rStyle w:val="FootnoteReference"/>
          <w:sz w:val="16"/>
        </w:rPr>
        <w:footnoteRef/>
      </w:r>
      <w:r w:rsidRPr="00EA0DC9">
        <w:rPr>
          <w:sz w:val="16"/>
        </w:rPr>
        <w:t xml:space="preserve"> </w:t>
      </w:r>
      <w:r w:rsidRPr="00EA0DC9">
        <w:rPr>
          <w:rFonts w:asciiTheme="minorHAnsi" w:hAnsiTheme="minorHAnsi" w:cstheme="minorHAnsi"/>
          <w:sz w:val="16"/>
        </w:rPr>
        <w:t xml:space="preserve">Note </w:t>
      </w:r>
      <w:proofErr w:type="spellStart"/>
      <w:r w:rsidRPr="00EA0DC9">
        <w:rPr>
          <w:rFonts w:asciiTheme="minorHAnsi" w:hAnsiTheme="minorHAnsi" w:cstheme="minorHAnsi"/>
          <w:sz w:val="16"/>
        </w:rPr>
        <w:t>verbale</w:t>
      </w:r>
      <w:proofErr w:type="spellEnd"/>
      <w:r w:rsidRPr="00EA0DC9">
        <w:rPr>
          <w:rFonts w:asciiTheme="minorHAnsi" w:hAnsiTheme="minorHAnsi" w:cstheme="minorHAnsi"/>
          <w:sz w:val="16"/>
        </w:rPr>
        <w:t xml:space="preserve"> from MFA #11/1412 dd. 19.01.2015 with National Action Plan signed on 14.11.2014</w:t>
      </w:r>
    </w:p>
  </w:footnote>
  <w:footnote w:id="22">
    <w:p w14:paraId="4E1BE556" w14:textId="77777777" w:rsidR="00D748D4" w:rsidRPr="00EA0DC9" w:rsidRDefault="00D748D4" w:rsidP="00D748D4">
      <w:pPr>
        <w:pStyle w:val="FootnoteText"/>
        <w:rPr>
          <w:sz w:val="16"/>
        </w:rPr>
      </w:pPr>
      <w:r w:rsidRPr="00EA0DC9">
        <w:rPr>
          <w:rStyle w:val="FootnoteReference"/>
          <w:sz w:val="16"/>
        </w:rPr>
        <w:footnoteRef/>
      </w:r>
      <w:r w:rsidRPr="00EA0DC9">
        <w:rPr>
          <w:sz w:val="16"/>
        </w:rPr>
        <w:t xml:space="preserve"> </w:t>
      </w:r>
      <w:r w:rsidRPr="00EA0DC9">
        <w:rPr>
          <w:rFonts w:asciiTheme="minorHAnsi" w:hAnsiTheme="minorHAnsi" w:cstheme="minorHAnsi"/>
          <w:sz w:val="16"/>
        </w:rPr>
        <w:t>Project Monitoring Data, December 2014</w:t>
      </w:r>
    </w:p>
  </w:footnote>
  <w:footnote w:id="23">
    <w:p w14:paraId="1F39F115" w14:textId="77777777" w:rsidR="00D748D4" w:rsidRPr="00EA0DC9" w:rsidRDefault="00D748D4" w:rsidP="00D748D4">
      <w:pPr>
        <w:pStyle w:val="FootnoteText"/>
        <w:rPr>
          <w:sz w:val="16"/>
        </w:rPr>
      </w:pPr>
      <w:r w:rsidRPr="00EA0DC9">
        <w:rPr>
          <w:rStyle w:val="FootnoteReference"/>
          <w:sz w:val="16"/>
        </w:rPr>
        <w:footnoteRef/>
      </w:r>
      <w:r w:rsidRPr="00EA0DC9">
        <w:rPr>
          <w:sz w:val="16"/>
        </w:rPr>
        <w:t xml:space="preserve"> </w:t>
      </w:r>
      <w:r w:rsidRPr="00EA0DC9">
        <w:rPr>
          <w:rFonts w:asciiTheme="minorHAnsi" w:hAnsiTheme="minorHAnsi" w:cstheme="minorHAnsi"/>
          <w:sz w:val="16"/>
        </w:rPr>
        <w:t>Letter from the Supreme Court, #04/06/7-1199-14, dd. 21.11.2014</w:t>
      </w:r>
    </w:p>
  </w:footnote>
  <w:footnote w:id="24">
    <w:p w14:paraId="0CE26822" w14:textId="77777777" w:rsidR="00D748D4" w:rsidRDefault="00D748D4" w:rsidP="00D748D4">
      <w:pPr>
        <w:pStyle w:val="FootnoteText"/>
      </w:pPr>
      <w:r w:rsidRPr="00EA0DC9">
        <w:rPr>
          <w:rStyle w:val="FootnoteReference"/>
          <w:sz w:val="16"/>
        </w:rPr>
        <w:footnoteRef/>
      </w:r>
      <w:r w:rsidRPr="00EA0DC9">
        <w:rPr>
          <w:sz w:val="16"/>
        </w:rPr>
        <w:t xml:space="preserve"> </w:t>
      </w:r>
      <w:r w:rsidRPr="00EA0DC9">
        <w:rPr>
          <w:rFonts w:asciiTheme="minorHAnsi" w:hAnsiTheme="minorHAnsi" w:cstheme="minorHAnsi"/>
          <w:sz w:val="16"/>
        </w:rPr>
        <w:t>http://www.uzdaily.com/articles-id-29224.htm</w:t>
      </w:r>
    </w:p>
  </w:footnote>
  <w:footnote w:id="25">
    <w:p w14:paraId="40FF160D" w14:textId="77777777" w:rsidR="00F866F0" w:rsidRPr="00EA0DC9" w:rsidRDefault="00F866F0" w:rsidP="00F866F0">
      <w:pPr>
        <w:pStyle w:val="FootnoteText"/>
        <w:rPr>
          <w:sz w:val="16"/>
        </w:rPr>
      </w:pPr>
      <w:r w:rsidRPr="00EA0DC9">
        <w:rPr>
          <w:rStyle w:val="FootnoteReference"/>
          <w:sz w:val="16"/>
        </w:rPr>
        <w:footnoteRef/>
      </w:r>
      <w:r w:rsidRPr="00EA0DC9">
        <w:rPr>
          <w:sz w:val="16"/>
        </w:rPr>
        <w:t xml:space="preserve"> </w:t>
      </w:r>
      <w:r w:rsidRPr="00EA0DC9">
        <w:rPr>
          <w:rFonts w:asciiTheme="minorHAnsi" w:hAnsiTheme="minorHAnsi" w:cstheme="minorHAnsi"/>
          <w:sz w:val="16"/>
        </w:rPr>
        <w:t>Order of Prime Minister on Inter-Agency Coordination Working Group, 14.02.2014</w:t>
      </w:r>
    </w:p>
  </w:footnote>
  <w:footnote w:id="26">
    <w:p w14:paraId="14FDBECD" w14:textId="77777777" w:rsidR="00F866F0" w:rsidRPr="00EA0DC9" w:rsidRDefault="00F866F0" w:rsidP="00F866F0">
      <w:pPr>
        <w:pStyle w:val="FootnoteText"/>
        <w:rPr>
          <w:sz w:val="16"/>
        </w:rPr>
      </w:pPr>
      <w:r w:rsidRPr="00EA0DC9">
        <w:rPr>
          <w:rStyle w:val="FootnoteReference"/>
          <w:sz w:val="16"/>
        </w:rPr>
        <w:footnoteRef/>
      </w:r>
      <w:r w:rsidRPr="00EA0DC9">
        <w:rPr>
          <w:sz w:val="16"/>
        </w:rPr>
        <w:t xml:space="preserve"> </w:t>
      </w:r>
      <w:r w:rsidRPr="00EA0DC9">
        <w:rPr>
          <w:rFonts w:asciiTheme="minorHAnsi" w:hAnsiTheme="minorHAnsi" w:cstheme="minorHAnsi"/>
          <w:sz w:val="16"/>
        </w:rPr>
        <w:t>Appreciation letter (#TH-03/1103) from the Inter-agency Working Group, dd. 4 July 2014</w:t>
      </w:r>
    </w:p>
  </w:footnote>
  <w:footnote w:id="27">
    <w:p w14:paraId="658D7C49" w14:textId="77777777" w:rsidR="00F866F0" w:rsidRPr="00EA0DC9" w:rsidRDefault="00F866F0" w:rsidP="00F866F0">
      <w:pPr>
        <w:pStyle w:val="FootnoteText"/>
        <w:rPr>
          <w:sz w:val="16"/>
        </w:rPr>
      </w:pPr>
      <w:r w:rsidRPr="00EA0DC9">
        <w:rPr>
          <w:rStyle w:val="FootnoteReference"/>
          <w:sz w:val="16"/>
        </w:rPr>
        <w:footnoteRef/>
      </w:r>
      <w:r w:rsidRPr="00EA0DC9">
        <w:rPr>
          <w:sz w:val="16"/>
        </w:rPr>
        <w:t xml:space="preserve"> </w:t>
      </w:r>
      <w:r w:rsidRPr="00EA0DC9">
        <w:rPr>
          <w:rFonts w:asciiTheme="minorHAnsi" w:hAnsiTheme="minorHAnsi" w:cstheme="minorHAnsi"/>
          <w:sz w:val="16"/>
        </w:rPr>
        <w:t>http://news.uzreport.uz/news_2_e_119548.html</w:t>
      </w:r>
    </w:p>
  </w:footnote>
  <w:footnote w:id="28">
    <w:p w14:paraId="7FE5F719" w14:textId="77777777" w:rsidR="00F866F0" w:rsidRPr="00EA0DC9" w:rsidRDefault="00F866F0" w:rsidP="00F866F0">
      <w:pPr>
        <w:pStyle w:val="FootnoteText"/>
        <w:rPr>
          <w:sz w:val="16"/>
        </w:rPr>
      </w:pPr>
      <w:r w:rsidRPr="00EA0DC9">
        <w:rPr>
          <w:rStyle w:val="FootnoteReference"/>
          <w:sz w:val="16"/>
        </w:rPr>
        <w:footnoteRef/>
      </w:r>
      <w:r w:rsidRPr="00EA0DC9">
        <w:rPr>
          <w:sz w:val="16"/>
        </w:rPr>
        <w:t xml:space="preserve"> </w:t>
      </w:r>
      <w:r w:rsidRPr="00EA0DC9">
        <w:rPr>
          <w:rFonts w:asciiTheme="minorHAnsi" w:hAnsiTheme="minorHAnsi" w:cstheme="minorHAnsi"/>
          <w:sz w:val="16"/>
        </w:rPr>
        <w:t>https://my.gov.uz/ru/getPublicService/332</w:t>
      </w:r>
    </w:p>
  </w:footnote>
  <w:footnote w:id="29">
    <w:p w14:paraId="34458094" w14:textId="77777777" w:rsidR="00F866F0" w:rsidRDefault="00F866F0" w:rsidP="00F866F0">
      <w:pPr>
        <w:pStyle w:val="FootnoteText"/>
      </w:pPr>
      <w:r w:rsidRPr="00EA0DC9">
        <w:rPr>
          <w:rStyle w:val="FootnoteReference"/>
          <w:sz w:val="16"/>
        </w:rPr>
        <w:footnoteRef/>
      </w:r>
      <w:r w:rsidRPr="00EA0DC9">
        <w:rPr>
          <w:sz w:val="16"/>
        </w:rPr>
        <w:t xml:space="preserve"> </w:t>
      </w:r>
      <w:r w:rsidRPr="00EA0DC9">
        <w:rPr>
          <w:rFonts w:asciiTheme="minorHAnsi" w:hAnsiTheme="minorHAnsi"/>
          <w:color w:val="000000" w:themeColor="text1"/>
          <w:sz w:val="16"/>
        </w:rPr>
        <w:t xml:space="preserve">Presidential Decree #PP 2085 dd. 12.12.2013 </w:t>
      </w:r>
      <w:r w:rsidRPr="00EA0DC9">
        <w:rPr>
          <w:color w:val="000000" w:themeColor="text1"/>
          <w:sz w:val="16"/>
        </w:rPr>
        <w:t xml:space="preserve"> </w:t>
      </w:r>
    </w:p>
  </w:footnote>
  <w:footnote w:id="30">
    <w:p w14:paraId="5C417533" w14:textId="5902AF5A" w:rsidR="007F109D" w:rsidRPr="001B019A" w:rsidRDefault="007F109D" w:rsidP="007F109D">
      <w:pPr>
        <w:rPr>
          <w:rFonts w:asciiTheme="minorHAnsi" w:hAnsiTheme="minorHAnsi" w:cstheme="minorHAnsi"/>
          <w:color w:val="000000" w:themeColor="text1"/>
          <w:sz w:val="14"/>
        </w:rPr>
      </w:pPr>
      <w:r w:rsidRPr="001B019A">
        <w:rPr>
          <w:rStyle w:val="FootnoteReference"/>
          <w:rFonts w:asciiTheme="minorHAnsi" w:hAnsiTheme="minorHAnsi" w:cstheme="minorHAnsi"/>
          <w:sz w:val="18"/>
        </w:rPr>
        <w:footnoteRef/>
      </w:r>
      <w:r w:rsidRPr="001B019A">
        <w:rPr>
          <w:rFonts w:asciiTheme="minorHAnsi" w:hAnsiTheme="minorHAnsi" w:cstheme="minorHAnsi"/>
          <w:sz w:val="18"/>
        </w:rPr>
        <w:t xml:space="preserve"> </w:t>
      </w:r>
      <w:r w:rsidRPr="001B019A">
        <w:rPr>
          <w:rFonts w:asciiTheme="minorHAnsi" w:hAnsiTheme="minorHAnsi" w:cstheme="minorHAnsi"/>
          <w:color w:val="000000" w:themeColor="text1"/>
          <w:sz w:val="16"/>
        </w:rPr>
        <w:t xml:space="preserve">UNDAF evaluation 2014,  </w:t>
      </w:r>
      <w:r w:rsidR="00432691" w:rsidRPr="001B019A">
        <w:rPr>
          <w:rFonts w:asciiTheme="minorHAnsi" w:hAnsiTheme="minorHAnsi" w:cstheme="minorHAnsi"/>
          <w:color w:val="000000" w:themeColor="text1"/>
          <w:sz w:val="16"/>
        </w:rPr>
        <w:t>M</w:t>
      </w:r>
      <w:r w:rsidRPr="001B019A">
        <w:rPr>
          <w:rFonts w:asciiTheme="minorHAnsi" w:hAnsiTheme="minorHAnsi" w:cstheme="minorHAnsi"/>
          <w:color w:val="000000" w:themeColor="text1"/>
          <w:sz w:val="16"/>
        </w:rPr>
        <w:t>id-term evaluation of Country Programme Outcomes (2013), Final project evaluations 2010-2014, Mid-term evaluation on the UN Joint Programme</w:t>
      </w:r>
      <w:r w:rsidR="000515B4" w:rsidRPr="001B019A">
        <w:rPr>
          <w:rFonts w:asciiTheme="minorHAnsi" w:hAnsiTheme="minorHAnsi" w:cstheme="minorHAnsi"/>
          <w:color w:val="000000" w:themeColor="text1"/>
          <w:sz w:val="16"/>
        </w:rPr>
        <w:t xml:space="preserve"> on </w:t>
      </w:r>
      <w:r w:rsidR="00F15AA8">
        <w:rPr>
          <w:rFonts w:asciiTheme="minorHAnsi" w:hAnsiTheme="minorHAnsi" w:cstheme="minorHAnsi"/>
          <w:color w:val="000000" w:themeColor="text1"/>
          <w:sz w:val="16"/>
        </w:rPr>
        <w:t>Aral Sea disaster</w:t>
      </w:r>
      <w:r w:rsidRPr="001B019A">
        <w:rPr>
          <w:rFonts w:asciiTheme="minorHAnsi" w:hAnsiTheme="minorHAnsi" w:cstheme="minorHAnsi"/>
          <w:color w:val="000000" w:themeColor="text1"/>
          <w:sz w:val="16"/>
        </w:rPr>
        <w:t xml:space="preserve"> </w:t>
      </w:r>
    </w:p>
    <w:p w14:paraId="193C8911" w14:textId="6EE9877B" w:rsidR="007F109D" w:rsidRDefault="007F109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B9F05" w14:textId="77777777" w:rsidR="00157815" w:rsidRPr="00517955" w:rsidRDefault="00157815">
    <w:pPr>
      <w:pStyle w:val="Header"/>
      <w:rPr>
        <w:rFonts w:asciiTheme="minorHAnsi" w:hAnsiTheme="minorHAnsi"/>
      </w:rPr>
    </w:pPr>
    <w:r w:rsidRPr="00517955">
      <w:rPr>
        <w:rFonts w:asciiTheme="minorHAnsi" w:hAnsiTheme="minorHAnsi"/>
      </w:rPr>
      <w:t>DRAFT DOCUMENT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A39EF"/>
    <w:multiLevelType w:val="hybridMultilevel"/>
    <w:tmpl w:val="2E34CBA8"/>
    <w:lvl w:ilvl="0" w:tplc="89B6A30A">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AA47C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2A68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1D5065"/>
    <w:multiLevelType w:val="hybridMultilevel"/>
    <w:tmpl w:val="F8404B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120B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5C30BE2"/>
    <w:multiLevelType w:val="hybridMultilevel"/>
    <w:tmpl w:val="FF4C982A"/>
    <w:lvl w:ilvl="0" w:tplc="F6FE1EFC">
      <w:numFmt w:val="bullet"/>
      <w:lvlText w:val="-"/>
      <w:lvlJc w:val="left"/>
      <w:pPr>
        <w:tabs>
          <w:tab w:val="num" w:pos="572"/>
        </w:tabs>
        <w:ind w:left="572" w:hanging="360"/>
      </w:pPr>
      <w:rPr>
        <w:rFonts w:ascii="Arial" w:hAnsi="Aria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3E71E5"/>
    <w:multiLevelType w:val="hybridMultilevel"/>
    <w:tmpl w:val="E4E00D00"/>
    <w:lvl w:ilvl="0" w:tplc="FD2642C8">
      <w:start w:val="1"/>
      <w:numFmt w:val="decimal"/>
      <w:lvlText w:val="%1."/>
      <w:lvlJc w:val="left"/>
      <w:pPr>
        <w:ind w:left="81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B57ED1"/>
    <w:multiLevelType w:val="hybridMultilevel"/>
    <w:tmpl w:val="408238E6"/>
    <w:lvl w:ilvl="0" w:tplc="CC8E005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3B69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4284809"/>
    <w:multiLevelType w:val="hybridMultilevel"/>
    <w:tmpl w:val="5BCC15D6"/>
    <w:lvl w:ilvl="0" w:tplc="08260F98">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7E91BBE"/>
    <w:multiLevelType w:val="hybridMultilevel"/>
    <w:tmpl w:val="06C04FAC"/>
    <w:lvl w:ilvl="0" w:tplc="F6FE1EFC">
      <w:numFmt w:val="bullet"/>
      <w:lvlText w:val="-"/>
      <w:lvlJc w:val="left"/>
      <w:pPr>
        <w:tabs>
          <w:tab w:val="num" w:pos="1112"/>
        </w:tabs>
        <w:ind w:left="1112" w:hanging="360"/>
      </w:pPr>
      <w:rPr>
        <w:rFonts w:ascii="Arial" w:hAnsi="Arial" w:cs="Times New Roman"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3A1D38CE"/>
    <w:multiLevelType w:val="hybridMultilevel"/>
    <w:tmpl w:val="9182C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4B7DAA"/>
    <w:multiLevelType w:val="hybridMultilevel"/>
    <w:tmpl w:val="B1BC2630"/>
    <w:lvl w:ilvl="0" w:tplc="637AB9C8">
      <w:start w:val="1"/>
      <w:numFmt w:val="decimal"/>
      <w:lvlText w:val="%1)"/>
      <w:lvlJc w:val="left"/>
      <w:pPr>
        <w:tabs>
          <w:tab w:val="num" w:pos="1440"/>
        </w:tabs>
        <w:ind w:left="1440" w:hanging="360"/>
      </w:pPr>
      <w:rPr>
        <w:rFonts w:cs="Times New Roman" w:hint="default"/>
      </w:rPr>
    </w:lvl>
    <w:lvl w:ilvl="1" w:tplc="C2CCC016" w:tentative="1">
      <w:start w:val="1"/>
      <w:numFmt w:val="lowerLetter"/>
      <w:lvlText w:val="%2."/>
      <w:lvlJc w:val="left"/>
      <w:pPr>
        <w:tabs>
          <w:tab w:val="num" w:pos="2160"/>
        </w:tabs>
        <w:ind w:left="2160" w:hanging="360"/>
      </w:pPr>
    </w:lvl>
    <w:lvl w:ilvl="2" w:tplc="7F520C4C" w:tentative="1">
      <w:start w:val="1"/>
      <w:numFmt w:val="lowerRoman"/>
      <w:lvlText w:val="%3."/>
      <w:lvlJc w:val="right"/>
      <w:pPr>
        <w:tabs>
          <w:tab w:val="num" w:pos="2880"/>
        </w:tabs>
        <w:ind w:left="2880" w:hanging="180"/>
      </w:pPr>
    </w:lvl>
    <w:lvl w:ilvl="3" w:tplc="FEA22EFE" w:tentative="1">
      <w:start w:val="1"/>
      <w:numFmt w:val="decimal"/>
      <w:lvlText w:val="%4."/>
      <w:lvlJc w:val="left"/>
      <w:pPr>
        <w:tabs>
          <w:tab w:val="num" w:pos="3600"/>
        </w:tabs>
        <w:ind w:left="3600" w:hanging="360"/>
      </w:pPr>
    </w:lvl>
    <w:lvl w:ilvl="4" w:tplc="16E80030" w:tentative="1">
      <w:start w:val="1"/>
      <w:numFmt w:val="lowerLetter"/>
      <w:lvlText w:val="%5."/>
      <w:lvlJc w:val="left"/>
      <w:pPr>
        <w:tabs>
          <w:tab w:val="num" w:pos="4320"/>
        </w:tabs>
        <w:ind w:left="4320" w:hanging="360"/>
      </w:pPr>
    </w:lvl>
    <w:lvl w:ilvl="5" w:tplc="B0F6687C" w:tentative="1">
      <w:start w:val="1"/>
      <w:numFmt w:val="lowerRoman"/>
      <w:lvlText w:val="%6."/>
      <w:lvlJc w:val="right"/>
      <w:pPr>
        <w:tabs>
          <w:tab w:val="num" w:pos="5040"/>
        </w:tabs>
        <w:ind w:left="5040" w:hanging="180"/>
      </w:pPr>
    </w:lvl>
    <w:lvl w:ilvl="6" w:tplc="EE283A6C" w:tentative="1">
      <w:start w:val="1"/>
      <w:numFmt w:val="decimal"/>
      <w:lvlText w:val="%7."/>
      <w:lvlJc w:val="left"/>
      <w:pPr>
        <w:tabs>
          <w:tab w:val="num" w:pos="5760"/>
        </w:tabs>
        <w:ind w:left="5760" w:hanging="360"/>
      </w:pPr>
    </w:lvl>
    <w:lvl w:ilvl="7" w:tplc="C4B860EC" w:tentative="1">
      <w:start w:val="1"/>
      <w:numFmt w:val="lowerLetter"/>
      <w:lvlText w:val="%8."/>
      <w:lvlJc w:val="left"/>
      <w:pPr>
        <w:tabs>
          <w:tab w:val="num" w:pos="6480"/>
        </w:tabs>
        <w:ind w:left="6480" w:hanging="360"/>
      </w:pPr>
    </w:lvl>
    <w:lvl w:ilvl="8" w:tplc="B75AACE8" w:tentative="1">
      <w:start w:val="1"/>
      <w:numFmt w:val="lowerRoman"/>
      <w:lvlText w:val="%9."/>
      <w:lvlJc w:val="right"/>
      <w:pPr>
        <w:tabs>
          <w:tab w:val="num" w:pos="7200"/>
        </w:tabs>
        <w:ind w:left="7200" w:hanging="180"/>
      </w:pPr>
    </w:lvl>
  </w:abstractNum>
  <w:abstractNum w:abstractNumId="13" w15:restartNumberingAfterBreak="0">
    <w:nsid w:val="403569F9"/>
    <w:multiLevelType w:val="hybridMultilevel"/>
    <w:tmpl w:val="245099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557F3D"/>
    <w:multiLevelType w:val="hybridMultilevel"/>
    <w:tmpl w:val="AB926C66"/>
    <w:lvl w:ilvl="0" w:tplc="1924D38C">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6B51D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6D573B4"/>
    <w:multiLevelType w:val="hybridMultilevel"/>
    <w:tmpl w:val="BD94476A"/>
    <w:lvl w:ilvl="0" w:tplc="3DD45BB0">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903215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AE602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D387FF6"/>
    <w:multiLevelType w:val="hybridMultilevel"/>
    <w:tmpl w:val="B81C80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E122E86"/>
    <w:multiLevelType w:val="hybridMultilevel"/>
    <w:tmpl w:val="28F83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38708F8"/>
    <w:multiLevelType w:val="hybridMultilevel"/>
    <w:tmpl w:val="3CA02C6C"/>
    <w:lvl w:ilvl="0" w:tplc="B7AEFE40">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4D14FD5"/>
    <w:multiLevelType w:val="hybridMultilevel"/>
    <w:tmpl w:val="C526E486"/>
    <w:lvl w:ilvl="0" w:tplc="6A00F7F2">
      <w:start w:val="16"/>
      <w:numFmt w:val="bullet"/>
      <w:lvlText w:val=""/>
      <w:lvlJc w:val="left"/>
      <w:pPr>
        <w:tabs>
          <w:tab w:val="num" w:pos="1472"/>
        </w:tabs>
        <w:ind w:left="1472" w:hanging="720"/>
      </w:pPr>
      <w:rPr>
        <w:rFonts w:ascii="Symbol" w:eastAsia="Times New Roman" w:hAnsi="Symbol" w:cs="Times New Roman"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7BCA57AD"/>
    <w:multiLevelType w:val="hybridMultilevel"/>
    <w:tmpl w:val="A2F050F8"/>
    <w:lvl w:ilvl="0" w:tplc="04090001">
      <w:start w:val="1"/>
      <w:numFmt w:val="bullet"/>
      <w:lvlText w:val=""/>
      <w:lvlJc w:val="left"/>
      <w:pPr>
        <w:ind w:left="360" w:hanging="360"/>
      </w:pPr>
      <w:rPr>
        <w:rFonts w:ascii="Symbol" w:hAnsi="Symbol"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CA50CBD"/>
    <w:multiLevelType w:val="hybridMultilevel"/>
    <w:tmpl w:val="67186D7A"/>
    <w:lvl w:ilvl="0" w:tplc="D6C6223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8"/>
  </w:num>
  <w:num w:numId="4">
    <w:abstractNumId w:val="4"/>
  </w:num>
  <w:num w:numId="5">
    <w:abstractNumId w:val="15"/>
  </w:num>
  <w:num w:numId="6">
    <w:abstractNumId w:val="18"/>
  </w:num>
  <w:num w:numId="7">
    <w:abstractNumId w:val="2"/>
  </w:num>
  <w:num w:numId="8">
    <w:abstractNumId w:val="17"/>
  </w:num>
  <w:num w:numId="9">
    <w:abstractNumId w:val="5"/>
  </w:num>
  <w:num w:numId="10">
    <w:abstractNumId w:val="10"/>
  </w:num>
  <w:num w:numId="11">
    <w:abstractNumId w:val="22"/>
  </w:num>
  <w:num w:numId="12">
    <w:abstractNumId w:val="13"/>
  </w:num>
  <w:num w:numId="13">
    <w:abstractNumId w:val="14"/>
  </w:num>
  <w:num w:numId="14">
    <w:abstractNumId w:val="9"/>
  </w:num>
  <w:num w:numId="15">
    <w:abstractNumId w:val="0"/>
  </w:num>
  <w:num w:numId="16">
    <w:abstractNumId w:val="21"/>
  </w:num>
  <w:num w:numId="17">
    <w:abstractNumId w:val="19"/>
  </w:num>
  <w:num w:numId="18">
    <w:abstractNumId w:val="7"/>
  </w:num>
  <w:num w:numId="19">
    <w:abstractNumId w:val="24"/>
  </w:num>
  <w:num w:numId="20">
    <w:abstractNumId w:val="23"/>
  </w:num>
  <w:num w:numId="21">
    <w:abstractNumId w:val="3"/>
  </w:num>
  <w:num w:numId="22">
    <w:abstractNumId w:val="20"/>
  </w:num>
  <w:num w:numId="23">
    <w:abstractNumId w:val="16"/>
  </w:num>
  <w:num w:numId="24">
    <w:abstractNumId w:val="11"/>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168"/>
    <w:rsid w:val="00001E9F"/>
    <w:rsid w:val="00003A03"/>
    <w:rsid w:val="00003AB5"/>
    <w:rsid w:val="00005473"/>
    <w:rsid w:val="00007461"/>
    <w:rsid w:val="000077B0"/>
    <w:rsid w:val="000079CC"/>
    <w:rsid w:val="00007DFC"/>
    <w:rsid w:val="00010911"/>
    <w:rsid w:val="00011A63"/>
    <w:rsid w:val="00011D99"/>
    <w:rsid w:val="00013886"/>
    <w:rsid w:val="00014083"/>
    <w:rsid w:val="000151BF"/>
    <w:rsid w:val="00023BCE"/>
    <w:rsid w:val="0002484A"/>
    <w:rsid w:val="0002487A"/>
    <w:rsid w:val="00026985"/>
    <w:rsid w:val="00030D29"/>
    <w:rsid w:val="00032EE8"/>
    <w:rsid w:val="00035E9A"/>
    <w:rsid w:val="00041634"/>
    <w:rsid w:val="00044E81"/>
    <w:rsid w:val="000458E5"/>
    <w:rsid w:val="000502AD"/>
    <w:rsid w:val="00050C81"/>
    <w:rsid w:val="000515B4"/>
    <w:rsid w:val="00051CCA"/>
    <w:rsid w:val="000556EE"/>
    <w:rsid w:val="000571FF"/>
    <w:rsid w:val="00057685"/>
    <w:rsid w:val="00061391"/>
    <w:rsid w:val="00062CC9"/>
    <w:rsid w:val="00063D0B"/>
    <w:rsid w:val="00066894"/>
    <w:rsid w:val="00073363"/>
    <w:rsid w:val="00073970"/>
    <w:rsid w:val="00081947"/>
    <w:rsid w:val="000823AC"/>
    <w:rsid w:val="000823FD"/>
    <w:rsid w:val="00087D27"/>
    <w:rsid w:val="00092B50"/>
    <w:rsid w:val="00094C7B"/>
    <w:rsid w:val="000A049E"/>
    <w:rsid w:val="000A0C24"/>
    <w:rsid w:val="000A1D3E"/>
    <w:rsid w:val="000A1DF5"/>
    <w:rsid w:val="000A4752"/>
    <w:rsid w:val="000A5E49"/>
    <w:rsid w:val="000B0BC4"/>
    <w:rsid w:val="000B0C21"/>
    <w:rsid w:val="000B1910"/>
    <w:rsid w:val="000B196F"/>
    <w:rsid w:val="000B2CC2"/>
    <w:rsid w:val="000B5980"/>
    <w:rsid w:val="000B7343"/>
    <w:rsid w:val="000C0663"/>
    <w:rsid w:val="000C09B4"/>
    <w:rsid w:val="000C3B0A"/>
    <w:rsid w:val="000C4457"/>
    <w:rsid w:val="000C50C1"/>
    <w:rsid w:val="000C6313"/>
    <w:rsid w:val="000C707C"/>
    <w:rsid w:val="000C71F8"/>
    <w:rsid w:val="000D0601"/>
    <w:rsid w:val="000D2B62"/>
    <w:rsid w:val="000D387E"/>
    <w:rsid w:val="000D43D8"/>
    <w:rsid w:val="000D5E33"/>
    <w:rsid w:val="000D6DE5"/>
    <w:rsid w:val="000E3270"/>
    <w:rsid w:val="000E399F"/>
    <w:rsid w:val="000E57C0"/>
    <w:rsid w:val="000E5D08"/>
    <w:rsid w:val="000E626D"/>
    <w:rsid w:val="000E726F"/>
    <w:rsid w:val="000E759A"/>
    <w:rsid w:val="000F1A6F"/>
    <w:rsid w:val="000F283A"/>
    <w:rsid w:val="000F3DFD"/>
    <w:rsid w:val="000F4575"/>
    <w:rsid w:val="000F4791"/>
    <w:rsid w:val="000F77FD"/>
    <w:rsid w:val="00100BB4"/>
    <w:rsid w:val="001046A1"/>
    <w:rsid w:val="00105314"/>
    <w:rsid w:val="00105F2B"/>
    <w:rsid w:val="00106067"/>
    <w:rsid w:val="00106770"/>
    <w:rsid w:val="0011422F"/>
    <w:rsid w:val="001170CE"/>
    <w:rsid w:val="00120A65"/>
    <w:rsid w:val="00121195"/>
    <w:rsid w:val="001233FA"/>
    <w:rsid w:val="00127DB0"/>
    <w:rsid w:val="001303CD"/>
    <w:rsid w:val="00130CA3"/>
    <w:rsid w:val="00133ABE"/>
    <w:rsid w:val="001415B1"/>
    <w:rsid w:val="00141D2F"/>
    <w:rsid w:val="00143B23"/>
    <w:rsid w:val="00143D49"/>
    <w:rsid w:val="001462DD"/>
    <w:rsid w:val="0014690C"/>
    <w:rsid w:val="001470B1"/>
    <w:rsid w:val="00150236"/>
    <w:rsid w:val="00153059"/>
    <w:rsid w:val="00153683"/>
    <w:rsid w:val="0015409F"/>
    <w:rsid w:val="00157815"/>
    <w:rsid w:val="00160BBA"/>
    <w:rsid w:val="00160E89"/>
    <w:rsid w:val="00161A27"/>
    <w:rsid w:val="00162501"/>
    <w:rsid w:val="001628D1"/>
    <w:rsid w:val="00163A6C"/>
    <w:rsid w:val="00163B2F"/>
    <w:rsid w:val="001663A4"/>
    <w:rsid w:val="00167DA9"/>
    <w:rsid w:val="001706B0"/>
    <w:rsid w:val="00171426"/>
    <w:rsid w:val="00171837"/>
    <w:rsid w:val="00172CB1"/>
    <w:rsid w:val="00176076"/>
    <w:rsid w:val="00180EAB"/>
    <w:rsid w:val="00184652"/>
    <w:rsid w:val="00191092"/>
    <w:rsid w:val="00192610"/>
    <w:rsid w:val="001956C7"/>
    <w:rsid w:val="00195F71"/>
    <w:rsid w:val="00196128"/>
    <w:rsid w:val="00196B24"/>
    <w:rsid w:val="00197A95"/>
    <w:rsid w:val="001A0674"/>
    <w:rsid w:val="001A0CF0"/>
    <w:rsid w:val="001A4846"/>
    <w:rsid w:val="001A48FA"/>
    <w:rsid w:val="001A4D75"/>
    <w:rsid w:val="001A53D9"/>
    <w:rsid w:val="001A57AE"/>
    <w:rsid w:val="001B019A"/>
    <w:rsid w:val="001B0C71"/>
    <w:rsid w:val="001B184B"/>
    <w:rsid w:val="001B21D2"/>
    <w:rsid w:val="001B5CF2"/>
    <w:rsid w:val="001B721D"/>
    <w:rsid w:val="001C3CAC"/>
    <w:rsid w:val="001C4304"/>
    <w:rsid w:val="001C4892"/>
    <w:rsid w:val="001C66DF"/>
    <w:rsid w:val="001D19BA"/>
    <w:rsid w:val="001D1A13"/>
    <w:rsid w:val="001D6B91"/>
    <w:rsid w:val="001E03BB"/>
    <w:rsid w:val="001E185B"/>
    <w:rsid w:val="001E28B9"/>
    <w:rsid w:val="001E3FF4"/>
    <w:rsid w:val="001E4115"/>
    <w:rsid w:val="001E6099"/>
    <w:rsid w:val="001F029D"/>
    <w:rsid w:val="001F1B72"/>
    <w:rsid w:val="001F30F0"/>
    <w:rsid w:val="001F3524"/>
    <w:rsid w:val="001F3C09"/>
    <w:rsid w:val="001F7EF8"/>
    <w:rsid w:val="00206192"/>
    <w:rsid w:val="00210421"/>
    <w:rsid w:val="00210FB2"/>
    <w:rsid w:val="00212FB6"/>
    <w:rsid w:val="00214448"/>
    <w:rsid w:val="00220A89"/>
    <w:rsid w:val="002214AE"/>
    <w:rsid w:val="0022187D"/>
    <w:rsid w:val="00224341"/>
    <w:rsid w:val="002243DD"/>
    <w:rsid w:val="00224F37"/>
    <w:rsid w:val="00226595"/>
    <w:rsid w:val="00230A0E"/>
    <w:rsid w:val="00231343"/>
    <w:rsid w:val="002315A5"/>
    <w:rsid w:val="00232597"/>
    <w:rsid w:val="002349EA"/>
    <w:rsid w:val="00245F99"/>
    <w:rsid w:val="00251322"/>
    <w:rsid w:val="002524FC"/>
    <w:rsid w:val="00254412"/>
    <w:rsid w:val="002547CF"/>
    <w:rsid w:val="002560B5"/>
    <w:rsid w:val="00256D8C"/>
    <w:rsid w:val="002575AE"/>
    <w:rsid w:val="0026169E"/>
    <w:rsid w:val="0026321D"/>
    <w:rsid w:val="00264E5A"/>
    <w:rsid w:val="002709AB"/>
    <w:rsid w:val="00270ACE"/>
    <w:rsid w:val="00270C63"/>
    <w:rsid w:val="002961F2"/>
    <w:rsid w:val="002967F3"/>
    <w:rsid w:val="002A111D"/>
    <w:rsid w:val="002A2413"/>
    <w:rsid w:val="002A2F1B"/>
    <w:rsid w:val="002A45B4"/>
    <w:rsid w:val="002A4B92"/>
    <w:rsid w:val="002B1965"/>
    <w:rsid w:val="002B395D"/>
    <w:rsid w:val="002B738F"/>
    <w:rsid w:val="002C051F"/>
    <w:rsid w:val="002C1062"/>
    <w:rsid w:val="002C283D"/>
    <w:rsid w:val="002C3227"/>
    <w:rsid w:val="002C4350"/>
    <w:rsid w:val="002C4B80"/>
    <w:rsid w:val="002D0B43"/>
    <w:rsid w:val="002D1A0C"/>
    <w:rsid w:val="002D29D8"/>
    <w:rsid w:val="002D2CF0"/>
    <w:rsid w:val="002D628D"/>
    <w:rsid w:val="002E1D0D"/>
    <w:rsid w:val="002E2680"/>
    <w:rsid w:val="002E606B"/>
    <w:rsid w:val="002E7DE5"/>
    <w:rsid w:val="002F1193"/>
    <w:rsid w:val="002F2273"/>
    <w:rsid w:val="002F2E22"/>
    <w:rsid w:val="002F4626"/>
    <w:rsid w:val="002F4D63"/>
    <w:rsid w:val="002F4F78"/>
    <w:rsid w:val="002F5717"/>
    <w:rsid w:val="002F71FD"/>
    <w:rsid w:val="002F7463"/>
    <w:rsid w:val="002F7C97"/>
    <w:rsid w:val="002F7E65"/>
    <w:rsid w:val="0030574E"/>
    <w:rsid w:val="00305872"/>
    <w:rsid w:val="003061CE"/>
    <w:rsid w:val="0030691C"/>
    <w:rsid w:val="00313976"/>
    <w:rsid w:val="00315B5B"/>
    <w:rsid w:val="0031674C"/>
    <w:rsid w:val="00317F69"/>
    <w:rsid w:val="0032175A"/>
    <w:rsid w:val="003228E6"/>
    <w:rsid w:val="00322DEA"/>
    <w:rsid w:val="00322F9C"/>
    <w:rsid w:val="00325A97"/>
    <w:rsid w:val="00326CDC"/>
    <w:rsid w:val="003278DF"/>
    <w:rsid w:val="003325A4"/>
    <w:rsid w:val="003377FD"/>
    <w:rsid w:val="00337B78"/>
    <w:rsid w:val="00341B95"/>
    <w:rsid w:val="00341CA7"/>
    <w:rsid w:val="003459B7"/>
    <w:rsid w:val="0034659F"/>
    <w:rsid w:val="00346615"/>
    <w:rsid w:val="00354CB5"/>
    <w:rsid w:val="003571FD"/>
    <w:rsid w:val="0035791F"/>
    <w:rsid w:val="00357B0E"/>
    <w:rsid w:val="003606CA"/>
    <w:rsid w:val="00362770"/>
    <w:rsid w:val="0036392B"/>
    <w:rsid w:val="00363EC5"/>
    <w:rsid w:val="00364047"/>
    <w:rsid w:val="00364E86"/>
    <w:rsid w:val="00366AD1"/>
    <w:rsid w:val="00367998"/>
    <w:rsid w:val="00370828"/>
    <w:rsid w:val="00371684"/>
    <w:rsid w:val="00371B69"/>
    <w:rsid w:val="0037523B"/>
    <w:rsid w:val="00376C01"/>
    <w:rsid w:val="00376F80"/>
    <w:rsid w:val="003775B9"/>
    <w:rsid w:val="003809F6"/>
    <w:rsid w:val="00381D00"/>
    <w:rsid w:val="00381FDE"/>
    <w:rsid w:val="0038568C"/>
    <w:rsid w:val="00386C30"/>
    <w:rsid w:val="00387B9E"/>
    <w:rsid w:val="00390562"/>
    <w:rsid w:val="00392D80"/>
    <w:rsid w:val="00395900"/>
    <w:rsid w:val="003A0C11"/>
    <w:rsid w:val="003A224A"/>
    <w:rsid w:val="003A32A0"/>
    <w:rsid w:val="003A6CB3"/>
    <w:rsid w:val="003B037A"/>
    <w:rsid w:val="003B1077"/>
    <w:rsid w:val="003B1270"/>
    <w:rsid w:val="003B1345"/>
    <w:rsid w:val="003B26D4"/>
    <w:rsid w:val="003B2B61"/>
    <w:rsid w:val="003B3D4F"/>
    <w:rsid w:val="003B422F"/>
    <w:rsid w:val="003B71CC"/>
    <w:rsid w:val="003C09D3"/>
    <w:rsid w:val="003C3D32"/>
    <w:rsid w:val="003C5CB2"/>
    <w:rsid w:val="003C74B9"/>
    <w:rsid w:val="003D21DC"/>
    <w:rsid w:val="003D2933"/>
    <w:rsid w:val="003D653B"/>
    <w:rsid w:val="003D703B"/>
    <w:rsid w:val="003E1025"/>
    <w:rsid w:val="003E4577"/>
    <w:rsid w:val="003E5F2B"/>
    <w:rsid w:val="003E6F7D"/>
    <w:rsid w:val="003E7616"/>
    <w:rsid w:val="003F07ED"/>
    <w:rsid w:val="003F1DB6"/>
    <w:rsid w:val="004004C0"/>
    <w:rsid w:val="004004FC"/>
    <w:rsid w:val="0040137C"/>
    <w:rsid w:val="00402C06"/>
    <w:rsid w:val="00402D57"/>
    <w:rsid w:val="00403C0D"/>
    <w:rsid w:val="00405C11"/>
    <w:rsid w:val="0040642F"/>
    <w:rsid w:val="00407538"/>
    <w:rsid w:val="00413916"/>
    <w:rsid w:val="00414F87"/>
    <w:rsid w:val="00415674"/>
    <w:rsid w:val="00417008"/>
    <w:rsid w:val="00417BE1"/>
    <w:rsid w:val="00421C07"/>
    <w:rsid w:val="00422B0F"/>
    <w:rsid w:val="00423B7F"/>
    <w:rsid w:val="00423C97"/>
    <w:rsid w:val="00424E4F"/>
    <w:rsid w:val="004253A7"/>
    <w:rsid w:val="00427E16"/>
    <w:rsid w:val="004308BF"/>
    <w:rsid w:val="00432691"/>
    <w:rsid w:val="00432AEA"/>
    <w:rsid w:val="00433D5F"/>
    <w:rsid w:val="004358A8"/>
    <w:rsid w:val="00444D1E"/>
    <w:rsid w:val="00445BA7"/>
    <w:rsid w:val="00450F6C"/>
    <w:rsid w:val="004511EE"/>
    <w:rsid w:val="00455CF0"/>
    <w:rsid w:val="00461D62"/>
    <w:rsid w:val="00462070"/>
    <w:rsid w:val="00464FBE"/>
    <w:rsid w:val="00466143"/>
    <w:rsid w:val="004677D7"/>
    <w:rsid w:val="00470442"/>
    <w:rsid w:val="00470856"/>
    <w:rsid w:val="00470F50"/>
    <w:rsid w:val="00471CD9"/>
    <w:rsid w:val="00472C29"/>
    <w:rsid w:val="00473BE1"/>
    <w:rsid w:val="00475A34"/>
    <w:rsid w:val="00475E15"/>
    <w:rsid w:val="00481A97"/>
    <w:rsid w:val="00483EBE"/>
    <w:rsid w:val="00485CAA"/>
    <w:rsid w:val="004864A2"/>
    <w:rsid w:val="00486E8C"/>
    <w:rsid w:val="00487182"/>
    <w:rsid w:val="0049130B"/>
    <w:rsid w:val="00493AC8"/>
    <w:rsid w:val="00493D30"/>
    <w:rsid w:val="00496B12"/>
    <w:rsid w:val="00496F42"/>
    <w:rsid w:val="004A4769"/>
    <w:rsid w:val="004A5495"/>
    <w:rsid w:val="004B0346"/>
    <w:rsid w:val="004B0816"/>
    <w:rsid w:val="004B3911"/>
    <w:rsid w:val="004B450F"/>
    <w:rsid w:val="004B4AC0"/>
    <w:rsid w:val="004B70D3"/>
    <w:rsid w:val="004C1F31"/>
    <w:rsid w:val="004C4096"/>
    <w:rsid w:val="004C4A4E"/>
    <w:rsid w:val="004C595C"/>
    <w:rsid w:val="004C7641"/>
    <w:rsid w:val="004C7C9F"/>
    <w:rsid w:val="004D0576"/>
    <w:rsid w:val="004D3AD3"/>
    <w:rsid w:val="004D3DBE"/>
    <w:rsid w:val="004D4584"/>
    <w:rsid w:val="004D4740"/>
    <w:rsid w:val="004D5520"/>
    <w:rsid w:val="004D711A"/>
    <w:rsid w:val="004E1269"/>
    <w:rsid w:val="004E1F9D"/>
    <w:rsid w:val="004E1FE1"/>
    <w:rsid w:val="004E3B8D"/>
    <w:rsid w:val="004E3E28"/>
    <w:rsid w:val="004E44FC"/>
    <w:rsid w:val="004E65DE"/>
    <w:rsid w:val="004E66F6"/>
    <w:rsid w:val="004E6C80"/>
    <w:rsid w:val="004F510E"/>
    <w:rsid w:val="004F5B30"/>
    <w:rsid w:val="005014EA"/>
    <w:rsid w:val="00501B29"/>
    <w:rsid w:val="0051203C"/>
    <w:rsid w:val="0051325E"/>
    <w:rsid w:val="005135D7"/>
    <w:rsid w:val="00516AC8"/>
    <w:rsid w:val="00517423"/>
    <w:rsid w:val="00517955"/>
    <w:rsid w:val="005204CB"/>
    <w:rsid w:val="005211FD"/>
    <w:rsid w:val="005228BF"/>
    <w:rsid w:val="00523025"/>
    <w:rsid w:val="00523BC7"/>
    <w:rsid w:val="0052400E"/>
    <w:rsid w:val="00530FDE"/>
    <w:rsid w:val="00533921"/>
    <w:rsid w:val="00536B85"/>
    <w:rsid w:val="00537796"/>
    <w:rsid w:val="005441F6"/>
    <w:rsid w:val="0054581A"/>
    <w:rsid w:val="005459FF"/>
    <w:rsid w:val="0054707F"/>
    <w:rsid w:val="005474ED"/>
    <w:rsid w:val="00550DC5"/>
    <w:rsid w:val="00550F07"/>
    <w:rsid w:val="005514C4"/>
    <w:rsid w:val="00553C64"/>
    <w:rsid w:val="00554550"/>
    <w:rsid w:val="005557BF"/>
    <w:rsid w:val="00557DE8"/>
    <w:rsid w:val="005600CA"/>
    <w:rsid w:val="005624E1"/>
    <w:rsid w:val="00564A3B"/>
    <w:rsid w:val="005674E6"/>
    <w:rsid w:val="00572884"/>
    <w:rsid w:val="00576E15"/>
    <w:rsid w:val="00577474"/>
    <w:rsid w:val="005774D7"/>
    <w:rsid w:val="00581B4A"/>
    <w:rsid w:val="00583744"/>
    <w:rsid w:val="0058641F"/>
    <w:rsid w:val="0058642A"/>
    <w:rsid w:val="005875CF"/>
    <w:rsid w:val="0058774F"/>
    <w:rsid w:val="005877A7"/>
    <w:rsid w:val="00591C4D"/>
    <w:rsid w:val="00596BCB"/>
    <w:rsid w:val="005A7B65"/>
    <w:rsid w:val="005B2F4A"/>
    <w:rsid w:val="005B5F5F"/>
    <w:rsid w:val="005B67BB"/>
    <w:rsid w:val="005B6CDE"/>
    <w:rsid w:val="005C276E"/>
    <w:rsid w:val="005C2D47"/>
    <w:rsid w:val="005C6168"/>
    <w:rsid w:val="005C675C"/>
    <w:rsid w:val="005D158D"/>
    <w:rsid w:val="005D1AB5"/>
    <w:rsid w:val="005D3B9D"/>
    <w:rsid w:val="005D437C"/>
    <w:rsid w:val="005D66E5"/>
    <w:rsid w:val="005D672F"/>
    <w:rsid w:val="005E00AC"/>
    <w:rsid w:val="005E0288"/>
    <w:rsid w:val="005E0C05"/>
    <w:rsid w:val="005E0CE4"/>
    <w:rsid w:val="005E26CD"/>
    <w:rsid w:val="005E4F3E"/>
    <w:rsid w:val="005F2E08"/>
    <w:rsid w:val="005F2E8B"/>
    <w:rsid w:val="005F3280"/>
    <w:rsid w:val="005F33DD"/>
    <w:rsid w:val="005F4CBB"/>
    <w:rsid w:val="005F4FF6"/>
    <w:rsid w:val="005F5C78"/>
    <w:rsid w:val="005F6261"/>
    <w:rsid w:val="005F62CF"/>
    <w:rsid w:val="00601960"/>
    <w:rsid w:val="00602FDD"/>
    <w:rsid w:val="0060356B"/>
    <w:rsid w:val="00604049"/>
    <w:rsid w:val="006078A6"/>
    <w:rsid w:val="006111C5"/>
    <w:rsid w:val="00612159"/>
    <w:rsid w:val="006126F4"/>
    <w:rsid w:val="00613CA1"/>
    <w:rsid w:val="00615E55"/>
    <w:rsid w:val="00615EC0"/>
    <w:rsid w:val="00617570"/>
    <w:rsid w:val="00617596"/>
    <w:rsid w:val="00623B76"/>
    <w:rsid w:val="00626A54"/>
    <w:rsid w:val="00626DED"/>
    <w:rsid w:val="00626F07"/>
    <w:rsid w:val="00627716"/>
    <w:rsid w:val="00627FB0"/>
    <w:rsid w:val="0063086A"/>
    <w:rsid w:val="00631AD3"/>
    <w:rsid w:val="00635929"/>
    <w:rsid w:val="00641F36"/>
    <w:rsid w:val="0064241A"/>
    <w:rsid w:val="0064268D"/>
    <w:rsid w:val="00644960"/>
    <w:rsid w:val="0064746F"/>
    <w:rsid w:val="00647A32"/>
    <w:rsid w:val="0065067C"/>
    <w:rsid w:val="0065090F"/>
    <w:rsid w:val="00651987"/>
    <w:rsid w:val="006531FD"/>
    <w:rsid w:val="006557B3"/>
    <w:rsid w:val="0065582A"/>
    <w:rsid w:val="006612EF"/>
    <w:rsid w:val="00662BC2"/>
    <w:rsid w:val="0066301B"/>
    <w:rsid w:val="0066359C"/>
    <w:rsid w:val="00664D9D"/>
    <w:rsid w:val="0066624C"/>
    <w:rsid w:val="006666EC"/>
    <w:rsid w:val="00667BC7"/>
    <w:rsid w:val="00667F3C"/>
    <w:rsid w:val="00670A01"/>
    <w:rsid w:val="00672188"/>
    <w:rsid w:val="00673710"/>
    <w:rsid w:val="00674B1A"/>
    <w:rsid w:val="0067767C"/>
    <w:rsid w:val="006811DF"/>
    <w:rsid w:val="00681395"/>
    <w:rsid w:val="006816DA"/>
    <w:rsid w:val="00682CDF"/>
    <w:rsid w:val="00685056"/>
    <w:rsid w:val="00685718"/>
    <w:rsid w:val="00685844"/>
    <w:rsid w:val="00686C9C"/>
    <w:rsid w:val="00686DB6"/>
    <w:rsid w:val="006900FE"/>
    <w:rsid w:val="00692FA1"/>
    <w:rsid w:val="00693CAB"/>
    <w:rsid w:val="00694869"/>
    <w:rsid w:val="0069579F"/>
    <w:rsid w:val="00695D97"/>
    <w:rsid w:val="00697212"/>
    <w:rsid w:val="00697B57"/>
    <w:rsid w:val="006A2F88"/>
    <w:rsid w:val="006A60E8"/>
    <w:rsid w:val="006A6592"/>
    <w:rsid w:val="006A6CAA"/>
    <w:rsid w:val="006B1BDB"/>
    <w:rsid w:val="006B41D0"/>
    <w:rsid w:val="006B722B"/>
    <w:rsid w:val="006B785F"/>
    <w:rsid w:val="006C551B"/>
    <w:rsid w:val="006C665A"/>
    <w:rsid w:val="006C7F2B"/>
    <w:rsid w:val="006D0C85"/>
    <w:rsid w:val="006D22EE"/>
    <w:rsid w:val="006D272E"/>
    <w:rsid w:val="006D5A5B"/>
    <w:rsid w:val="006E30C0"/>
    <w:rsid w:val="006E6BA5"/>
    <w:rsid w:val="006F654A"/>
    <w:rsid w:val="00700521"/>
    <w:rsid w:val="007126FF"/>
    <w:rsid w:val="007129E9"/>
    <w:rsid w:val="00713DA9"/>
    <w:rsid w:val="00716581"/>
    <w:rsid w:val="0071762B"/>
    <w:rsid w:val="007179EE"/>
    <w:rsid w:val="00717EED"/>
    <w:rsid w:val="00717FC4"/>
    <w:rsid w:val="00720F06"/>
    <w:rsid w:val="00722BFC"/>
    <w:rsid w:val="00724314"/>
    <w:rsid w:val="00726A20"/>
    <w:rsid w:val="00726F49"/>
    <w:rsid w:val="00731576"/>
    <w:rsid w:val="0073200E"/>
    <w:rsid w:val="00735585"/>
    <w:rsid w:val="007415BD"/>
    <w:rsid w:val="00741E46"/>
    <w:rsid w:val="00741F70"/>
    <w:rsid w:val="00744729"/>
    <w:rsid w:val="007457CE"/>
    <w:rsid w:val="007459E1"/>
    <w:rsid w:val="00746C54"/>
    <w:rsid w:val="0075153F"/>
    <w:rsid w:val="00751DC6"/>
    <w:rsid w:val="007522A7"/>
    <w:rsid w:val="00754505"/>
    <w:rsid w:val="00754F11"/>
    <w:rsid w:val="00757758"/>
    <w:rsid w:val="00760B0C"/>
    <w:rsid w:val="00760E32"/>
    <w:rsid w:val="007615B8"/>
    <w:rsid w:val="00762428"/>
    <w:rsid w:val="0076441F"/>
    <w:rsid w:val="00764E41"/>
    <w:rsid w:val="00766760"/>
    <w:rsid w:val="007667E2"/>
    <w:rsid w:val="00770F61"/>
    <w:rsid w:val="00771515"/>
    <w:rsid w:val="00771B55"/>
    <w:rsid w:val="00771C4B"/>
    <w:rsid w:val="00773187"/>
    <w:rsid w:val="00776056"/>
    <w:rsid w:val="0077637A"/>
    <w:rsid w:val="0077758C"/>
    <w:rsid w:val="00780F54"/>
    <w:rsid w:val="0078131E"/>
    <w:rsid w:val="0078134B"/>
    <w:rsid w:val="00784F4E"/>
    <w:rsid w:val="007853C2"/>
    <w:rsid w:val="007854CA"/>
    <w:rsid w:val="00785A63"/>
    <w:rsid w:val="00785AF8"/>
    <w:rsid w:val="00790C12"/>
    <w:rsid w:val="00791259"/>
    <w:rsid w:val="00794FCF"/>
    <w:rsid w:val="00795547"/>
    <w:rsid w:val="0079693F"/>
    <w:rsid w:val="007A0332"/>
    <w:rsid w:val="007A0C38"/>
    <w:rsid w:val="007A345D"/>
    <w:rsid w:val="007A7033"/>
    <w:rsid w:val="007A7255"/>
    <w:rsid w:val="007B0DF0"/>
    <w:rsid w:val="007B3BC1"/>
    <w:rsid w:val="007B666B"/>
    <w:rsid w:val="007B6A88"/>
    <w:rsid w:val="007B6B6D"/>
    <w:rsid w:val="007B72E8"/>
    <w:rsid w:val="007C109B"/>
    <w:rsid w:val="007C117C"/>
    <w:rsid w:val="007C1B15"/>
    <w:rsid w:val="007C6DF1"/>
    <w:rsid w:val="007D0D59"/>
    <w:rsid w:val="007D26AE"/>
    <w:rsid w:val="007D2EEB"/>
    <w:rsid w:val="007D39A7"/>
    <w:rsid w:val="007D6FF7"/>
    <w:rsid w:val="007E1663"/>
    <w:rsid w:val="007E21C9"/>
    <w:rsid w:val="007E238B"/>
    <w:rsid w:val="007E3C46"/>
    <w:rsid w:val="007E458D"/>
    <w:rsid w:val="007E55AE"/>
    <w:rsid w:val="007E6200"/>
    <w:rsid w:val="007E7D3A"/>
    <w:rsid w:val="007F109D"/>
    <w:rsid w:val="007F19CA"/>
    <w:rsid w:val="008009F9"/>
    <w:rsid w:val="008018C5"/>
    <w:rsid w:val="00803CA2"/>
    <w:rsid w:val="00803FC9"/>
    <w:rsid w:val="00804083"/>
    <w:rsid w:val="00804F6E"/>
    <w:rsid w:val="008052A5"/>
    <w:rsid w:val="00805ABC"/>
    <w:rsid w:val="00806E3A"/>
    <w:rsid w:val="0081144F"/>
    <w:rsid w:val="008137E1"/>
    <w:rsid w:val="00813F1E"/>
    <w:rsid w:val="0081403B"/>
    <w:rsid w:val="0081567C"/>
    <w:rsid w:val="00821CAF"/>
    <w:rsid w:val="00822E8D"/>
    <w:rsid w:val="008240F9"/>
    <w:rsid w:val="00826351"/>
    <w:rsid w:val="00826F3A"/>
    <w:rsid w:val="008274A8"/>
    <w:rsid w:val="0083337C"/>
    <w:rsid w:val="0083481B"/>
    <w:rsid w:val="0083582F"/>
    <w:rsid w:val="0083694C"/>
    <w:rsid w:val="00837C4B"/>
    <w:rsid w:val="00840113"/>
    <w:rsid w:val="0084118D"/>
    <w:rsid w:val="0084166F"/>
    <w:rsid w:val="008416CC"/>
    <w:rsid w:val="00842737"/>
    <w:rsid w:val="00843006"/>
    <w:rsid w:val="008440D9"/>
    <w:rsid w:val="008451EC"/>
    <w:rsid w:val="00845340"/>
    <w:rsid w:val="0084700C"/>
    <w:rsid w:val="008472C2"/>
    <w:rsid w:val="00851A76"/>
    <w:rsid w:val="00853672"/>
    <w:rsid w:val="00857E1D"/>
    <w:rsid w:val="00860F38"/>
    <w:rsid w:val="00863117"/>
    <w:rsid w:val="008642DC"/>
    <w:rsid w:val="008647BD"/>
    <w:rsid w:val="008651D9"/>
    <w:rsid w:val="008651F8"/>
    <w:rsid w:val="008665E2"/>
    <w:rsid w:val="00867235"/>
    <w:rsid w:val="00867AAC"/>
    <w:rsid w:val="008705CC"/>
    <w:rsid w:val="00872BB9"/>
    <w:rsid w:val="00876E99"/>
    <w:rsid w:val="0087714D"/>
    <w:rsid w:val="00881F46"/>
    <w:rsid w:val="0088261E"/>
    <w:rsid w:val="00882ECA"/>
    <w:rsid w:val="00886599"/>
    <w:rsid w:val="0088677A"/>
    <w:rsid w:val="00887737"/>
    <w:rsid w:val="008933C0"/>
    <w:rsid w:val="008942EA"/>
    <w:rsid w:val="008950F3"/>
    <w:rsid w:val="008952D0"/>
    <w:rsid w:val="0089596A"/>
    <w:rsid w:val="00896596"/>
    <w:rsid w:val="00897311"/>
    <w:rsid w:val="008A056C"/>
    <w:rsid w:val="008A0A74"/>
    <w:rsid w:val="008A2871"/>
    <w:rsid w:val="008A383B"/>
    <w:rsid w:val="008A5C88"/>
    <w:rsid w:val="008A670A"/>
    <w:rsid w:val="008A6BFE"/>
    <w:rsid w:val="008A70AF"/>
    <w:rsid w:val="008A7DF9"/>
    <w:rsid w:val="008B06DD"/>
    <w:rsid w:val="008B6B69"/>
    <w:rsid w:val="008C0039"/>
    <w:rsid w:val="008C2D7A"/>
    <w:rsid w:val="008C3CD2"/>
    <w:rsid w:val="008C4FDC"/>
    <w:rsid w:val="008D0A7F"/>
    <w:rsid w:val="008D0CB8"/>
    <w:rsid w:val="008D4556"/>
    <w:rsid w:val="008D5870"/>
    <w:rsid w:val="008D7150"/>
    <w:rsid w:val="008D791F"/>
    <w:rsid w:val="008E0273"/>
    <w:rsid w:val="008E038A"/>
    <w:rsid w:val="008E0859"/>
    <w:rsid w:val="008E26BC"/>
    <w:rsid w:val="008E26D5"/>
    <w:rsid w:val="008E426A"/>
    <w:rsid w:val="008F0A97"/>
    <w:rsid w:val="008F1D8F"/>
    <w:rsid w:val="008F3D1E"/>
    <w:rsid w:val="008F6467"/>
    <w:rsid w:val="008F6F81"/>
    <w:rsid w:val="0090027B"/>
    <w:rsid w:val="009025E7"/>
    <w:rsid w:val="009064CB"/>
    <w:rsid w:val="00911DF3"/>
    <w:rsid w:val="00914EAB"/>
    <w:rsid w:val="00917043"/>
    <w:rsid w:val="00917C4E"/>
    <w:rsid w:val="00920DBC"/>
    <w:rsid w:val="009250DC"/>
    <w:rsid w:val="00927E09"/>
    <w:rsid w:val="009315ED"/>
    <w:rsid w:val="0093166A"/>
    <w:rsid w:val="00933519"/>
    <w:rsid w:val="00933A51"/>
    <w:rsid w:val="009353D7"/>
    <w:rsid w:val="00935763"/>
    <w:rsid w:val="00935C7C"/>
    <w:rsid w:val="00941CA9"/>
    <w:rsid w:val="00942B3B"/>
    <w:rsid w:val="00942C3D"/>
    <w:rsid w:val="00946646"/>
    <w:rsid w:val="00950B77"/>
    <w:rsid w:val="0095197D"/>
    <w:rsid w:val="00951D81"/>
    <w:rsid w:val="00953A1E"/>
    <w:rsid w:val="00953A5C"/>
    <w:rsid w:val="00955032"/>
    <w:rsid w:val="00957703"/>
    <w:rsid w:val="009613C9"/>
    <w:rsid w:val="00963305"/>
    <w:rsid w:val="009652AF"/>
    <w:rsid w:val="00966FCE"/>
    <w:rsid w:val="009673AC"/>
    <w:rsid w:val="00970E33"/>
    <w:rsid w:val="0097197E"/>
    <w:rsid w:val="0097255B"/>
    <w:rsid w:val="009728BA"/>
    <w:rsid w:val="00972A80"/>
    <w:rsid w:val="00975139"/>
    <w:rsid w:val="00975566"/>
    <w:rsid w:val="00975D01"/>
    <w:rsid w:val="00977E6A"/>
    <w:rsid w:val="009855AD"/>
    <w:rsid w:val="0098671D"/>
    <w:rsid w:val="009868C4"/>
    <w:rsid w:val="009872E8"/>
    <w:rsid w:val="0099061C"/>
    <w:rsid w:val="00990CED"/>
    <w:rsid w:val="00990FBF"/>
    <w:rsid w:val="00993546"/>
    <w:rsid w:val="00993E51"/>
    <w:rsid w:val="0099450D"/>
    <w:rsid w:val="009950AC"/>
    <w:rsid w:val="0099667F"/>
    <w:rsid w:val="009A0460"/>
    <w:rsid w:val="009A0A87"/>
    <w:rsid w:val="009A15EB"/>
    <w:rsid w:val="009A3A4C"/>
    <w:rsid w:val="009A4095"/>
    <w:rsid w:val="009B16DF"/>
    <w:rsid w:val="009B19D9"/>
    <w:rsid w:val="009B2182"/>
    <w:rsid w:val="009B2486"/>
    <w:rsid w:val="009B2588"/>
    <w:rsid w:val="009B5379"/>
    <w:rsid w:val="009B76A1"/>
    <w:rsid w:val="009C0016"/>
    <w:rsid w:val="009C096A"/>
    <w:rsid w:val="009C0D32"/>
    <w:rsid w:val="009C2C56"/>
    <w:rsid w:val="009C474D"/>
    <w:rsid w:val="009C4AEA"/>
    <w:rsid w:val="009C77AF"/>
    <w:rsid w:val="009D0CCD"/>
    <w:rsid w:val="009D154C"/>
    <w:rsid w:val="009D15BD"/>
    <w:rsid w:val="009D292F"/>
    <w:rsid w:val="009D4B60"/>
    <w:rsid w:val="009D51EB"/>
    <w:rsid w:val="009D72E4"/>
    <w:rsid w:val="009E32A1"/>
    <w:rsid w:val="009E6787"/>
    <w:rsid w:val="009E7526"/>
    <w:rsid w:val="009E788B"/>
    <w:rsid w:val="009F19F5"/>
    <w:rsid w:val="009F1F81"/>
    <w:rsid w:val="009F21FD"/>
    <w:rsid w:val="009F2BC0"/>
    <w:rsid w:val="00A0001A"/>
    <w:rsid w:val="00A02304"/>
    <w:rsid w:val="00A02E3A"/>
    <w:rsid w:val="00A02ED9"/>
    <w:rsid w:val="00A03D57"/>
    <w:rsid w:val="00A0490F"/>
    <w:rsid w:val="00A05B9F"/>
    <w:rsid w:val="00A05D7F"/>
    <w:rsid w:val="00A06C23"/>
    <w:rsid w:val="00A06FBE"/>
    <w:rsid w:val="00A07FAA"/>
    <w:rsid w:val="00A10183"/>
    <w:rsid w:val="00A13438"/>
    <w:rsid w:val="00A1786A"/>
    <w:rsid w:val="00A17F57"/>
    <w:rsid w:val="00A205F8"/>
    <w:rsid w:val="00A206A2"/>
    <w:rsid w:val="00A209EB"/>
    <w:rsid w:val="00A210CD"/>
    <w:rsid w:val="00A22BCE"/>
    <w:rsid w:val="00A24136"/>
    <w:rsid w:val="00A243D2"/>
    <w:rsid w:val="00A26205"/>
    <w:rsid w:val="00A277F2"/>
    <w:rsid w:val="00A27C87"/>
    <w:rsid w:val="00A30EBB"/>
    <w:rsid w:val="00A319F2"/>
    <w:rsid w:val="00A32B15"/>
    <w:rsid w:val="00A37CFE"/>
    <w:rsid w:val="00A40130"/>
    <w:rsid w:val="00A4035C"/>
    <w:rsid w:val="00A40D52"/>
    <w:rsid w:val="00A44F24"/>
    <w:rsid w:val="00A45528"/>
    <w:rsid w:val="00A45D57"/>
    <w:rsid w:val="00A475B1"/>
    <w:rsid w:val="00A508CF"/>
    <w:rsid w:val="00A53350"/>
    <w:rsid w:val="00A53556"/>
    <w:rsid w:val="00A53A10"/>
    <w:rsid w:val="00A55EBF"/>
    <w:rsid w:val="00A56E3E"/>
    <w:rsid w:val="00A57912"/>
    <w:rsid w:val="00A62ACC"/>
    <w:rsid w:val="00A64833"/>
    <w:rsid w:val="00A6585F"/>
    <w:rsid w:val="00A66E5E"/>
    <w:rsid w:val="00A71955"/>
    <w:rsid w:val="00A71981"/>
    <w:rsid w:val="00A73468"/>
    <w:rsid w:val="00A74149"/>
    <w:rsid w:val="00A7443F"/>
    <w:rsid w:val="00A74F3F"/>
    <w:rsid w:val="00A75F32"/>
    <w:rsid w:val="00A76948"/>
    <w:rsid w:val="00A76E16"/>
    <w:rsid w:val="00A776F6"/>
    <w:rsid w:val="00A8014C"/>
    <w:rsid w:val="00A80C73"/>
    <w:rsid w:val="00A80E4A"/>
    <w:rsid w:val="00A8250A"/>
    <w:rsid w:val="00A827DC"/>
    <w:rsid w:val="00A845C4"/>
    <w:rsid w:val="00A85E34"/>
    <w:rsid w:val="00A860D0"/>
    <w:rsid w:val="00A86229"/>
    <w:rsid w:val="00A869F1"/>
    <w:rsid w:val="00A87007"/>
    <w:rsid w:val="00A92D15"/>
    <w:rsid w:val="00A92E13"/>
    <w:rsid w:val="00A938A7"/>
    <w:rsid w:val="00A97C51"/>
    <w:rsid w:val="00AA040D"/>
    <w:rsid w:val="00AA2AA4"/>
    <w:rsid w:val="00AA5B90"/>
    <w:rsid w:val="00AA644F"/>
    <w:rsid w:val="00AA6FE8"/>
    <w:rsid w:val="00AA7B30"/>
    <w:rsid w:val="00AA7F64"/>
    <w:rsid w:val="00AB0088"/>
    <w:rsid w:val="00AB0308"/>
    <w:rsid w:val="00AB0E52"/>
    <w:rsid w:val="00AB4814"/>
    <w:rsid w:val="00AB5314"/>
    <w:rsid w:val="00AB62B2"/>
    <w:rsid w:val="00AB66E1"/>
    <w:rsid w:val="00AB7CE4"/>
    <w:rsid w:val="00AC29B9"/>
    <w:rsid w:val="00AC5D05"/>
    <w:rsid w:val="00AC6DF2"/>
    <w:rsid w:val="00AC7475"/>
    <w:rsid w:val="00AD1259"/>
    <w:rsid w:val="00AD2B11"/>
    <w:rsid w:val="00AD2E58"/>
    <w:rsid w:val="00AD302C"/>
    <w:rsid w:val="00AD6771"/>
    <w:rsid w:val="00AD6AFE"/>
    <w:rsid w:val="00AE0BDB"/>
    <w:rsid w:val="00AE1E16"/>
    <w:rsid w:val="00AE2D5E"/>
    <w:rsid w:val="00AE6BC4"/>
    <w:rsid w:val="00AF0753"/>
    <w:rsid w:val="00B000A7"/>
    <w:rsid w:val="00B00E5C"/>
    <w:rsid w:val="00B027E1"/>
    <w:rsid w:val="00B03982"/>
    <w:rsid w:val="00B053BE"/>
    <w:rsid w:val="00B05DCD"/>
    <w:rsid w:val="00B05EB9"/>
    <w:rsid w:val="00B0693D"/>
    <w:rsid w:val="00B07366"/>
    <w:rsid w:val="00B073DE"/>
    <w:rsid w:val="00B10678"/>
    <w:rsid w:val="00B12C88"/>
    <w:rsid w:val="00B13E92"/>
    <w:rsid w:val="00B15D2F"/>
    <w:rsid w:val="00B16644"/>
    <w:rsid w:val="00B16D3E"/>
    <w:rsid w:val="00B203C9"/>
    <w:rsid w:val="00B2050D"/>
    <w:rsid w:val="00B248B8"/>
    <w:rsid w:val="00B24C68"/>
    <w:rsid w:val="00B24D29"/>
    <w:rsid w:val="00B25B8C"/>
    <w:rsid w:val="00B268AF"/>
    <w:rsid w:val="00B27D4C"/>
    <w:rsid w:val="00B32060"/>
    <w:rsid w:val="00B32ADA"/>
    <w:rsid w:val="00B34EFC"/>
    <w:rsid w:val="00B358BA"/>
    <w:rsid w:val="00B36589"/>
    <w:rsid w:val="00B40178"/>
    <w:rsid w:val="00B40C87"/>
    <w:rsid w:val="00B44D17"/>
    <w:rsid w:val="00B51B4E"/>
    <w:rsid w:val="00B5670B"/>
    <w:rsid w:val="00B56EE1"/>
    <w:rsid w:val="00B605E0"/>
    <w:rsid w:val="00B6214A"/>
    <w:rsid w:val="00B64ACA"/>
    <w:rsid w:val="00B663E5"/>
    <w:rsid w:val="00B66979"/>
    <w:rsid w:val="00B66E94"/>
    <w:rsid w:val="00B70C10"/>
    <w:rsid w:val="00B77567"/>
    <w:rsid w:val="00B77936"/>
    <w:rsid w:val="00B77A5C"/>
    <w:rsid w:val="00B85DCE"/>
    <w:rsid w:val="00B85E14"/>
    <w:rsid w:val="00B91161"/>
    <w:rsid w:val="00B91691"/>
    <w:rsid w:val="00B91B84"/>
    <w:rsid w:val="00B92DC7"/>
    <w:rsid w:val="00B950B4"/>
    <w:rsid w:val="00B9556C"/>
    <w:rsid w:val="00BA062C"/>
    <w:rsid w:val="00BA24F4"/>
    <w:rsid w:val="00BA30DE"/>
    <w:rsid w:val="00BA6241"/>
    <w:rsid w:val="00BA734D"/>
    <w:rsid w:val="00BB4B47"/>
    <w:rsid w:val="00BB5B1B"/>
    <w:rsid w:val="00BB5F4A"/>
    <w:rsid w:val="00BB6FFE"/>
    <w:rsid w:val="00BC017B"/>
    <w:rsid w:val="00BC17A1"/>
    <w:rsid w:val="00BC2B6B"/>
    <w:rsid w:val="00BC38E0"/>
    <w:rsid w:val="00BC4C04"/>
    <w:rsid w:val="00BC5EB7"/>
    <w:rsid w:val="00BC70EB"/>
    <w:rsid w:val="00BD129C"/>
    <w:rsid w:val="00BD1F09"/>
    <w:rsid w:val="00BE04B4"/>
    <w:rsid w:val="00BE09FF"/>
    <w:rsid w:val="00BE2925"/>
    <w:rsid w:val="00BF0525"/>
    <w:rsid w:val="00BF0740"/>
    <w:rsid w:val="00BF1230"/>
    <w:rsid w:val="00BF1E5C"/>
    <w:rsid w:val="00BF31EF"/>
    <w:rsid w:val="00BF46B8"/>
    <w:rsid w:val="00BF5B88"/>
    <w:rsid w:val="00C00042"/>
    <w:rsid w:val="00C02D0C"/>
    <w:rsid w:val="00C048B3"/>
    <w:rsid w:val="00C04C63"/>
    <w:rsid w:val="00C06321"/>
    <w:rsid w:val="00C0637A"/>
    <w:rsid w:val="00C06A05"/>
    <w:rsid w:val="00C07BD1"/>
    <w:rsid w:val="00C1343A"/>
    <w:rsid w:val="00C14AD8"/>
    <w:rsid w:val="00C15636"/>
    <w:rsid w:val="00C1582B"/>
    <w:rsid w:val="00C21C38"/>
    <w:rsid w:val="00C23EB1"/>
    <w:rsid w:val="00C241B0"/>
    <w:rsid w:val="00C30E5C"/>
    <w:rsid w:val="00C32A66"/>
    <w:rsid w:val="00C33051"/>
    <w:rsid w:val="00C3333D"/>
    <w:rsid w:val="00C34869"/>
    <w:rsid w:val="00C349DF"/>
    <w:rsid w:val="00C3578A"/>
    <w:rsid w:val="00C3686C"/>
    <w:rsid w:val="00C37870"/>
    <w:rsid w:val="00C40DAF"/>
    <w:rsid w:val="00C43D8B"/>
    <w:rsid w:val="00C53889"/>
    <w:rsid w:val="00C54AFC"/>
    <w:rsid w:val="00C631C0"/>
    <w:rsid w:val="00C658B0"/>
    <w:rsid w:val="00C662C8"/>
    <w:rsid w:val="00C66838"/>
    <w:rsid w:val="00C668B4"/>
    <w:rsid w:val="00C66DE1"/>
    <w:rsid w:val="00C70AE5"/>
    <w:rsid w:val="00C72685"/>
    <w:rsid w:val="00C81D02"/>
    <w:rsid w:val="00C8224F"/>
    <w:rsid w:val="00C8542B"/>
    <w:rsid w:val="00C859A8"/>
    <w:rsid w:val="00C8623C"/>
    <w:rsid w:val="00C96DCE"/>
    <w:rsid w:val="00C9762D"/>
    <w:rsid w:val="00C97885"/>
    <w:rsid w:val="00C97E31"/>
    <w:rsid w:val="00CA131A"/>
    <w:rsid w:val="00CA17CC"/>
    <w:rsid w:val="00CA1A6D"/>
    <w:rsid w:val="00CA47E9"/>
    <w:rsid w:val="00CA57D9"/>
    <w:rsid w:val="00CA65C3"/>
    <w:rsid w:val="00CB0E6A"/>
    <w:rsid w:val="00CB2B4C"/>
    <w:rsid w:val="00CB33EA"/>
    <w:rsid w:val="00CB589C"/>
    <w:rsid w:val="00CB647D"/>
    <w:rsid w:val="00CC2C1A"/>
    <w:rsid w:val="00CC4488"/>
    <w:rsid w:val="00CC55CB"/>
    <w:rsid w:val="00CD0C33"/>
    <w:rsid w:val="00CD1BAC"/>
    <w:rsid w:val="00CD4839"/>
    <w:rsid w:val="00CD659B"/>
    <w:rsid w:val="00CE5300"/>
    <w:rsid w:val="00CE6A10"/>
    <w:rsid w:val="00CE6ACA"/>
    <w:rsid w:val="00CE73DB"/>
    <w:rsid w:val="00CE7E2D"/>
    <w:rsid w:val="00CF36EA"/>
    <w:rsid w:val="00CF586D"/>
    <w:rsid w:val="00CF67A9"/>
    <w:rsid w:val="00D00E96"/>
    <w:rsid w:val="00D0338F"/>
    <w:rsid w:val="00D03946"/>
    <w:rsid w:val="00D059AE"/>
    <w:rsid w:val="00D11FE7"/>
    <w:rsid w:val="00D135C8"/>
    <w:rsid w:val="00D14612"/>
    <w:rsid w:val="00D1624A"/>
    <w:rsid w:val="00D16CB1"/>
    <w:rsid w:val="00D30BE3"/>
    <w:rsid w:val="00D31AAC"/>
    <w:rsid w:val="00D31D87"/>
    <w:rsid w:val="00D347B5"/>
    <w:rsid w:val="00D3591F"/>
    <w:rsid w:val="00D36E3F"/>
    <w:rsid w:val="00D4035C"/>
    <w:rsid w:val="00D43F14"/>
    <w:rsid w:val="00D45236"/>
    <w:rsid w:val="00D4698B"/>
    <w:rsid w:val="00D46B0C"/>
    <w:rsid w:val="00D46E6C"/>
    <w:rsid w:val="00D46F7A"/>
    <w:rsid w:val="00D50E6E"/>
    <w:rsid w:val="00D55F61"/>
    <w:rsid w:val="00D562C4"/>
    <w:rsid w:val="00D60A11"/>
    <w:rsid w:val="00D62C5D"/>
    <w:rsid w:val="00D654D5"/>
    <w:rsid w:val="00D66935"/>
    <w:rsid w:val="00D66BE8"/>
    <w:rsid w:val="00D66E4B"/>
    <w:rsid w:val="00D67A18"/>
    <w:rsid w:val="00D700C6"/>
    <w:rsid w:val="00D70BB4"/>
    <w:rsid w:val="00D72ECC"/>
    <w:rsid w:val="00D748D4"/>
    <w:rsid w:val="00D74FB9"/>
    <w:rsid w:val="00D752C4"/>
    <w:rsid w:val="00D75528"/>
    <w:rsid w:val="00D80A4F"/>
    <w:rsid w:val="00D81802"/>
    <w:rsid w:val="00D84A7B"/>
    <w:rsid w:val="00D85690"/>
    <w:rsid w:val="00D86490"/>
    <w:rsid w:val="00D8748B"/>
    <w:rsid w:val="00D90C18"/>
    <w:rsid w:val="00D9192E"/>
    <w:rsid w:val="00D923DA"/>
    <w:rsid w:val="00D960B9"/>
    <w:rsid w:val="00D96C6F"/>
    <w:rsid w:val="00D96EA0"/>
    <w:rsid w:val="00D97429"/>
    <w:rsid w:val="00DB2241"/>
    <w:rsid w:val="00DB2D13"/>
    <w:rsid w:val="00DB35AE"/>
    <w:rsid w:val="00DC1739"/>
    <w:rsid w:val="00DC4D86"/>
    <w:rsid w:val="00DC5A0F"/>
    <w:rsid w:val="00DC6911"/>
    <w:rsid w:val="00DC7354"/>
    <w:rsid w:val="00DD11DE"/>
    <w:rsid w:val="00DD11F4"/>
    <w:rsid w:val="00DD206A"/>
    <w:rsid w:val="00DD4368"/>
    <w:rsid w:val="00DD5301"/>
    <w:rsid w:val="00DD5B0D"/>
    <w:rsid w:val="00DD6CF0"/>
    <w:rsid w:val="00DD6E01"/>
    <w:rsid w:val="00DE0297"/>
    <w:rsid w:val="00DE04FE"/>
    <w:rsid w:val="00DE0952"/>
    <w:rsid w:val="00DE16F6"/>
    <w:rsid w:val="00DE21CD"/>
    <w:rsid w:val="00DE2446"/>
    <w:rsid w:val="00DE2C82"/>
    <w:rsid w:val="00DE3E6A"/>
    <w:rsid w:val="00DE46CD"/>
    <w:rsid w:val="00DE597B"/>
    <w:rsid w:val="00DE5BBF"/>
    <w:rsid w:val="00DF0357"/>
    <w:rsid w:val="00DF2BAB"/>
    <w:rsid w:val="00DF42AF"/>
    <w:rsid w:val="00DF59BF"/>
    <w:rsid w:val="00DF5C51"/>
    <w:rsid w:val="00DF726E"/>
    <w:rsid w:val="00E01A3B"/>
    <w:rsid w:val="00E0247D"/>
    <w:rsid w:val="00E02541"/>
    <w:rsid w:val="00E03212"/>
    <w:rsid w:val="00E06A4E"/>
    <w:rsid w:val="00E07FEC"/>
    <w:rsid w:val="00E100DA"/>
    <w:rsid w:val="00E13DDE"/>
    <w:rsid w:val="00E14D41"/>
    <w:rsid w:val="00E15264"/>
    <w:rsid w:val="00E1547F"/>
    <w:rsid w:val="00E1586E"/>
    <w:rsid w:val="00E21260"/>
    <w:rsid w:val="00E2304C"/>
    <w:rsid w:val="00E2398A"/>
    <w:rsid w:val="00E26304"/>
    <w:rsid w:val="00E2638C"/>
    <w:rsid w:val="00E26C4C"/>
    <w:rsid w:val="00E315EB"/>
    <w:rsid w:val="00E32ACA"/>
    <w:rsid w:val="00E36138"/>
    <w:rsid w:val="00E37E7A"/>
    <w:rsid w:val="00E40E18"/>
    <w:rsid w:val="00E43309"/>
    <w:rsid w:val="00E45B6C"/>
    <w:rsid w:val="00E46BBD"/>
    <w:rsid w:val="00E46F02"/>
    <w:rsid w:val="00E47355"/>
    <w:rsid w:val="00E529B2"/>
    <w:rsid w:val="00E56038"/>
    <w:rsid w:val="00E57FE3"/>
    <w:rsid w:val="00E635DA"/>
    <w:rsid w:val="00E649E2"/>
    <w:rsid w:val="00E64EC7"/>
    <w:rsid w:val="00E66416"/>
    <w:rsid w:val="00E671FB"/>
    <w:rsid w:val="00E7103D"/>
    <w:rsid w:val="00E72348"/>
    <w:rsid w:val="00E732F4"/>
    <w:rsid w:val="00E75CAC"/>
    <w:rsid w:val="00E770DC"/>
    <w:rsid w:val="00E80764"/>
    <w:rsid w:val="00E81FC7"/>
    <w:rsid w:val="00E903A9"/>
    <w:rsid w:val="00E907B0"/>
    <w:rsid w:val="00E9440E"/>
    <w:rsid w:val="00E94EA3"/>
    <w:rsid w:val="00EA0DC9"/>
    <w:rsid w:val="00EA1876"/>
    <w:rsid w:val="00EA4224"/>
    <w:rsid w:val="00EA4AC6"/>
    <w:rsid w:val="00EA60C8"/>
    <w:rsid w:val="00EA7740"/>
    <w:rsid w:val="00EB0EC0"/>
    <w:rsid w:val="00EB2CE4"/>
    <w:rsid w:val="00EB41E0"/>
    <w:rsid w:val="00EB5907"/>
    <w:rsid w:val="00EC01F2"/>
    <w:rsid w:val="00EC1634"/>
    <w:rsid w:val="00EC55E4"/>
    <w:rsid w:val="00EC5CA9"/>
    <w:rsid w:val="00EC6E41"/>
    <w:rsid w:val="00EC7286"/>
    <w:rsid w:val="00EC7BBC"/>
    <w:rsid w:val="00EC7E3D"/>
    <w:rsid w:val="00ED09F2"/>
    <w:rsid w:val="00ED1A25"/>
    <w:rsid w:val="00ED2A47"/>
    <w:rsid w:val="00ED3D8C"/>
    <w:rsid w:val="00ED5175"/>
    <w:rsid w:val="00ED5836"/>
    <w:rsid w:val="00ED7EAB"/>
    <w:rsid w:val="00EE0A48"/>
    <w:rsid w:val="00EE122D"/>
    <w:rsid w:val="00EE1D60"/>
    <w:rsid w:val="00EE2542"/>
    <w:rsid w:val="00EE36DD"/>
    <w:rsid w:val="00EE5DB8"/>
    <w:rsid w:val="00EF0436"/>
    <w:rsid w:val="00EF16F8"/>
    <w:rsid w:val="00EF291D"/>
    <w:rsid w:val="00EF48C8"/>
    <w:rsid w:val="00EF6327"/>
    <w:rsid w:val="00EF7D42"/>
    <w:rsid w:val="00F00CB8"/>
    <w:rsid w:val="00F01488"/>
    <w:rsid w:val="00F01C27"/>
    <w:rsid w:val="00F01FDE"/>
    <w:rsid w:val="00F02B0D"/>
    <w:rsid w:val="00F04A70"/>
    <w:rsid w:val="00F04C0F"/>
    <w:rsid w:val="00F0663C"/>
    <w:rsid w:val="00F06BA7"/>
    <w:rsid w:val="00F13D06"/>
    <w:rsid w:val="00F14B80"/>
    <w:rsid w:val="00F14D9B"/>
    <w:rsid w:val="00F15AA8"/>
    <w:rsid w:val="00F15F68"/>
    <w:rsid w:val="00F16195"/>
    <w:rsid w:val="00F22075"/>
    <w:rsid w:val="00F22F95"/>
    <w:rsid w:val="00F24B07"/>
    <w:rsid w:val="00F24B2D"/>
    <w:rsid w:val="00F24F2B"/>
    <w:rsid w:val="00F25016"/>
    <w:rsid w:val="00F25EBF"/>
    <w:rsid w:val="00F30526"/>
    <w:rsid w:val="00F30B8E"/>
    <w:rsid w:val="00F31949"/>
    <w:rsid w:val="00F340DD"/>
    <w:rsid w:val="00F34F8D"/>
    <w:rsid w:val="00F3764A"/>
    <w:rsid w:val="00F37FA7"/>
    <w:rsid w:val="00F4183B"/>
    <w:rsid w:val="00F420DC"/>
    <w:rsid w:val="00F43C5D"/>
    <w:rsid w:val="00F45F85"/>
    <w:rsid w:val="00F46941"/>
    <w:rsid w:val="00F46A52"/>
    <w:rsid w:val="00F567FB"/>
    <w:rsid w:val="00F60109"/>
    <w:rsid w:val="00F6015F"/>
    <w:rsid w:val="00F6031A"/>
    <w:rsid w:val="00F61C6B"/>
    <w:rsid w:val="00F653C7"/>
    <w:rsid w:val="00F656D9"/>
    <w:rsid w:val="00F65AD0"/>
    <w:rsid w:val="00F66AAC"/>
    <w:rsid w:val="00F72EFC"/>
    <w:rsid w:val="00F73D8E"/>
    <w:rsid w:val="00F800B7"/>
    <w:rsid w:val="00F81292"/>
    <w:rsid w:val="00F8251A"/>
    <w:rsid w:val="00F826EC"/>
    <w:rsid w:val="00F84FD4"/>
    <w:rsid w:val="00F85E5E"/>
    <w:rsid w:val="00F86210"/>
    <w:rsid w:val="00F866F0"/>
    <w:rsid w:val="00F917D2"/>
    <w:rsid w:val="00F93899"/>
    <w:rsid w:val="00F97A54"/>
    <w:rsid w:val="00FA088A"/>
    <w:rsid w:val="00FA1A2D"/>
    <w:rsid w:val="00FA3011"/>
    <w:rsid w:val="00FA3C00"/>
    <w:rsid w:val="00FA5594"/>
    <w:rsid w:val="00FB1F5B"/>
    <w:rsid w:val="00FB2C4C"/>
    <w:rsid w:val="00FB3DB2"/>
    <w:rsid w:val="00FB4A16"/>
    <w:rsid w:val="00FB6A8B"/>
    <w:rsid w:val="00FC2ABE"/>
    <w:rsid w:val="00FC47E3"/>
    <w:rsid w:val="00FC5B93"/>
    <w:rsid w:val="00FC777B"/>
    <w:rsid w:val="00FE2032"/>
    <w:rsid w:val="00FE3711"/>
    <w:rsid w:val="00FE5283"/>
    <w:rsid w:val="00FE6750"/>
    <w:rsid w:val="00FE68EC"/>
    <w:rsid w:val="00FE700E"/>
    <w:rsid w:val="00FF0FF5"/>
    <w:rsid w:val="00FF1FCD"/>
    <w:rsid w:val="00FF244F"/>
    <w:rsid w:val="00FF2487"/>
    <w:rsid w:val="00FF26C0"/>
    <w:rsid w:val="00FF5095"/>
    <w:rsid w:val="00FF5812"/>
    <w:rsid w:val="00FF5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2B9E6B"/>
  <w15:docId w15:val="{277449CD-46F4-4B44-870E-0FB42A796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C4"/>
    <w:pPr>
      <w:widowControl w:val="0"/>
    </w:pPr>
    <w:rPr>
      <w:sz w:val="24"/>
    </w:rPr>
  </w:style>
  <w:style w:type="paragraph" w:styleId="Heading1">
    <w:name w:val="heading 1"/>
    <w:basedOn w:val="Normal"/>
    <w:next w:val="Normal"/>
    <w:link w:val="Heading1Char"/>
    <w:qFormat/>
    <w:rsid w:val="00DC73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FF5BC4"/>
    <w:pPr>
      <w:keepNext/>
      <w:shd w:val="pct15" w:color="auto" w:fill="FFFFFF"/>
      <w:jc w:val="center"/>
      <w:outlineLvl w:val="2"/>
    </w:pPr>
    <w:rPr>
      <w:rFonts w:ascii="Arial" w:hAnsi="Arial"/>
      <w:bCs/>
    </w:rPr>
  </w:style>
  <w:style w:type="paragraph" w:styleId="Heading4">
    <w:name w:val="heading 4"/>
    <w:basedOn w:val="Normal"/>
    <w:next w:val="Normal"/>
    <w:qFormat/>
    <w:rsid w:val="00FF5BC4"/>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F5BC4"/>
    <w:pPr>
      <w:widowControl/>
    </w:pPr>
    <w:rPr>
      <w:rFonts w:ascii="Univers" w:hAnsi="Univers"/>
      <w:sz w:val="22"/>
    </w:rPr>
  </w:style>
  <w:style w:type="paragraph" w:styleId="BodyText2">
    <w:name w:val="Body Text 2"/>
    <w:basedOn w:val="Normal"/>
    <w:rsid w:val="00FF5BC4"/>
    <w:pPr>
      <w:widowControl/>
    </w:pPr>
    <w:rPr>
      <w:rFonts w:ascii="Arial" w:hAnsi="Arial"/>
      <w:sz w:val="20"/>
    </w:rPr>
  </w:style>
  <w:style w:type="paragraph" w:styleId="BodyText3">
    <w:name w:val="Body Text 3"/>
    <w:basedOn w:val="Normal"/>
    <w:rsid w:val="00FF5BC4"/>
    <w:pPr>
      <w:jc w:val="both"/>
    </w:pPr>
    <w:rPr>
      <w:szCs w:val="24"/>
    </w:rPr>
  </w:style>
  <w:style w:type="paragraph" w:styleId="Header">
    <w:name w:val="header"/>
    <w:basedOn w:val="Normal"/>
    <w:rsid w:val="00FF5BC4"/>
    <w:pPr>
      <w:tabs>
        <w:tab w:val="center" w:pos="4320"/>
        <w:tab w:val="right" w:pos="8640"/>
      </w:tabs>
    </w:pPr>
  </w:style>
  <w:style w:type="paragraph" w:styleId="Footer">
    <w:name w:val="footer"/>
    <w:basedOn w:val="Normal"/>
    <w:link w:val="FooterChar"/>
    <w:uiPriority w:val="99"/>
    <w:rsid w:val="00FF5BC4"/>
    <w:pPr>
      <w:tabs>
        <w:tab w:val="center" w:pos="4320"/>
        <w:tab w:val="right" w:pos="8640"/>
      </w:tabs>
    </w:pPr>
  </w:style>
  <w:style w:type="table" w:styleId="TableGrid">
    <w:name w:val="Table Grid"/>
    <w:basedOn w:val="TableNormal"/>
    <w:rsid w:val="008018C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C7354"/>
    <w:rPr>
      <w:rFonts w:asciiTheme="majorHAnsi" w:eastAsiaTheme="majorEastAsia" w:hAnsiTheme="majorHAnsi" w:cstheme="majorBidi"/>
      <w:b/>
      <w:bCs/>
      <w:color w:val="365F91" w:themeColor="accent1" w:themeShade="BF"/>
      <w:sz w:val="28"/>
      <w:szCs w:val="28"/>
    </w:rPr>
  </w:style>
  <w:style w:type="character" w:customStyle="1" w:styleId="FooterChar">
    <w:name w:val="Footer Char"/>
    <w:basedOn w:val="DefaultParagraphFont"/>
    <w:link w:val="Footer"/>
    <w:uiPriority w:val="99"/>
    <w:rsid w:val="00A210CD"/>
    <w:rPr>
      <w:sz w:val="24"/>
    </w:rPr>
  </w:style>
  <w:style w:type="paragraph" w:styleId="FootnoteText">
    <w:name w:val="footnote text"/>
    <w:basedOn w:val="Normal"/>
    <w:link w:val="FootnoteTextChar"/>
    <w:rsid w:val="001F3524"/>
    <w:rPr>
      <w:sz w:val="20"/>
    </w:rPr>
  </w:style>
  <w:style w:type="character" w:customStyle="1" w:styleId="FootnoteTextChar">
    <w:name w:val="Footnote Text Char"/>
    <w:basedOn w:val="DefaultParagraphFont"/>
    <w:link w:val="FootnoteText"/>
    <w:rsid w:val="001F3524"/>
  </w:style>
  <w:style w:type="character" w:styleId="FootnoteReference">
    <w:name w:val="footnote reference"/>
    <w:basedOn w:val="DefaultParagraphFont"/>
    <w:rsid w:val="001F3524"/>
    <w:rPr>
      <w:vertAlign w:val="superscript"/>
    </w:rPr>
  </w:style>
  <w:style w:type="character" w:styleId="Hyperlink">
    <w:name w:val="Hyperlink"/>
    <w:basedOn w:val="DefaultParagraphFont"/>
    <w:uiPriority w:val="99"/>
    <w:unhideWhenUsed/>
    <w:rsid w:val="00224341"/>
    <w:rPr>
      <w:color w:val="0000FF" w:themeColor="hyperlink"/>
      <w:u w:val="single"/>
    </w:rPr>
  </w:style>
  <w:style w:type="character" w:customStyle="1" w:styleId="roarvalidationrule">
    <w:name w:val="roar_validationrule"/>
    <w:basedOn w:val="DefaultParagraphFont"/>
    <w:rsid w:val="009064CB"/>
  </w:style>
  <w:style w:type="paragraph" w:styleId="ListParagraph">
    <w:name w:val="List Paragraph"/>
    <w:aliases w:val="List Paragraph (numbered (a)),WB Para,List Paragraph1"/>
    <w:basedOn w:val="Normal"/>
    <w:link w:val="ListParagraphChar"/>
    <w:uiPriority w:val="34"/>
    <w:qFormat/>
    <w:rsid w:val="00007DFC"/>
    <w:pPr>
      <w:ind w:left="720"/>
      <w:contextualSpacing/>
    </w:pPr>
  </w:style>
  <w:style w:type="character" w:customStyle="1" w:styleId="ListParagraphChar">
    <w:name w:val="List Paragraph Char"/>
    <w:aliases w:val="List Paragraph (numbered (a)) Char,WB Para Char,List Paragraph1 Char"/>
    <w:basedOn w:val="DefaultParagraphFont"/>
    <w:link w:val="ListParagraph"/>
    <w:uiPriority w:val="34"/>
    <w:locked/>
    <w:rsid w:val="009D154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mehnat.uz/ru/law_zak_o_zanyatosti" TargetMode="External"/><Relationship Id="rId2" Type="http://schemas.openxmlformats.org/officeDocument/2006/relationships/hyperlink" Target="http://www.doingbusiness.org/reports/global-reports/doing-business-2014" TargetMode="External"/><Relationship Id="rId1" Type="http://schemas.openxmlformats.org/officeDocument/2006/relationships/hyperlink" Target="http://www.lex.uz/ru/law_collection/12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OPP Deliverable" ma:contentTypeID="0x01010023A92725C93E4830A7421C44D384B7FC00AA2C51EDC20547BE9D8059E930612AF900BB1DAF2B020D674E95D024E21C9B8446" ma:contentTypeVersion="271" ma:contentTypeDescription="Create a new POPP Deliverable document" ma:contentTypeScope="" ma:versionID="8f51a9bb55ccdb67ad49e9de7ce83471">
  <xsd:schema xmlns:xsd="http://www.w3.org/2001/XMLSchema" xmlns:xs="http://www.w3.org/2001/XMLSchema" xmlns:p="http://schemas.microsoft.com/office/2006/metadata/properties" xmlns:ns2="83ed2304-0f0e-45ba-b0cc-7d360cbc1769" targetNamespace="http://schemas.microsoft.com/office/2006/metadata/properties" ma:root="true" ma:fieldsID="d37ea4175c3e3aa15f908f44740efddf" ns2:_="">
    <xsd:import namespace="83ed2304-0f0e-45ba-b0cc-7d360cbc1769"/>
    <xsd:element name="properties">
      <xsd:complexType>
        <xsd:sequence>
          <xsd:element name="documentManagement">
            <xsd:complexType>
              <xsd:all>
                <xsd:element ref="ns2:UNDPPOPPPrescriptiveContentSelection"/>
                <xsd:element ref="ns2:UNDPPOPPFunctionalArea" minOccurs="0"/>
                <xsd:element ref="ns2:UNDPPOPPProcess" minOccurs="0"/>
                <xsd:element ref="ns2:UNDPPOPPSubprocess" minOccurs="0"/>
                <xsd:element ref="ns2:UNDPPOPPSubsubprocess" minOccurs="0"/>
                <xsd:element ref="ns2:UNDPPOPPSubsubsubprocess" minOccurs="0"/>
                <xsd:element ref="ns2:UNDPPOPPKeywordsTaxHTField0" minOccurs="0"/>
                <xsd:element ref="ns2:UNDPFocalpoint"/>
                <xsd:element ref="ns2:UNDPPublishedDate"/>
                <xsd:element ref="ns2:UNDPEffectiveDate"/>
                <xsd:element ref="ns2:UNDPResponsibleUnit"/>
                <xsd:element ref="ns2:UNDPCreator"/>
                <xsd:element ref="ns2:UNDPIssuanceDate"/>
                <xsd:element ref="ns2:UNDPPlannedReviewDate"/>
                <xsd:element ref="ns2:UNDPActualReviewDate" minOccurs="0"/>
                <xsd:element ref="ns2:UNDPSummary" minOccurs="0"/>
                <xsd:element ref="ns2:UNDPApplicabilit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d2304-0f0e-45ba-b0cc-7d360cbc1769" elementFormDefault="qualified">
    <xsd:import namespace="http://schemas.microsoft.com/office/2006/documentManagement/types"/>
    <xsd:import namespace="http://schemas.microsoft.com/office/infopath/2007/PartnerControls"/>
    <xsd:element name="UNDPPOPPPrescriptiveContentSelection" ma:index="8" ma:displayName="POPP Prescriptive Content Selection" ma:format="RadioButtons" ma:internalName="UNDPPOPPPrescriptiveContentSelection" ma:readOnly="false">
      <xsd:simpleType>
        <xsd:restriction base="dms:Choice">
          <xsd:enumeration value="Yes"/>
          <xsd:enumeration value="No"/>
        </xsd:restriction>
      </xsd:simpleType>
    </xsd:element>
    <xsd:element name="UNDPPOPPFunctionalArea" ma:index="9"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UNDPPOPPProcess" ma:index="10" nillable="true" ma:displayName="POPP Process" ma:format="Dropdown" ma:internalName="UNDPPOPPProcess">
      <xsd:simpleType>
        <xsd:restriction base="dms:Choice">
          <xsd:enumeration value="Accountability &amp; Delegation of Authority"/>
          <xsd:enumeration value="Accounting for Capital and Non-Capital Assets"/>
          <xsd:enumeration value="Annual and special leave"/>
          <xsd:enumeration value="Appointment and promotion"/>
          <xsd:enumeration value="Asset Management"/>
          <xsd:enumeration value="Award of Contract"/>
          <xsd:enumeration value="Cash Banking and Investment"/>
          <xsd:enumeration value="Civil society"/>
          <xsd:enumeration value="Classification of posts and staff"/>
          <xsd:enumeration value="Contract Management"/>
          <xsd:enumeration value="Contract Review Committees"/>
          <xsd:enumeration value="Disciplinary measures and appeals"/>
          <xsd:enumeration value="Duties, obligations and privileges"/>
          <xsd:enumeration value="Enterprise Risk Management"/>
          <xsd:enumeration value="Enterprise Solutions"/>
          <xsd:enumeration value="Evaluation"/>
          <xsd:enumeration value="Evaluation of Offers"/>
          <xsd:enumeration value="Fast Track Procedures"/>
          <xsd:enumeration value="Financial Closure of Development Projects and Trust Funds"/>
          <xsd:enumeration value="Financial Disclosure"/>
          <xsd:enumeration value="Financial Management and Execution Modalities"/>
          <xsd:enumeration value="Financial Operations Management"/>
          <xsd:enumeration value="Foundations"/>
          <xsd:enumeration value="Global Services"/>
          <xsd:enumeration value="ICT Oversight"/>
          <xsd:enumeration value="ICT Security"/>
          <xsd:enumeration value="Information Disclosure"/>
          <xsd:enumeration value="Internal Control Framework"/>
          <xsd:enumeration value="Legal Framework"/>
          <xsd:enumeration value="Lease Management"/>
          <xsd:enumeration value="Management of IC"/>
          <xsd:enumeration value="Management of local presences"/>
          <xsd:enumeration value="Non-staff (consultants, service contracts, UNVs and interns)"/>
          <xsd:enumeration value="OIST Operations"/>
          <xsd:enumeration value="Prescriptive Content Management Overview"/>
          <xsd:enumeration value="Private sector"/>
          <xsd:enumeration value="Procurement Methods"/>
          <xsd:enumeration value="Procurement Overview"/>
          <xsd:enumeration value="Procurement Review Committee"/>
          <xsd:enumeration value="Procurement Strategies and Planning"/>
          <xsd:enumeration value="Programme &amp; Project Management Arrangements"/>
          <xsd:enumeration value="Programme Management"/>
          <xsd:enumeration value="Project Management"/>
          <xsd:enumeration value="Purchasing Card, Insurance, Vehicle and Assets Management"/>
          <xsd:enumeration value="Purchasing Card, Insurance and Vehicle Management"/>
          <xsd:enumeration value="Protection against retaliation"/>
          <xsd:enumeration value="Quality Assurance Procedure"/>
          <xsd:enumeration value="Receivables and Expenditures"/>
          <xsd:enumeration value="Revenue and Expense Management"/>
          <xsd:enumeration value="Requisitions"/>
          <xsd:enumeration value="Resource Center"/>
          <xsd:enumeration value="Resource Planning and Budgeting"/>
          <xsd:enumeration value="Resources and Funding Mechanism"/>
          <xsd:enumeration value="Salaries and related allowances"/>
          <xsd:enumeration value="Security Risk Management"/>
          <xsd:enumeration value="Separation from service"/>
          <xsd:enumeration value="Social security"/>
          <xsd:enumeration value="Solicitation Process"/>
          <xsd:enumeration value="Sourcing of Suppliers"/>
          <xsd:enumeration value="Specific policies for Global &amp; Regional Programming"/>
          <xsd:enumeration value="Travel and removal expenses"/>
          <xsd:enumeration value="Travel Support Services"/>
          <xsd:enumeration value="UNDP Framework for Accountability"/>
          <xsd:enumeration value="UNDP Security Policy"/>
          <xsd:enumeration value="Unit work planning monitoring and reporting"/>
          <xsd:enumeration value="Workforce management"/>
          <xsd:enumeration value="Working with External Auditors"/>
        </xsd:restriction>
      </xsd:simpleType>
    </xsd:element>
    <xsd:element name="UNDPPOPPSubprocess" ma:index="11" nillable="true" ma:displayName="POPP Subprocess" ma:format="Dropdown" ma:indexed="true" ma:internalName="UNDPPOPPSubprocess">
      <xsd:simpleType>
        <xsd:restriction base="dms:Choice">
          <xsd:enumeration value="Accompanied and Excess Baggage"/>
          <xsd:enumeration value="Accountability &amp; Delegation of Authority"/>
          <xsd:enumeration value="Activating Fast Track Procedures"/>
          <xsd:enumeration value="Additional information"/>
          <xsd:enumeration value="Advisory Committee on Procurement"/>
          <xsd:enumeration value="Agency Execution Finances"/>
          <xsd:enumeration value="Allowances and Benefits"/>
          <xsd:enumeration value="Analysis for a Programme"/>
          <xsd:enumeration value="Assessing partnerships with civil society"/>
          <xsd:enumeration value="Assessing partnerships with foundations"/>
          <xsd:enumeration value="Assessing partnerships with the private sector"/>
          <xsd:enumeration value="Asset Acquisition"/>
          <xsd:enumeration value="Asset Disposal"/>
          <xsd:enumeration value="Asset Loss or Theft"/>
          <xsd:enumeration value="Atlas User Access Standards"/>
          <xsd:enumeration value="Authoring Content"/>
          <xsd:enumeration value="Banking Arrangements"/>
          <xsd:enumeration value="Breach or Termination of Contract"/>
          <xsd:enumeration value="Cash Arrangements"/>
          <xsd:enumeration value="Cash Management"/>
          <xsd:enumeration value="Change Control and Release Management Standards"/>
          <xsd:enumeration value="Change Management Clearance"/>
          <xsd:enumeration value="Civil Society Organizations"/>
          <xsd:enumeration value="Classification and Duration"/>
          <xsd:enumeration value="Closing a presence outside the country office"/>
          <xsd:enumeration value="Closing a Project"/>
          <xsd:enumeration value="Commercial Aviation Risk Management Guidelines"/>
          <xsd:enumeration value="Common Actions"/>
          <xsd:enumeration value="Compensation"/>
          <xsd:enumeration value="Contract and Procurement Management Provisions"/>
          <xsd:enumeration value="Contracts, Asset and Procurement Committee"/>
          <xsd:enumeration value="Corporate Operations and Information Management"/>
          <xsd:enumeration value="Cost Recovery from Agencies at the Country Office Level"/>
          <xsd:enumeration value="Cost Recovery from Programmes Funded from Regular and Other Resources"/>
          <xsd:enumeration value="Country Office &amp; Regional ICT Security Standards"/>
          <xsd:enumeration value="CPR-TTF Project co-financing"/>
          <xsd:enumeration value="Defining a Project"/>
          <xsd:enumeration value="Definitions and Objectives"/>
          <xsd:enumeration value="Definitions, Objectives and Benefits"/>
          <xsd:enumeration value="Development Support Services"/>
          <xsd:enumeration value="Direct Contracting"/>
          <xsd:enumeration value="Direct Execution (DEX) and Direct Implementation (DIM) Finances"/>
          <xsd:enumeration value="Direct Implementation (DIM) modality"/>
          <xsd:enumeration value="Disciplinary Measures &amp; Procedures"/>
          <xsd:enumeration value="Disclosures"/>
          <xsd:enumeration value="Duty Travel"/>
          <xsd:enumeration value="Educational Assistance Programme"/>
          <xsd:enumeration value="Electronic Funds Transfer Standards"/>
          <xsd:enumeration value="Enterprise Risk Management Cycle"/>
          <xsd:enumeration value="Entitlement Travel"/>
          <xsd:enumeration value="Entitlements Upon Separation"/>
          <xsd:enumeration value="Environmental Considerations"/>
          <xsd:enumeration value="Establishing UNDP-supported presence outside a country office"/>
          <xsd:enumeration value="European Commission"/>
          <xsd:enumeration value="Evaluating a Programme"/>
          <xsd:enumeration value="Evaluation and Comparison of Offers"/>
          <xsd:enumeration value="Exigency and Exceptions"/>
          <xsd:enumeration value="Expense Management"/>
          <xsd:enumeration value="Feedback and Revise Content"/>
          <xsd:enumeration value="Feedback and Revision"/>
          <xsd:enumeration value="Financial Closure of Development Projects"/>
          <xsd:enumeration value="Financial Closure of Trust Funds"/>
          <xsd:enumeration value="Financial Disclosure Policy"/>
          <xsd:enumeration value="Financial Management Provisions"/>
          <xsd:enumeration value="Formalizing partnerships with civil society"/>
          <xsd:enumeration value="Formalizing partnerships with foundations"/>
          <xsd:enumeration value="Formalizing partnerships with the private sector"/>
          <xsd:enumeration value="Foundations"/>
          <xsd:enumeration value="General Considerations of Contracting"/>
          <xsd:enumeration value="Global &amp; Regional Programming"/>
          <xsd:enumeration value="Global and Regional Products and Publications"/>
          <xsd:enumeration value="Governments"/>
          <xsd:enumeration value="Handling of Procurement Complaints"/>
          <xsd:enumeration value="Harassment &amp; Abuse of Authority"/>
          <xsd:enumeration value="Headquarters Telecommunications Standards"/>
          <xsd:enumeration value="Hiring"/>
          <xsd:enumeration value="Hours of Work / Holidays"/>
          <xsd:enumeration value="HQ (ACP), Regional (RACP) and Local Review Committees (CAP)"/>
          <xsd:enumeration value="Human Resources Management Provisions"/>
          <xsd:enumeration value="ICT Disaster Recovery Plan Template"/>
          <xsd:enumeration value="ICT Disaster Recovery Standards for UNDP Offices"/>
          <xsd:enumeration value="ICT Resources Use Policy"/>
          <xsd:enumeration value="ICT Road map"/>
          <xsd:enumeration value="ICT Security and Awareness Standards"/>
          <xsd:enumeration value="Implementing a Programme"/>
          <xsd:enumeration value="Implementing a Project"/>
          <xsd:enumeration value="Increased Delegation of Procurement Authority"/>
          <xsd:enumeration value="Individual Contracts (IC)"/>
          <xsd:enumeration value="Information management"/>
          <xsd:enumeration value="Information Security Policy"/>
          <xsd:enumeration value="Information Systems Security Standards"/>
          <xsd:enumeration value="Initiating a Programme"/>
          <xsd:enumeration value="Initiating a Project"/>
          <xsd:enumeration value="Insurance Management"/>
          <xsd:enumeration value="Insurance Plans"/>
          <xsd:enumeration value="Inter-Agency Movements"/>
          <xsd:enumeration value="International Financial Institutions &amp; Inter Governmental Organizations"/>
          <xsd:enumeration value="Introduction"/>
          <xsd:enumeration value="Job Evaluation"/>
          <xsd:enumeration value="Joint Programming"/>
          <xsd:enumeration value="Justifying a Project"/>
          <xsd:enumeration value="Learning and Development"/>
          <xsd:enumeration value="Leasehold Improvements"/>
          <xsd:enumeration value="Legal Framework"/>
          <xsd:enumeration value="Legal Status of IC"/>
          <xsd:enumeration value="LTAs"/>
          <xsd:enumeration value="Making Information Available to the Public"/>
          <xsd:enumeration value="Management of Leases (Premises and Equipment)"/>
          <xsd:enumeration value="Management of Obligations (Expenditure)"/>
          <xsd:enumeration value="Management of Plant and Property"/>
          <xsd:enumeration value="Managing Service Provision to Other UN Agencies"/>
          <xsd:enumeration value="Market Research"/>
          <xsd:enumeration value="Methods of Soliciting Offers"/>
          <xsd:enumeration value="Minimum Standards for ICT Infrastructure and Telecommunications"/>
          <xsd:enumeration value="Miscellaneous"/>
          <xsd:enumeration value="Monitoring"/>
          <xsd:enumeration value="Monitoring partnerships with civil society"/>
          <xsd:enumeration value="Monitoring partnerships with foundations"/>
          <xsd:enumeration value="Monitoring partnerships with the private sector"/>
          <xsd:enumeration value="Monitoring the unit work plan"/>
          <xsd:enumeration value="National Execution (NEX) Finances and NGO Execution Finances"/>
          <xsd:enumeration value="Non-core Development Advisory Services (DAS) Funding Facility"/>
          <xsd:enumeration value="Operational Guide of the Internal Control Framework"/>
          <xsd:enumeration value="Other Resources"/>
          <xsd:enumeration value="Overview of IC Guidelines"/>
          <xsd:enumeration value="Partnership Management Provisions"/>
          <xsd:enumeration value="Payment and Taxes"/>
          <xsd:enumeration value="Payment of IC"/>
          <xsd:enumeration value="Payment of SSA"/>
          <xsd:enumeration value="Pension Fund"/>
          <xsd:enumeration value="Performance Management"/>
          <xsd:enumeration value="Periodic Revision and Update"/>
          <xsd:enumeration value="Policy for Protection against Retaliation"/>
          <xsd:enumeration value="Post Audit Follow-up and Implementation Status Update"/>
          <xsd:enumeration value="Pre-Audit Announcement and Preparation"/>
          <xsd:enumeration value="Principles of UNDP Procurement"/>
          <xsd:enumeration value="Private Sector"/>
          <xsd:enumeration value="Procurement Authority"/>
          <xsd:enumeration value="Procurement Ethics"/>
          <xsd:enumeration value="Procurement Fraud and Corrupt Practices"/>
          <xsd:enumeration value="Procurement of Goods, Civil Works &amp; Sevices"/>
          <xsd:enumeration value="Procurement Review Committees and Cooperative Procurement"/>
          <xsd:enumeration value="Programme &amp; Project Management Cycles"/>
          <xsd:enumeration value="Programme &amp; Project Management Organization Structure"/>
          <xsd:enumeration value="Programme and Project Management Provisions"/>
          <xsd:enumeration value="Programme Capacity Assessment &amp; Mgmt Arrangements"/>
          <xsd:enumeration value="Programme Completion and Transition"/>
          <xsd:enumeration value="Programme Strategic Planning"/>
          <xsd:enumeration value="Programming in Special Development Situations"/>
          <xsd:enumeration value="Project Assets Management"/>
          <xsd:enumeration value="Property Plant and Equipment (PP&amp;E)"/>
          <xsd:enumeration value="Property Plant and Equipment (PP&amp;E)"/>
          <xsd:enumeration value="Purchasing Card Management"/>
          <xsd:enumeration value="QA Review and Publishing"/>
          <xsd:enumeration value="Quality Assurance for National and Regional Human Development Reports"/>
          <xsd:enumeration value="Receivables, Receipts and Income"/>
          <xsd:enumeration value="Recovery, Retroactivity, Deductions &amp; Contributions"/>
          <xsd:enumeration value="Refunds to Donors"/>
          <xsd:enumeration value="Regular Resources"/>
          <xsd:enumeration value="Rehabilitation"/>
          <xsd:enumeration value="Reporting on the unit work plan (ROAR)"/>
          <xsd:enumeration value="Resource Center"/>
          <xsd:enumeration value="Resources for Special Development Situations"/>
          <xsd:enumeration value="Retroactive / Post Facto Contract"/>
          <xsd:enumeration value="Revenue Management"/>
          <xsd:enumeration value="Roadmap Roadmap and Analysis of a Programme"/>
          <xsd:enumeration value="Salaries"/>
          <xsd:enumeration value="Sanctions"/>
          <xsd:enumeration value="Selecting an Implementing Partner"/>
          <xsd:enumeration value="Selection and Engagement of an SSA"/>
          <xsd:enumeration value="Selection and Engagement of IC"/>
          <xsd:enumeration value="Selection and Engagement of IC (II)"/>
          <xsd:enumeration value="Service Contracts (SC)"/>
          <xsd:enumeration value="Shipment of Official Consignments/Goods"/>
          <xsd:enumeration value="Shipping and Insurance"/>
          <xsd:enumeration value="Solicitation Documents"/>
          <xsd:enumeration value="Sourcing and Market Research"/>
          <xsd:enumeration value="Staff and Their Recognized Dependants on Official Travel"/>
          <xsd:enumeration value="Standards of Conduct"/>
          <xsd:enumeration value="Statutory and Financial Reporting"/>
          <xsd:enumeration value="Submission and Receipt Offers"/>
          <xsd:enumeration value="Submissions, Direct Review and Post Facto"/>
          <xsd:enumeration value="Sustainable Procurement"/>
          <xsd:enumeration value="System Logon Banner Standards"/>
          <xsd:enumeration value="Termination of IC"/>
          <xsd:enumeration value="Termination of SSA"/>
          <xsd:enumeration value="Thresholds and Composition"/>
          <xsd:enumeration value="Track 1-1-3 Category I, III and IV"/>
          <xsd:enumeration value="Track 1-1-3 Category II"/>
          <xsd:enumeration value="Track 1-1-3 Category V"/>
          <xsd:enumeration value="Transfers where unexpended balances are not refunded to donors"/>
          <xsd:enumeration value="Types of Competition"/>
          <xsd:enumeration value="Types of Leave"/>
          <xsd:enumeration value="Types of Separation"/>
          <xsd:enumeration value="Types, Configurations and setting up an LTA"/>
          <xsd:enumeration value="UN Flag Code"/>
          <xsd:enumeration value="Unaccompanied Shipment Personal Effects"/>
          <xsd:enumeration value="UNDP Housing"/>
          <xsd:enumeration value="UNDP Intangible Assets"/>
          <xsd:enumeration value="UNDP Intangible Assets"/>
          <xsd:enumeration value="UNDP Non Expendable (Fixed) Asset Management"/>
          <xsd:enumeration value="UNDP Offices/Premises"/>
          <xsd:enumeration value="UNDP Vehicles"/>
          <xsd:enumeration value="Unit work planning"/>
          <xsd:enumeration value="UNODC Finances Management"/>
          <xsd:enumeration value="US Government Letters of Credit Guidelines and Procedures for Funding UNDP Projects"/>
          <xsd:enumeration value="Vehicle Maintenance"/>
          <xsd:enumeration value="Vehicle Management"/>
          <xsd:enumeration value="Vehicle Use"/>
          <xsd:enumeration value="Vendor Sanction Procedures"/>
          <xsd:enumeration value="Work Life"/>
          <xsd:enumeration value="Working with External Auditors During Audit"/>
          <xsd:enumeration value="Workplace Harassment &amp; Abuse of Authority"/>
        </xsd:restriction>
      </xsd:simpleType>
    </xsd:element>
    <xsd:element name="UNDPPOPPSubsubprocess" ma:index="12" nillable="true" ma:displayName="POPP Sub-subprocess" ma:format="Dropdown" ma:internalName="UNDPPOPPSubsubprocess">
      <xsd:simpleType>
        <xsd:restriction base="dms:Choice">
          <xsd:enumeration value="Abandonment of Post"/>
          <xsd:enumeration value="Absence Management Guidelines"/>
          <xsd:enumeration value="Accompanied and Excess Baggage"/>
          <xsd:enumeration value="Accountability and Internal Controls"/>
          <xsd:enumeration value="Accounts Payable"/>
          <xsd:enumeration value="Acquisition of Project Assets"/>
          <xsd:enumeration value="Adoption Leave"/>
          <xsd:enumeration value="After Service Health Insurance: ASHI MIP"/>
          <xsd:enumeration value="After Service Health Insurance: ASHI UN"/>
          <xsd:enumeration value="Agency Execution"/>
          <xsd:enumeration value="Annual Leave"/>
          <xsd:enumeration value="Application of Income"/>
          <xsd:enumeration value="Asset Acquisition and Oversight"/>
          <xsd:enumeration value="Asset Disposal"/>
          <xsd:enumeration value="Asset Disposal and Write-Off"/>
          <xsd:enumeration value="Asset Disposal and Write-Off"/>
          <xsd:enumeration value="Asset Loss or Theft"/>
          <xsd:enumeration value="Atlas Financial Closure Instructions"/>
          <xsd:enumeration value="Atlas Set Up and Fee Collection"/>
          <xsd:enumeration value="Audit of NEX/NGO Projects"/>
          <xsd:enumeration value="Authorizing Official Business Travel"/>
          <xsd:enumeration value="Bank Account Reconciliation"/>
          <xsd:enumeration value="Billing and Fee Collection"/>
          <xsd:enumeration value="Cash Operations"/>
          <xsd:enumeration value="Cash Planning/Forecasting of Cash Flows"/>
          <xsd:enumeration value="Certification of Service"/>
          <xsd:enumeration value="Certified Donor Reports"/>
          <xsd:enumeration value="Chartered Medical Evacuation Travel"/>
          <xsd:enumeration value="Clean-up of Accounts Payable"/>
          <xsd:enumeration value="Clean-up of Purchase Orders (POs)"/>
          <xsd:enumeration value="Clearing a local presence"/>
          <xsd:enumeration value="Combined Delivery Report"/>
          <xsd:enumeration value="Commutation of Annual Leave"/>
          <xsd:enumeration value="Compensation for Death, Injury or Illness - Appendix D"/>
          <xsd:enumeration value="Cost-Sharing"/>
          <xsd:enumeration value="Country Office Service Provision"/>
          <xsd:enumeration value="Creating and Approving Vendors"/>
          <xsd:enumeration value="Currency of Payments"/>
          <xsd:enumeration value="Daily Subsistence Allowance (DSA)"/>
          <xsd:enumeration value="Danger Pay"/>
          <xsd:enumeration value="Death"/>
          <xsd:enumeration value="Death Benefit"/>
          <xsd:enumeration value="Deductions &amp; Contributions"/>
          <xsd:enumeration value="Dental Insurance: UN NY Cigna Dental Plan"/>
          <xsd:enumeration value="Dependency Allowance"/>
          <xsd:enumeration value="Designation and Responsibilites of Signatories"/>
          <xsd:enumeration value="Developing a business case for local presence"/>
          <xsd:enumeration value="Direct Agency Implementation"/>
          <xsd:enumeration value="Direct Cash Transfers and Reimbursements"/>
          <xsd:enumeration value="Direct Payments"/>
          <xsd:enumeration value="Disbursing Funds (Making Payments)"/>
          <xsd:enumeration value="Educational Assistance Programme"/>
          <xsd:enumeration value="Elements of Remuneration"/>
          <xsd:enumeration value="Entitlements upon separation – Introduction"/>
          <xsd:enumeration value="Equipment - Depreciation, Reconciliations Reports and Centralized Functions"/>
          <xsd:enumeration value="Equipment - Depreciation, Reconciliations Reports and Centralized Functions"/>
          <xsd:enumeration value="Establishment and Use of Electronic Banking Systems"/>
          <xsd:enumeration value="Euro Reporting Guidelines"/>
          <xsd:enumeration value="Executive Board Papers"/>
          <xsd:enumeration value="Expenditure of Income Accrued from Cost Recovery"/>
          <xsd:enumeration value="Expense Management of UNODC Funded Activities"/>
          <xsd:enumeration value="Expiration of Fixed-Term Appointment"/>
          <xsd:enumeration value="Extended Monthly Evacuation Allowance (EMEA)"/>
          <xsd:enumeration value="Extension Beyond Retirement Age"/>
          <xsd:enumeration value="Family Leave"/>
          <xsd:enumeration value="Family Visit"/>
          <xsd:enumeration value="Financial Statements"/>
          <xsd:enumeration value="Flexible Working Arrangements"/>
          <xsd:enumeration value="Furniture and Equipment Acquisition and Maintenance"/>
          <xsd:enumeration value="Furniture and Equipment Acquisition and Maintenance"/>
          <xsd:enumeration value="Guidelines for Cash Arrangements"/>
          <xsd:enumeration value="Handling of Cash and Receipts"/>
          <xsd:enumeration value="Hazard Pay"/>
          <xsd:enumeration value="Home Leave"/>
          <xsd:enumeration value="Hospitality Expenditures"/>
          <xsd:enumeration value="Hospitality Expense"/>
          <xsd:enumeration value="Intangible Asset Disposal and Write-Off"/>
          <xsd:enumeration value="Intangible Asset Disposal and Write-Off"/>
          <xsd:enumeration value="Intangible Assets Acquisition, Development and Maintenance"/>
          <xsd:enumeration value="Intangible Assets Acquisition, Development and Maintenance"/>
          <xsd:enumeration value="Intangible Assets Amortizations, Reconciliations, Reports and Centralized Functions"/>
          <xsd:enumeration value="Intangible Assets Amortizations, Reconciliations, Reports and Centralized Functions"/>
          <xsd:enumeration value="Introduction"/>
          <xsd:enumeration value="Issuing Letters of Credit"/>
          <xsd:enumeration value="Language Allowance"/>
          <xsd:enumeration value="Last Day for Pay Purposes"/>
          <xsd:enumeration value="Leasehold Improvement Disposal and Write-Off"/>
          <xsd:enumeration value="Leasehold Improvement Disposal and Write-Off"/>
          <xsd:enumeration value="Leasehold Improvements - Acquisition and Maintenance"/>
          <xsd:enumeration value="Leasehold Improvements - Acquisition and Maintenance"/>
          <xsd:enumeration value="Leasehold Improvements - Depreciation, Reconciliations Reports and Centralized Functions"/>
          <xsd:enumeration value="Leasehold Improvements - Depreciation, Reconciliations Reports and Centralized Functions"/>
          <xsd:enumeration value="Leasehold Improvements within Common Premises"/>
          <xsd:enumeration value="Leasehold Improvements within Common Premises"/>
          <xsd:enumeration value="Life &amp; Accidental Insurance: Aetna Group Life Insurance Plan"/>
          <xsd:enumeration value="Maintenance and Usage of the Chart of Accounts"/>
          <xsd:enumeration value="Malicious Acts Insurance Policy (MAIP)"/>
          <xsd:enumeration value="Management of Cash in Crisis or Emergency Situations"/>
          <xsd:enumeration value="Management of Local Investments"/>
          <xsd:enumeration value="Management of Petty Cash"/>
          <xsd:enumeration value="Management of Receivables"/>
          <xsd:enumeration value="Management of UNODC Funded NEX Projects"/>
          <xsd:enumeration value="Management of Zero-Balance Account System"/>
          <xsd:enumeration value="Management Service Agreement"/>
          <xsd:enumeration value="Maternity Leave"/>
          <xsd:enumeration value="Medical Evacuation Travel"/>
          <xsd:enumeration value="Medical Insurance: ALD Vanbreda Global Medical Insurance Plan"/>
          <xsd:enumeration value="Medical Insurance: Medical Insurance Plan (MIP)"/>
          <xsd:enumeration value="Medical Insurance: UN NY Aetna Medical Insurance"/>
          <xsd:enumeration value="Medical Insurance: UN NY Empire Blue Cross PPO Medical Insurance"/>
          <xsd:enumeration value="Medical Insurance: UN NY HIP Health Plan"/>
          <xsd:enumeration value="Medical Insurance: UN Vanbreda Worldwide Medical Insurance Plan"/>
          <xsd:enumeration value="Mobility and Hardship"/>
          <xsd:enumeration value="Night Differential"/>
          <xsd:enumeration value="Non-Governmental Organizations (NGO) Implementation/Execution"/>
          <xsd:enumeration value="Opening and Closing of Bank Accounts"/>
          <xsd:enumeration value="Operational Procedures for Acquisition, Renewal and Termination of Premises"/>
          <xsd:enumeration value="Operational Procedures for Acquisition, Renewal and Termination of Premises Leases"/>
          <xsd:enumeration value="Operational Procedures for Equipment Leases"/>
          <xsd:enumeration value="Operational Procedures for Equipment Leases"/>
          <xsd:enumeration value="Other Official Business Travel Allowances and Expenses"/>
          <xsd:enumeration value="Other Resources"/>
          <xsd:enumeration value="Oversight of Project Assets"/>
          <xsd:enumeration value="Overtime Compensation"/>
          <xsd:enumeration value="Parallel Fund Management"/>
          <xsd:enumeration value="Pass-Through Fund Management: UNDP as a Participating UN Organization"/>
          <xsd:enumeration value="Pass-Through Fund Management: UNDP as an Administrative Agent"/>
          <xsd:enumeration value="Paternity Leave"/>
          <xsd:enumeration value="Pensionable Remuneration"/>
          <xsd:enumeration value="Performance Appraisal (RCA) Policy and Procedures"/>
          <xsd:enumeration value="Petty Cash"/>
          <xsd:enumeration value="Petty Cash Fund for Management Project (PCF)"/>
          <xsd:enumeration value="Plan and Property Acquisition and Maintenance"/>
          <xsd:enumeration value="Plan and Property Acquisition and Maintenance"/>
          <xsd:enumeration value="Plant and Property - Depreciation, Reconciliations Reports and Centralized Functions"/>
          <xsd:enumeration value="Plant and Property - Depreciation, Reconciliations Reports and Centralized Functions"/>
          <xsd:enumeration value="Plant and Property Disposal and Write-Off"/>
          <xsd:enumeration value="Plant and Property Disposal and Write-Off"/>
          <xsd:enumeration value="Policy Consistency of Donor Agreement"/>
          <xsd:enumeration value="Pooled Fund Management"/>
          <xsd:enumeration value="Post Adjustment"/>
          <xsd:enumeration value="Prepayments"/>
          <xsd:enumeration value="Principles of Remuneration"/>
          <xsd:enumeration value="Procurement of Banking Services"/>
          <xsd:enumeration value="Programme Acceleration Funds"/>
          <xsd:enumeration value="Project Cash Advance (PCA)"/>
          <xsd:enumeration value="Project Cash on Hand for DIM Projects (PCH)"/>
          <xsd:enumeration value="Project Management of UNODC Funded Activities"/>
          <xsd:enumeration value="Project Petty Cash Fund (PPCF)"/>
          <xsd:enumeration value="Purchase Orders/Commitments"/>
          <xsd:enumeration value="Purchase Orders/Obligation"/>
          <xsd:enumeration value="Raising E-requisitions"/>
          <xsd:enumeration value="Raising Requisitions"/>
          <xsd:enumeration value="RCA Rebuttal"/>
          <xsd:enumeration value="Receipt of Goods/Services"/>
          <xsd:enumeration value="Recognition and Awards"/>
          <xsd:enumeration value="Record Retention, Data Security and Contingency"/>
          <xsd:enumeration value="Recovery of Overpayments"/>
          <xsd:enumeration value="Regular Maintenance Accounts Payable"/>
          <xsd:enumeration value="Regular Maintenance and Closure of Purchase Orders (POs)"/>
          <xsd:enumeration value="Regular Resources"/>
          <xsd:enumeration value="Rental Subsidy"/>
          <xsd:enumeration value="Repatriation Grant"/>
          <xsd:enumeration value="Results &amp; Competency Assessment (RCA) Guidelines"/>
          <xsd:enumeration value="Retirement"/>
          <xsd:enumeration value="Retroactivity of Payments"/>
          <xsd:enumeration value="Route, Mode of Transportation, and Standard of Accommodation"/>
          <xsd:enumeration value="Rules"/>
          <xsd:enumeration value="Safe Driving Bonus (SDB)"/>
          <xsd:enumeration value="Safe Management"/>
          <xsd:enumeration value="Salary Advances"/>
          <xsd:enumeration value="Salary Increments"/>
          <xsd:enumeration value="Salary Surveys"/>
          <xsd:enumeration value="Service Provision and Service Levels"/>
          <xsd:enumeration value="Setting up a local presence"/>
          <xsd:enumeration value="Shipment of official Consignments/Goods"/>
          <xsd:enumeration value="Special Leave"/>
          <xsd:enumeration value="Special Operations Approach (SOA)"/>
          <xsd:enumeration value="Staff and Their Recognized Defendants on Official Travel"/>
          <xsd:enumeration value="Staff Assessment"/>
          <xsd:enumeration value="Steps for closing: decision making, planning, execution"/>
          <xsd:enumeration value="Taxation"/>
          <xsd:enumeration value="Termination Indemnity"/>
          <xsd:enumeration value="Termination of Appointment for Reasons of Health"/>
          <xsd:enumeration value="Time Off for Breastfeeding"/>
          <xsd:enumeration value="Transfer/Disposal of Project Assets"/>
          <xsd:enumeration value="Travel Requirements - Inoculations"/>
          <xsd:enumeration value="Travel Requirements - Malaria Prevention"/>
          <xsd:enumeration value="Travel Requirements - Medical Clearance"/>
          <xsd:enumeration value="Travel Requirements - National Passport"/>
          <xsd:enumeration value="Travel Requirements - Security Clearance"/>
          <xsd:enumeration value="Travel Requirements - UN Travel Documents"/>
          <xsd:enumeration value="Trust Funds Management"/>
          <xsd:enumeration value="Type of Leases and Treatment in UNDP Books"/>
          <xsd:enumeration value="Type of Leases and Treatment in UNDP Books"/>
          <xsd:enumeration value="UN Flag Code"/>
          <xsd:enumeration value="Unaccompanied Shipment of Personal Effects and Household Goods"/>
          <xsd:enumeration value="UNDP Housing"/>
          <xsd:enumeration value="UNDP Offices/Premises"/>
          <xsd:enumeration value="UNDP Vehicles"/>
          <xsd:enumeration value="UNFCU Share Account Management"/>
          <xsd:enumeration value="Uniforms"/>
          <xsd:enumeration value="Vehicle Maintenance"/>
          <xsd:enumeration value="Vehicle Use"/>
          <xsd:enumeration value="Vendor Banking Information Setup for IBAN"/>
        </xsd:restriction>
      </xsd:simpleType>
    </xsd:element>
    <xsd:element name="UNDPPOPPSubsubsubprocess" ma:index="13" nillable="true" ma:displayName="POPP Sub-sub-subprocess" ma:format="Dropdown" ma:internalName="UNDPPOPPSubsubsubprocess">
      <xsd:simpleType>
        <xsd:restriction base="dms:Choice">
          <xsd:enumeration value="Accounts Receivable"/>
          <xsd:enumeration value="Cash Operations"/>
          <xsd:enumeration value="Cash Operations"/>
          <xsd:enumeration value="Core Contributions"/>
          <xsd:enumeration value="Defining an MDTF/JP"/>
          <xsd:enumeration value="Government Contributions to Local Office Costs (GLOC)"/>
          <xsd:enumeration value="Handling of Cash and Receipts"/>
          <xsd:enumeration value="Initiating an MDTF/JP"/>
          <xsd:enumeration value="Joint Programming"/>
          <xsd:enumeration value="Justifying an MDTF/JP"/>
          <xsd:enumeration value="Management Service Agreements"/>
          <xsd:enumeration value="Non-core contributions (included Cost Sharing)"/>
          <xsd:enumeration value="Petty Cash Fund for Management Project (PCF)"/>
          <xsd:enumeration value="Petty Cash Fund for Management Project (PCF)"/>
          <xsd:enumeration value="Project Cash Advance (PCA)"/>
          <xsd:enumeration value="Project Cash Advance (PCA)"/>
          <xsd:enumeration value="Project Cash on Hand for DIM Projects (PCH)"/>
          <xsd:enumeration value="Project Cash on Hand for DIM Projects (PCH)"/>
          <xsd:enumeration value="Project Petty Cash Fund (PPCF)"/>
          <xsd:enumeration value="Project Petty Cash Fund (PPCF)"/>
          <xsd:enumeration value="Receipt of Goods and Application of Incoterms"/>
          <xsd:enumeration value="Receipt of Goods DAP and Application of Incoterms"/>
          <xsd:enumeration value="Receipt of Goods FOB and Application of Incoterms"/>
          <xsd:enumeration value="Receipt of Services"/>
          <xsd:enumeration value="Receipt of Works"/>
          <xsd:enumeration value="Reporting on MDTFs and on the activities of the MDTF Office/BoM"/>
          <xsd:enumeration value="Running an MDTF/JP"/>
          <xsd:enumeration value="US Agreements"/>
        </xsd:restriction>
      </xsd:simpleType>
    </xsd:element>
    <xsd:element name="UNDPPOPPKeywordsTaxHTField0" ma:index="15" ma:taxonomy="true" ma:internalName="UNDPPOPPKeywordsTaxHTField0" ma:taxonomyFieldName="UNDPPOPPKeywords" ma:displayName="POPP Keywords" ma:fieldId="{83a9342e-dd8f-413f-b495-97fee05666fb}" ma:taxonomyMulti="true" ma:sspId="28e6c43a-9e99-4bdd-9574-a0fa4ea3b61e" ma:termSetId="61cd4d35-d3cf-4427-90a6-f06d70d9a215" ma:anchorId="00000000-0000-0000-0000-000000000000" ma:open="false" ma:isKeyword="false">
      <xsd:complexType>
        <xsd:sequence>
          <xsd:element ref="pc:Terms" minOccurs="0" maxOccurs="1"/>
        </xsd:sequence>
      </xsd:complexType>
    </xsd:element>
    <xsd:element name="UNDPFocalpoint" ma:index="16" ma:displayName="Focalpoint" ma:SearchPeopleOnly="false" ma:SharePointGroup="0" ma:internalName="Focalpoint"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UNDPPublishedDate" ma:index="17" ma:displayName="Published Date" ma:description="The date the document was published" ma:format="DateOnly" ma:internalName="UNDPPublishedDate">
      <xsd:simpleType>
        <xsd:restriction base="dms:DateTime"/>
      </xsd:simpleType>
    </xsd:element>
    <xsd:element name="UNDPEffectiveDate" ma:index="18" ma:displayName="Effective Date" ma:format="DateOnly" ma:internalName="UNDPEffectiveDate">
      <xsd:simpleType>
        <xsd:restriction base="dms:DateTime"/>
      </xsd:simpleType>
    </xsd:element>
    <xsd:element name="UNDPResponsibleUnit" ma:index="19" ma:displayName="Responsible Unit" ma:internalName="UNDPResponsibleUnit">
      <xsd:simpleType>
        <xsd:restriction base="dms:Text"/>
      </xsd:simpleType>
    </xsd:element>
    <xsd:element name="UNDPCreator" ma:index="20" ma:displayName="Creator" ma:SearchPeopleOnly="false" ma:SharePointGroup="0" ma:internalName="UNDP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UNDPIssuanceDate" ma:index="21" ma:displayName="Approval Date" ma:format="DateOnly" ma:internalName="UNDPIssuanceDate">
      <xsd:simpleType>
        <xsd:restriction base="dms:DateTime"/>
      </xsd:simpleType>
    </xsd:element>
    <xsd:element name="UNDPPlannedReviewDate" ma:index="22" ma:displayName="Planned Review Date" ma:format="DateOnly" ma:internalName="UNDPPlannedReviewDate">
      <xsd:simpleType>
        <xsd:restriction base="dms:DateTime"/>
      </xsd:simpleType>
    </xsd:element>
    <xsd:element name="UNDPActualReviewDate" ma:index="23" nillable="true" ma:displayName="Actual Review Date" ma:format="DateOnly" ma:internalName="UNDPActualReviewDate">
      <xsd:simpleType>
        <xsd:restriction base="dms:DateTime"/>
      </xsd:simpleType>
    </xsd:element>
    <xsd:element name="UNDPSummary" ma:index="24" nillable="true" ma:displayName="Summary" ma:description="A brief description or summary of the document that will displayed in search results." ma:internalName="UNDPSummary">
      <xsd:simpleType>
        <xsd:restriction base="dms:Note">
          <xsd:maxLength value="255"/>
        </xsd:restriction>
      </xsd:simpleType>
    </xsd:element>
    <xsd:element name="UNDPApplicability" ma:index="25" ma:displayName="Applicability" ma:internalName="UNDPApplicabilit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NDPPlannedReviewDate xmlns="83ed2304-0f0e-45ba-b0cc-7d360cbc1769"/>
    <UNDPEffectiveDate xmlns="83ed2304-0f0e-45ba-b0cc-7d360cbc1769"/>
    <UNDPResponsibleUnit xmlns="83ed2304-0f0e-45ba-b0cc-7d360cbc1769"/>
    <UNDPCreator xmlns="83ed2304-0f0e-45ba-b0cc-7d360cbc1769">
      <UserInfo>
        <DisplayName/>
        <AccountId/>
        <AccountType/>
      </UserInfo>
    </UNDPCreator>
    <UNDPApplicability xmlns="83ed2304-0f0e-45ba-b0cc-7d360cbc1769"/>
    <UNDPActualReviewDate xmlns="83ed2304-0f0e-45ba-b0cc-7d360cbc1769" xsi:nil="true"/>
    <UNDPPOPPFunctionalArea xmlns="83ed2304-0f0e-45ba-b0cc-7d360cbc1769">Programme and Project</UNDPPOPPFunctionalArea>
    <UNDPPOPPSubprocess xmlns="83ed2304-0f0e-45ba-b0cc-7d360cbc1769">Programme Completion and Transition</UNDPPOPPSubprocess>
    <UNDPPublishedDate xmlns="83ed2304-0f0e-45ba-b0cc-7d360cbc1769"/>
    <UNDPPOPPProcess xmlns="83ed2304-0f0e-45ba-b0cc-7d360cbc1769">Programme Management</UNDPPOPPProcess>
    <UNDPPOPPSubsubprocess xmlns="83ed2304-0f0e-45ba-b0cc-7d360cbc1769" xsi:nil="true"/>
    <UNDPIssuanceDate xmlns="83ed2304-0f0e-45ba-b0cc-7d360cbc1769"/>
    <UNDPSummary xmlns="83ed2304-0f0e-45ba-b0cc-7d360cbc1769" xsi:nil="true"/>
    <UNDPFocalpoint xmlns="83ed2304-0f0e-45ba-b0cc-7d360cbc1769">
      <UserInfo>
        <DisplayName/>
        <AccountId/>
        <AccountType/>
      </UserInfo>
    </UNDPFocalpoint>
    <UNDPPOPPKeywordsTaxHTField0 xmlns="83ed2304-0f0e-45ba-b0cc-7d360cbc1769">
      <Terms xmlns="http://schemas.microsoft.com/office/infopath/2007/PartnerControls"/>
    </UNDPPOPPKeywordsTaxHTField0>
    <UNDPPOPPSubsubsubprocess xmlns="83ed2304-0f0e-45ba-b0cc-7d360cbc1769" xsi:nil="true"/>
    <UNDPPOPPPrescriptiveContentSelection xmlns="83ed2304-0f0e-45ba-b0cc-7d360cbc1769"/>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28e6c43a-9e99-4bdd-9574-a0fa4ea3b61e" ContentTypeId="0x01010023A92725C93E4830A7421C44D384B7FC00AA2C51EDC20547BE9D8059E930612AF9"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82BBA-3E97-4EE8-9D3B-0DAE4F36B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d2304-0f0e-45ba-b0cc-7d360cbc17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6F30E3-F037-4347-A061-0F786D120BC7}">
  <ds:schemaRefs>
    <ds:schemaRef ds:uri="http://schemas.microsoft.com/office/2006/metadata/properties"/>
    <ds:schemaRef ds:uri="http://schemas.microsoft.com/office/infopath/2007/PartnerControls"/>
    <ds:schemaRef ds:uri="83ed2304-0f0e-45ba-b0cc-7d360cbc1769"/>
  </ds:schemaRefs>
</ds:datastoreItem>
</file>

<file path=customXml/itemProps3.xml><?xml version="1.0" encoding="utf-8"?>
<ds:datastoreItem xmlns:ds="http://schemas.openxmlformats.org/officeDocument/2006/customXml" ds:itemID="{05E776AA-53A5-40ED-AB02-F651111B29B6}">
  <ds:schemaRefs>
    <ds:schemaRef ds:uri="http://schemas.microsoft.com/sharepoint/v3/contenttype/forms"/>
  </ds:schemaRefs>
</ds:datastoreItem>
</file>

<file path=customXml/itemProps4.xml><?xml version="1.0" encoding="utf-8"?>
<ds:datastoreItem xmlns:ds="http://schemas.openxmlformats.org/officeDocument/2006/customXml" ds:itemID="{780500B2-D380-49CC-890B-C8F8A14A95BC}">
  <ds:schemaRefs>
    <ds:schemaRef ds:uri="http://schemas.microsoft.com/sharepoint/events"/>
  </ds:schemaRefs>
</ds:datastoreItem>
</file>

<file path=customXml/itemProps5.xml><?xml version="1.0" encoding="utf-8"?>
<ds:datastoreItem xmlns:ds="http://schemas.openxmlformats.org/officeDocument/2006/customXml" ds:itemID="{BA8BF1EB-6965-48EE-990A-C332F8C77939}">
  <ds:schemaRefs>
    <ds:schemaRef ds:uri="Microsoft.SharePoint.Taxonomy.ContentTypeSync"/>
  </ds:schemaRefs>
</ds:datastoreItem>
</file>

<file path=customXml/itemProps6.xml><?xml version="1.0" encoding="utf-8"?>
<ds:datastoreItem xmlns:ds="http://schemas.openxmlformats.org/officeDocument/2006/customXml" ds:itemID="{D3601436-C843-4DAF-BE96-EF775D1B9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5055</Words>
  <Characters>28814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CP results summary</vt:lpstr>
    </vt:vector>
  </TitlesOfParts>
  <Company>UNDP</Company>
  <LinksUpToDate>false</LinksUpToDate>
  <CharactersWithSpaces>33802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results summary</dc:title>
  <dc:subject/>
  <dc:creator>DGO</dc:creator>
  <cp:keywords/>
  <dc:description/>
  <cp:lastModifiedBy>Svetlana Iazykova</cp:lastModifiedBy>
  <cp:revision>2</cp:revision>
  <cp:lastPrinted>2008-06-06T15:39:00Z</cp:lastPrinted>
  <dcterms:created xsi:type="dcterms:W3CDTF">2015-06-16T16:56:00Z</dcterms:created>
  <dcterms:modified xsi:type="dcterms:W3CDTF">2015-06-16T16:56:00Z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0x01010023A92725C93E4830A7421C44D384B7FC00AA2C51EDC20547BE9D8059E930612AF900BB1DAF2B020D674E95D024E21C9B8446</vt:lpwstr>
  </property>
  <property fmtid="{D5CDD505-2E9C-101B-9397-08002B2CF9AE}" pid="3" name="_dlc_DocIdItemGuid">
    <vt:lpwstr>d1e13303-6ece-4102-9f8f-5a459fba30ed</vt:lpwstr>
  </property>
  <property fmtid="{D5CDD505-2E9C-101B-9397-08002B2CF9AE}" pid="4" name="UNDPPOPPKeywords">
    <vt:lpwstr/>
  </property>
  <property fmtid="{D5CDD505-2E9C-101B-9397-08002B2CF9AE}" pid="5" name="TaxCatchAll">
    <vt:lpwstr/>
  </property>
  <property fmtid="{D5CDD505-2E9C-101B-9397-08002B2CF9AE}" pid="6" name="UNDPAuthor">
    <vt:lpwstr/>
  </property>
  <property fmtid="{D5CDD505-2E9C-101B-9397-08002B2CF9AE}" pid="7" name="Order">
    <vt:r8>9200</vt:r8>
  </property>
  <property fmtid="{D5CDD505-2E9C-101B-9397-08002B2CF9AE}" pid="8" name="_dlc_DocId">
    <vt:lpwstr>UNDPGBL-229-92</vt:lpwstr>
  </property>
  <property fmtid="{D5CDD505-2E9C-101B-9397-08002B2CF9AE}" pid="9" name="_dlc_DocIdUrl">
    <vt:lpwstr>https://intranet.undp.org/global/documents/_layouts/DocIdRedir.aspx?ID=UNDPGBL-229-92, UNDPGBL-229-92</vt:lpwstr>
  </property>
</Properties>
</file>