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806B7B" w:rsidRDefault="005C6168">
      <w:pPr>
        <w:pStyle w:val="Heading3"/>
        <w:jc w:val="left"/>
        <w:rPr>
          <w:rFonts w:ascii="Calibri" w:hAnsi="Calibri"/>
          <w:lang w:val="en-GB"/>
        </w:rPr>
      </w:pPr>
      <w:bookmarkStart w:id="0" w:name="_GoBack"/>
      <w:bookmarkEnd w:id="0"/>
      <w:r w:rsidRPr="00806B7B">
        <w:rPr>
          <w:rFonts w:ascii="Calibri" w:hAnsi="Calibri"/>
          <w:lang w:val="en-GB"/>
        </w:rPr>
        <w:t>Country:</w:t>
      </w:r>
      <w:r w:rsidRPr="00806B7B">
        <w:rPr>
          <w:rFonts w:ascii="Calibri" w:hAnsi="Calibri"/>
          <w:lang w:val="en-GB"/>
        </w:rPr>
        <w:tab/>
      </w:r>
      <w:r w:rsidRPr="00806B7B">
        <w:rPr>
          <w:rFonts w:ascii="Calibri" w:hAnsi="Calibri"/>
          <w:lang w:val="en-GB"/>
        </w:rPr>
        <w:tab/>
      </w:r>
      <w:r w:rsidR="005651E9" w:rsidRPr="00806B7B">
        <w:rPr>
          <w:rFonts w:ascii="Calibri" w:hAnsi="Calibri"/>
          <w:lang w:val="en-GB"/>
        </w:rPr>
        <w:t>Mauritius</w:t>
      </w:r>
    </w:p>
    <w:p w:rsidR="005C6168" w:rsidRPr="00806B7B" w:rsidRDefault="005C6168">
      <w:pPr>
        <w:pStyle w:val="Heading3"/>
        <w:rPr>
          <w:rFonts w:ascii="Calibri" w:hAnsi="Calibri"/>
          <w:lang w:val="en-GB"/>
        </w:rPr>
      </w:pPr>
    </w:p>
    <w:p w:rsidR="005C6168" w:rsidRPr="00806B7B" w:rsidRDefault="00BC38E0">
      <w:pPr>
        <w:pStyle w:val="Heading3"/>
        <w:rPr>
          <w:rFonts w:ascii="Calibri" w:hAnsi="Calibri"/>
          <w:b/>
          <w:bCs w:val="0"/>
          <w:lang w:val="en-GB"/>
        </w:rPr>
      </w:pPr>
      <w:r w:rsidRPr="00806B7B">
        <w:rPr>
          <w:rFonts w:ascii="Calibri" w:hAnsi="Calibri"/>
          <w:b/>
          <w:bCs w:val="0"/>
          <w:lang w:val="en-GB"/>
        </w:rPr>
        <w:t>COUNTRY PROGRAMME</w:t>
      </w:r>
      <w:r w:rsidR="00B32ADA" w:rsidRPr="00806B7B">
        <w:rPr>
          <w:rFonts w:ascii="Calibri" w:hAnsi="Calibri"/>
          <w:b/>
          <w:bCs w:val="0"/>
          <w:lang w:val="en-GB"/>
        </w:rPr>
        <w:t xml:space="preserve"> PERFORMANCE SUMMARY</w:t>
      </w:r>
      <w:r w:rsidR="001F3524" w:rsidRPr="00806B7B">
        <w:rPr>
          <w:rStyle w:val="FootnoteReference"/>
          <w:rFonts w:ascii="Calibri" w:hAnsi="Calibri"/>
          <w:b/>
          <w:bCs w:val="0"/>
          <w:lang w:val="en-GB"/>
        </w:rPr>
        <w:footnoteReference w:id="1"/>
      </w:r>
    </w:p>
    <w:p w:rsidR="005C6168" w:rsidRPr="00806B7B" w:rsidRDefault="005C6168">
      <w:pPr>
        <w:pStyle w:val="Heading3"/>
        <w:rPr>
          <w:rFonts w:ascii="Calibri" w:hAnsi="Calibri"/>
          <w:b/>
          <w:lang w:val="en-GB"/>
        </w:rPr>
      </w:pPr>
    </w:p>
    <w:p w:rsidR="005C6168" w:rsidRPr="00806B7B" w:rsidRDefault="005651E9">
      <w:pPr>
        <w:pStyle w:val="Heading3"/>
        <w:jc w:val="left"/>
        <w:rPr>
          <w:rFonts w:ascii="Calibri" w:hAnsi="Calibri"/>
          <w:lang w:val="en-GB"/>
        </w:rPr>
      </w:pPr>
      <w:r w:rsidRPr="00806B7B">
        <w:rPr>
          <w:rFonts w:ascii="Calibri" w:hAnsi="Calibri"/>
          <w:lang w:val="en-GB"/>
        </w:rPr>
        <w:t xml:space="preserve">Reporting period: </w:t>
      </w:r>
      <w:r w:rsidRPr="00806B7B">
        <w:rPr>
          <w:rFonts w:ascii="Calibri" w:hAnsi="Calibri"/>
          <w:lang w:val="en-GB"/>
        </w:rPr>
        <w:tab/>
        <w:t>2013 - 2016</w:t>
      </w:r>
    </w:p>
    <w:p w:rsidR="005C6168" w:rsidRPr="00806B7B" w:rsidRDefault="005C6168">
      <w:pPr>
        <w:pStyle w:val="Heading3"/>
        <w:rPr>
          <w:rFonts w:ascii="Calibri" w:hAnsi="Calibri"/>
          <w:lang w:val="en-GB"/>
        </w:rPr>
      </w:pPr>
    </w:p>
    <w:p w:rsidR="005C6168" w:rsidRPr="00806B7B" w:rsidRDefault="005C6168">
      <w:pPr>
        <w:rPr>
          <w:rFonts w:ascii="Calibri" w:hAnsi="Calibri"/>
          <w:lang w:val="en-GB"/>
        </w:rPr>
      </w:pPr>
    </w:p>
    <w:p w:rsidR="00363EC5" w:rsidRPr="00806B7B" w:rsidRDefault="005C6168" w:rsidP="003B3DB8">
      <w:pPr>
        <w:pStyle w:val="Heading3"/>
        <w:jc w:val="left"/>
        <w:rPr>
          <w:rFonts w:ascii="Calibri" w:hAnsi="Calibri"/>
          <w:color w:val="000000"/>
          <w:lang w:val="en-GB"/>
        </w:rPr>
      </w:pPr>
      <w:r w:rsidRPr="00806B7B">
        <w:rPr>
          <w:rFonts w:ascii="Calibri" w:hAnsi="Calibri"/>
          <w:b/>
          <w:bCs w:val="0"/>
          <w:lang w:val="en-GB"/>
        </w:rPr>
        <w:t xml:space="preserve">I.  </w:t>
      </w:r>
      <w:r w:rsidR="0064746F" w:rsidRPr="00806B7B">
        <w:rPr>
          <w:rFonts w:ascii="Calibri" w:hAnsi="Calibri"/>
          <w:b/>
          <w:bCs w:val="0"/>
          <w:lang w:val="en-GB"/>
        </w:rPr>
        <w:t>EXECUTIVE SUMMARY</w:t>
      </w:r>
      <w:r w:rsidR="00760E32" w:rsidRPr="00806B7B">
        <w:rPr>
          <w:rFonts w:ascii="Calibri" w:hAnsi="Calibri"/>
          <w:b/>
          <w:bCs w:val="0"/>
          <w:lang w:val="en-GB"/>
        </w:rPr>
        <w:t xml:space="preserve"> </w:t>
      </w:r>
      <w:r w:rsidRPr="00806B7B">
        <w:rPr>
          <w:rFonts w:ascii="Calibri" w:hAnsi="Calibri"/>
          <w:color w:val="000000"/>
          <w:lang w:val="en-GB"/>
        </w:rPr>
        <w:t xml:space="preserve"> </w:t>
      </w:r>
    </w:p>
    <w:p w:rsidR="00B32ADA" w:rsidRPr="00806B7B" w:rsidRDefault="00B32ADA" w:rsidP="00363EC5">
      <w:pPr>
        <w:pStyle w:val="BodyText2"/>
        <w:rPr>
          <w:rFonts w:ascii="Calibri" w:hAnsi="Calibri"/>
          <w:color w:val="000000"/>
          <w:sz w:val="24"/>
          <w:lang w:val="en-GB"/>
        </w:rPr>
      </w:pPr>
    </w:p>
    <w:p w:rsidR="003B3DB8" w:rsidRPr="00806B7B" w:rsidRDefault="003B3DB8" w:rsidP="00363EC5">
      <w:pPr>
        <w:pStyle w:val="BodyText2"/>
        <w:rPr>
          <w:rFonts w:ascii="Calibri" w:hAnsi="Calibri"/>
          <w:b/>
          <w:color w:val="000000"/>
          <w:sz w:val="24"/>
          <w:lang w:val="en-GB"/>
        </w:rPr>
      </w:pPr>
      <w:r w:rsidRPr="00806B7B">
        <w:rPr>
          <w:rFonts w:ascii="Calibri" w:hAnsi="Calibri"/>
          <w:b/>
          <w:color w:val="000000"/>
          <w:sz w:val="24"/>
          <w:lang w:val="en-GB"/>
        </w:rPr>
        <w:t>INTRODUCTION</w:t>
      </w:r>
    </w:p>
    <w:p w:rsidR="00271ED8" w:rsidRPr="00806B7B" w:rsidRDefault="00271ED8" w:rsidP="00CB626A">
      <w:pPr>
        <w:pStyle w:val="BodyText2"/>
        <w:jc w:val="both"/>
        <w:rPr>
          <w:rFonts w:ascii="Calibri" w:hAnsi="Calibri"/>
          <w:color w:val="000000"/>
          <w:sz w:val="24"/>
          <w:lang w:val="en-GB"/>
        </w:rPr>
      </w:pPr>
      <w:r w:rsidRPr="00806B7B">
        <w:rPr>
          <w:rFonts w:ascii="Calibri" w:hAnsi="Calibri"/>
          <w:color w:val="000000"/>
          <w:sz w:val="24"/>
          <w:lang w:val="en-GB"/>
        </w:rPr>
        <w:t xml:space="preserve">Mauritius is classified as an upper Middle Income Country (MIC) and </w:t>
      </w:r>
      <w:r w:rsidR="00D62E09" w:rsidRPr="00806B7B">
        <w:rPr>
          <w:rFonts w:ascii="Calibri" w:hAnsi="Calibri"/>
          <w:color w:val="000000"/>
          <w:sz w:val="24"/>
          <w:lang w:val="en-GB"/>
        </w:rPr>
        <w:t>has</w:t>
      </w:r>
      <w:r w:rsidRPr="00806B7B">
        <w:rPr>
          <w:rFonts w:ascii="Calibri" w:hAnsi="Calibri"/>
          <w:color w:val="000000"/>
          <w:sz w:val="24"/>
          <w:lang w:val="en-GB"/>
        </w:rPr>
        <w:t xml:space="preserve"> graduate</w:t>
      </w:r>
      <w:r w:rsidR="00D62E09" w:rsidRPr="00806B7B">
        <w:rPr>
          <w:rFonts w:ascii="Calibri" w:hAnsi="Calibri"/>
          <w:color w:val="000000"/>
          <w:sz w:val="24"/>
          <w:lang w:val="en-GB"/>
        </w:rPr>
        <w:t>d</w:t>
      </w:r>
      <w:r w:rsidRPr="00806B7B">
        <w:rPr>
          <w:rFonts w:ascii="Calibri" w:hAnsi="Calibri"/>
          <w:color w:val="000000"/>
          <w:sz w:val="24"/>
          <w:lang w:val="en-GB"/>
        </w:rPr>
        <w:t xml:space="preserve"> to</w:t>
      </w:r>
      <w:r w:rsidR="00D62E09" w:rsidRPr="00806B7B">
        <w:rPr>
          <w:rFonts w:ascii="Calibri" w:hAnsi="Calibri"/>
          <w:color w:val="000000"/>
          <w:sz w:val="24"/>
          <w:lang w:val="en-GB"/>
        </w:rPr>
        <w:t xml:space="preserve"> a UNDP</w:t>
      </w:r>
      <w:r w:rsidRPr="00806B7B">
        <w:rPr>
          <w:rFonts w:ascii="Calibri" w:hAnsi="Calibri"/>
          <w:color w:val="000000"/>
          <w:sz w:val="24"/>
          <w:lang w:val="en-GB"/>
        </w:rPr>
        <w:t xml:space="preserve"> differentiated presence </w:t>
      </w:r>
      <w:r w:rsidR="00D62E09" w:rsidRPr="00806B7B">
        <w:rPr>
          <w:rFonts w:ascii="Calibri" w:hAnsi="Calibri"/>
          <w:color w:val="000000"/>
          <w:sz w:val="24"/>
          <w:lang w:val="en-GB"/>
        </w:rPr>
        <w:t xml:space="preserve">in </w:t>
      </w:r>
      <w:r w:rsidR="00B0588C" w:rsidRPr="00B0588C">
        <w:rPr>
          <w:rFonts w:ascii="Calibri" w:hAnsi="Calibri"/>
          <w:color w:val="000000"/>
          <w:sz w:val="24"/>
          <w:lang w:val="en-GB"/>
        </w:rPr>
        <w:t>January</w:t>
      </w:r>
      <w:r w:rsidR="00D62E09" w:rsidRPr="00806B7B">
        <w:rPr>
          <w:rFonts w:ascii="Calibri" w:hAnsi="Calibri"/>
          <w:color w:val="000000"/>
          <w:sz w:val="24"/>
          <w:lang w:val="en-GB"/>
        </w:rPr>
        <w:t xml:space="preserve"> </w:t>
      </w:r>
      <w:r w:rsidRPr="00806B7B">
        <w:rPr>
          <w:rFonts w:ascii="Calibri" w:hAnsi="Calibri"/>
          <w:color w:val="000000"/>
          <w:sz w:val="24"/>
          <w:lang w:val="en-GB"/>
        </w:rPr>
        <w:t xml:space="preserve">2016. </w:t>
      </w:r>
      <w:r w:rsidR="001D2B71" w:rsidRPr="00806B7B">
        <w:rPr>
          <w:rFonts w:ascii="Calibri" w:hAnsi="Calibri"/>
          <w:color w:val="000000"/>
          <w:sz w:val="24"/>
          <w:lang w:val="en-GB"/>
        </w:rPr>
        <w:t xml:space="preserve">The United Nations presence in Mauritius </w:t>
      </w:r>
      <w:r w:rsidRPr="00806B7B">
        <w:rPr>
          <w:rFonts w:ascii="Calibri" w:hAnsi="Calibri"/>
          <w:color w:val="000000"/>
          <w:sz w:val="24"/>
          <w:lang w:val="en-GB"/>
        </w:rPr>
        <w:t xml:space="preserve">is </w:t>
      </w:r>
      <w:r w:rsidR="001D2B71" w:rsidRPr="00806B7B">
        <w:rPr>
          <w:rFonts w:ascii="Calibri" w:hAnsi="Calibri"/>
          <w:color w:val="000000"/>
          <w:sz w:val="24"/>
          <w:lang w:val="en-GB"/>
        </w:rPr>
        <w:t xml:space="preserve">limited </w:t>
      </w:r>
      <w:r w:rsidRPr="00806B7B">
        <w:rPr>
          <w:rFonts w:ascii="Calibri" w:hAnsi="Calibri"/>
          <w:color w:val="000000"/>
          <w:sz w:val="24"/>
          <w:lang w:val="en-GB"/>
        </w:rPr>
        <w:t xml:space="preserve">to only </w:t>
      </w:r>
      <w:r w:rsidR="001D2B71" w:rsidRPr="00806B7B">
        <w:rPr>
          <w:rFonts w:ascii="Calibri" w:hAnsi="Calibri"/>
          <w:color w:val="000000"/>
          <w:sz w:val="24"/>
          <w:lang w:val="en-GB"/>
        </w:rPr>
        <w:t xml:space="preserve">two agencies being resident in the country i.e. United Nations Development Programme (UNDP) and World Health Organization (WHO). </w:t>
      </w:r>
      <w:r w:rsidRPr="00806B7B">
        <w:rPr>
          <w:rFonts w:ascii="Calibri" w:hAnsi="Calibri"/>
          <w:color w:val="000000"/>
          <w:sz w:val="24"/>
          <w:lang w:val="en-GB"/>
        </w:rPr>
        <w:t xml:space="preserve">UNDP’s operating environment </w:t>
      </w:r>
      <w:r w:rsidR="00CE4270" w:rsidRPr="00806B7B">
        <w:rPr>
          <w:rFonts w:ascii="Calibri" w:hAnsi="Calibri"/>
          <w:color w:val="000000"/>
          <w:sz w:val="24"/>
          <w:lang w:val="en-GB"/>
        </w:rPr>
        <w:t xml:space="preserve">in Mauritius </w:t>
      </w:r>
      <w:r w:rsidRPr="00806B7B">
        <w:rPr>
          <w:rFonts w:ascii="Calibri" w:hAnsi="Calibri"/>
          <w:color w:val="000000"/>
          <w:sz w:val="24"/>
          <w:lang w:val="en-GB"/>
        </w:rPr>
        <w:t xml:space="preserve">is therefore slightly different than most CO’s coupled with having </w:t>
      </w:r>
      <w:r w:rsidR="00CE4270" w:rsidRPr="00806B7B">
        <w:rPr>
          <w:rFonts w:ascii="Calibri" w:hAnsi="Calibri"/>
          <w:color w:val="000000"/>
          <w:sz w:val="24"/>
          <w:lang w:val="en-GB"/>
        </w:rPr>
        <w:t xml:space="preserve">had </w:t>
      </w:r>
      <w:r w:rsidRPr="00806B7B">
        <w:rPr>
          <w:rFonts w:ascii="Calibri" w:hAnsi="Calibri"/>
          <w:color w:val="000000"/>
          <w:sz w:val="24"/>
          <w:lang w:val="en-GB"/>
        </w:rPr>
        <w:t xml:space="preserve">no United Nations Development Assistance Framework (UNDAF) since </w:t>
      </w:r>
      <w:r w:rsidR="00D62E09" w:rsidRPr="00806B7B">
        <w:rPr>
          <w:rFonts w:ascii="Calibri" w:hAnsi="Calibri"/>
          <w:color w:val="000000"/>
          <w:sz w:val="24"/>
          <w:lang w:val="en-GB"/>
        </w:rPr>
        <w:t>2004</w:t>
      </w:r>
      <w:r w:rsidRPr="00806B7B">
        <w:rPr>
          <w:rFonts w:ascii="Calibri" w:hAnsi="Calibri"/>
          <w:color w:val="000000"/>
          <w:sz w:val="24"/>
          <w:lang w:val="en-GB"/>
        </w:rPr>
        <w:t>.</w:t>
      </w:r>
      <w:r w:rsidR="00294D6C" w:rsidRPr="00806B7B">
        <w:rPr>
          <w:rFonts w:ascii="Calibri" w:hAnsi="Calibri"/>
          <w:color w:val="000000"/>
          <w:sz w:val="24"/>
          <w:lang w:val="en-GB"/>
        </w:rPr>
        <w:t xml:space="preserve"> </w:t>
      </w:r>
      <w:r w:rsidR="00D62E09" w:rsidRPr="00806B7B">
        <w:rPr>
          <w:rFonts w:ascii="Calibri" w:hAnsi="Calibri"/>
          <w:color w:val="000000"/>
          <w:sz w:val="24"/>
          <w:lang w:val="en-GB"/>
        </w:rPr>
        <w:t xml:space="preserve">The CO is also </w:t>
      </w:r>
      <w:r w:rsidR="00B0588C" w:rsidRPr="00B0588C">
        <w:rPr>
          <w:rFonts w:ascii="Calibri" w:hAnsi="Calibri"/>
          <w:color w:val="000000"/>
          <w:sz w:val="24"/>
          <w:lang w:val="en-GB"/>
        </w:rPr>
        <w:t>responsible</w:t>
      </w:r>
      <w:r w:rsidR="00D62E09" w:rsidRPr="00806B7B">
        <w:rPr>
          <w:rFonts w:ascii="Calibri" w:hAnsi="Calibri"/>
          <w:color w:val="000000"/>
          <w:sz w:val="24"/>
          <w:lang w:val="en-GB"/>
        </w:rPr>
        <w:t xml:space="preserve"> for the Seychelles Country Programme, with the Resident </w:t>
      </w:r>
      <w:r w:rsidR="00B0588C" w:rsidRPr="00B0588C">
        <w:rPr>
          <w:rFonts w:ascii="Calibri" w:hAnsi="Calibri"/>
          <w:color w:val="000000"/>
          <w:sz w:val="24"/>
          <w:lang w:val="en-GB"/>
        </w:rPr>
        <w:t>Representative</w:t>
      </w:r>
      <w:r w:rsidR="00D62E09" w:rsidRPr="00806B7B">
        <w:rPr>
          <w:rFonts w:ascii="Calibri" w:hAnsi="Calibri"/>
          <w:color w:val="000000"/>
          <w:sz w:val="24"/>
          <w:lang w:val="en-GB"/>
        </w:rPr>
        <w:t xml:space="preserve"> being based in </w:t>
      </w:r>
      <w:r w:rsidR="00872A11" w:rsidRPr="00806B7B">
        <w:rPr>
          <w:rFonts w:ascii="Calibri" w:hAnsi="Calibri"/>
          <w:color w:val="000000"/>
          <w:sz w:val="24"/>
          <w:lang w:val="en-GB"/>
        </w:rPr>
        <w:t>Mauritius</w:t>
      </w:r>
      <w:r w:rsidR="00D62E09" w:rsidRPr="00806B7B">
        <w:rPr>
          <w:rFonts w:ascii="Calibri" w:hAnsi="Calibri"/>
          <w:color w:val="000000"/>
          <w:sz w:val="24"/>
          <w:lang w:val="en-GB"/>
        </w:rPr>
        <w:t>. As a differentiated presence CO</w:t>
      </w:r>
      <w:r w:rsidR="00CE4270" w:rsidRPr="00806B7B">
        <w:rPr>
          <w:rFonts w:ascii="Calibri" w:hAnsi="Calibri"/>
          <w:color w:val="000000"/>
          <w:sz w:val="24"/>
          <w:lang w:val="en-GB"/>
        </w:rPr>
        <w:t xml:space="preserve"> </w:t>
      </w:r>
      <w:r w:rsidR="00D62E09" w:rsidRPr="00806B7B">
        <w:rPr>
          <w:rFonts w:ascii="Calibri" w:hAnsi="Calibri"/>
          <w:color w:val="000000"/>
          <w:sz w:val="24"/>
          <w:lang w:val="en-GB"/>
        </w:rPr>
        <w:t xml:space="preserve">with a limited </w:t>
      </w:r>
      <w:r w:rsidR="00294D6C" w:rsidRPr="00806B7B">
        <w:rPr>
          <w:rFonts w:ascii="Calibri" w:hAnsi="Calibri"/>
          <w:color w:val="000000"/>
          <w:sz w:val="24"/>
          <w:lang w:val="en-GB"/>
        </w:rPr>
        <w:t>donor base</w:t>
      </w:r>
      <w:r w:rsidR="00D62E09" w:rsidRPr="00806B7B">
        <w:rPr>
          <w:rFonts w:ascii="Calibri" w:hAnsi="Calibri"/>
          <w:color w:val="000000"/>
          <w:sz w:val="24"/>
          <w:lang w:val="en-GB"/>
        </w:rPr>
        <w:t>,</w:t>
      </w:r>
      <w:r w:rsidR="00294D6C" w:rsidRPr="00806B7B">
        <w:rPr>
          <w:rFonts w:ascii="Calibri" w:hAnsi="Calibri"/>
          <w:color w:val="000000"/>
          <w:sz w:val="24"/>
          <w:lang w:val="en-GB"/>
        </w:rPr>
        <w:t xml:space="preserve"> </w:t>
      </w:r>
      <w:r w:rsidR="00CE4270" w:rsidRPr="00806B7B">
        <w:rPr>
          <w:rFonts w:ascii="Calibri" w:hAnsi="Calibri"/>
          <w:color w:val="000000"/>
          <w:sz w:val="24"/>
          <w:lang w:val="en-GB"/>
        </w:rPr>
        <w:t xml:space="preserve">CORE allocation is </w:t>
      </w:r>
      <w:r w:rsidR="00294D6C" w:rsidRPr="00806B7B">
        <w:rPr>
          <w:rFonts w:ascii="Calibri" w:hAnsi="Calibri"/>
          <w:color w:val="000000"/>
          <w:sz w:val="24"/>
          <w:lang w:val="en-GB"/>
        </w:rPr>
        <w:t xml:space="preserve">reduced </w:t>
      </w:r>
      <w:r w:rsidR="00CE4270" w:rsidRPr="00806B7B">
        <w:rPr>
          <w:rFonts w:ascii="Calibri" w:hAnsi="Calibri"/>
          <w:color w:val="000000"/>
          <w:sz w:val="24"/>
          <w:lang w:val="en-GB"/>
        </w:rPr>
        <w:t xml:space="preserve">which </w:t>
      </w:r>
      <w:r w:rsidR="00294D6C" w:rsidRPr="00806B7B">
        <w:rPr>
          <w:rFonts w:ascii="Calibri" w:hAnsi="Calibri"/>
          <w:color w:val="000000"/>
          <w:sz w:val="24"/>
          <w:lang w:val="en-GB"/>
        </w:rPr>
        <w:t xml:space="preserve">requires the CO to develop innovative </w:t>
      </w:r>
      <w:r w:rsidR="00CB2A38" w:rsidRPr="00806B7B">
        <w:rPr>
          <w:rFonts w:ascii="Calibri" w:hAnsi="Calibri"/>
          <w:color w:val="000000"/>
          <w:sz w:val="24"/>
          <w:lang w:val="en-GB"/>
        </w:rPr>
        <w:t>strategies to</w:t>
      </w:r>
      <w:r w:rsidR="00CE4270" w:rsidRPr="00806B7B">
        <w:rPr>
          <w:rFonts w:ascii="Calibri" w:hAnsi="Calibri"/>
          <w:color w:val="000000"/>
          <w:sz w:val="24"/>
          <w:lang w:val="en-GB"/>
        </w:rPr>
        <w:t xml:space="preserve"> mobilize resources </w:t>
      </w:r>
      <w:r w:rsidR="00294D6C" w:rsidRPr="00806B7B">
        <w:rPr>
          <w:rFonts w:ascii="Calibri" w:hAnsi="Calibri"/>
          <w:color w:val="000000"/>
          <w:sz w:val="24"/>
          <w:lang w:val="en-GB"/>
        </w:rPr>
        <w:t xml:space="preserve">to support the government of Mauritius to meet its development </w:t>
      </w:r>
      <w:r w:rsidR="008F6969" w:rsidRPr="00806B7B">
        <w:rPr>
          <w:rFonts w:ascii="Calibri" w:hAnsi="Calibri"/>
          <w:color w:val="000000"/>
          <w:sz w:val="24"/>
          <w:lang w:val="en-GB"/>
        </w:rPr>
        <w:t>challenges.</w:t>
      </w:r>
      <w:r w:rsidR="00D62E09" w:rsidRPr="00806B7B">
        <w:rPr>
          <w:rFonts w:ascii="Calibri" w:hAnsi="Calibri"/>
          <w:color w:val="000000"/>
          <w:sz w:val="24"/>
          <w:lang w:val="en-GB"/>
        </w:rPr>
        <w:t xml:space="preserve">  TRAC resources in a </w:t>
      </w:r>
      <w:r w:rsidR="00B0588C" w:rsidRPr="00A72BFA">
        <w:rPr>
          <w:rFonts w:ascii="Calibri" w:hAnsi="Calibri"/>
          <w:color w:val="000000"/>
          <w:sz w:val="24"/>
          <w:lang w:val="en-GB"/>
        </w:rPr>
        <w:t>differentiated</w:t>
      </w:r>
      <w:r w:rsidR="00D62E09" w:rsidRPr="00806B7B">
        <w:rPr>
          <w:rFonts w:ascii="Calibri" w:hAnsi="Calibri"/>
          <w:color w:val="000000"/>
          <w:sz w:val="24"/>
          <w:lang w:val="en-GB"/>
        </w:rPr>
        <w:t xml:space="preserve"> presence are limited to $150,000 per annum.</w:t>
      </w:r>
    </w:p>
    <w:p w:rsidR="00271ED8" w:rsidRPr="00806B7B" w:rsidRDefault="00271ED8" w:rsidP="00CB626A">
      <w:pPr>
        <w:pStyle w:val="BodyText2"/>
        <w:jc w:val="both"/>
        <w:rPr>
          <w:rFonts w:ascii="Calibri" w:hAnsi="Calibri"/>
          <w:color w:val="000000"/>
          <w:sz w:val="24"/>
          <w:lang w:val="en-GB"/>
        </w:rPr>
      </w:pPr>
    </w:p>
    <w:p w:rsidR="0006541E" w:rsidRPr="00806B7B" w:rsidRDefault="004C10F5" w:rsidP="00CB626A">
      <w:pPr>
        <w:pStyle w:val="BodyText2"/>
        <w:jc w:val="both"/>
        <w:rPr>
          <w:rFonts w:ascii="Calibri" w:hAnsi="Calibri"/>
          <w:color w:val="000000"/>
          <w:sz w:val="24"/>
          <w:lang w:val="en-GB"/>
        </w:rPr>
      </w:pPr>
      <w:r w:rsidRPr="00806B7B">
        <w:rPr>
          <w:rFonts w:ascii="Calibri" w:hAnsi="Calibri"/>
          <w:color w:val="000000"/>
          <w:sz w:val="24"/>
          <w:lang w:val="en-GB"/>
        </w:rPr>
        <w:t xml:space="preserve">Notwithstanding the above </w:t>
      </w:r>
      <w:r w:rsidR="00CB626A" w:rsidRPr="00806B7B">
        <w:rPr>
          <w:rFonts w:ascii="Calibri" w:hAnsi="Calibri"/>
          <w:color w:val="000000"/>
          <w:sz w:val="24"/>
          <w:lang w:val="en-GB"/>
        </w:rPr>
        <w:t xml:space="preserve">operating environment, </w:t>
      </w:r>
      <w:r w:rsidR="00271ED8" w:rsidRPr="00806B7B">
        <w:rPr>
          <w:rFonts w:ascii="Calibri" w:hAnsi="Calibri"/>
          <w:color w:val="000000"/>
          <w:sz w:val="24"/>
          <w:lang w:val="en-GB"/>
        </w:rPr>
        <w:t>the Country Programme 2013 – 2016 was d</w:t>
      </w:r>
      <w:r w:rsidR="00822749" w:rsidRPr="00806B7B">
        <w:rPr>
          <w:rFonts w:ascii="Calibri" w:hAnsi="Calibri"/>
          <w:color w:val="000000"/>
          <w:sz w:val="24"/>
          <w:lang w:val="en-GB"/>
        </w:rPr>
        <w:t xml:space="preserve">eveloped </w:t>
      </w:r>
      <w:r w:rsidR="00271ED8" w:rsidRPr="00806B7B">
        <w:rPr>
          <w:rFonts w:ascii="Calibri" w:hAnsi="Calibri"/>
          <w:color w:val="000000"/>
          <w:sz w:val="24"/>
          <w:lang w:val="en-GB"/>
        </w:rPr>
        <w:t xml:space="preserve">within the United Nations </w:t>
      </w:r>
      <w:r w:rsidR="00822749" w:rsidRPr="00806B7B">
        <w:rPr>
          <w:rFonts w:ascii="Calibri" w:hAnsi="Calibri"/>
          <w:color w:val="000000"/>
          <w:sz w:val="24"/>
          <w:lang w:val="en-GB"/>
        </w:rPr>
        <w:t>c</w:t>
      </w:r>
      <w:r w:rsidR="00271ED8" w:rsidRPr="00806B7B">
        <w:rPr>
          <w:rFonts w:ascii="Calibri" w:hAnsi="Calibri"/>
          <w:color w:val="000000"/>
          <w:sz w:val="24"/>
          <w:lang w:val="en-GB"/>
        </w:rPr>
        <w:t>ommon</w:t>
      </w:r>
      <w:r w:rsidR="008F6969" w:rsidRPr="00806B7B">
        <w:rPr>
          <w:rFonts w:ascii="Calibri" w:hAnsi="Calibri"/>
          <w:color w:val="000000"/>
          <w:sz w:val="24"/>
          <w:lang w:val="en-GB"/>
        </w:rPr>
        <w:t xml:space="preserve"> </w:t>
      </w:r>
      <w:r w:rsidR="00822749" w:rsidRPr="00806B7B">
        <w:rPr>
          <w:rFonts w:ascii="Calibri" w:hAnsi="Calibri"/>
          <w:color w:val="000000"/>
          <w:sz w:val="24"/>
          <w:lang w:val="en-GB"/>
        </w:rPr>
        <w:t xml:space="preserve">framework of assistance </w:t>
      </w:r>
      <w:r w:rsidR="00271ED8" w:rsidRPr="00806B7B">
        <w:rPr>
          <w:rFonts w:ascii="Calibri" w:hAnsi="Calibri"/>
          <w:color w:val="000000"/>
          <w:sz w:val="24"/>
          <w:lang w:val="en-GB"/>
        </w:rPr>
        <w:t xml:space="preserve">and converging towards a </w:t>
      </w:r>
      <w:r w:rsidR="00D62E09" w:rsidRPr="00806B7B">
        <w:rPr>
          <w:rFonts w:ascii="Calibri" w:hAnsi="Calibri"/>
          <w:color w:val="000000"/>
          <w:sz w:val="24"/>
          <w:lang w:val="en-GB"/>
        </w:rPr>
        <w:t>D</w:t>
      </w:r>
      <w:r w:rsidR="00271ED8" w:rsidRPr="00806B7B">
        <w:rPr>
          <w:rFonts w:ascii="Calibri" w:hAnsi="Calibri"/>
          <w:color w:val="000000"/>
          <w:sz w:val="24"/>
          <w:lang w:val="en-GB"/>
        </w:rPr>
        <w:t xml:space="preserve">elivering as </w:t>
      </w:r>
      <w:r w:rsidR="00D62E09" w:rsidRPr="00806B7B">
        <w:rPr>
          <w:rFonts w:ascii="Calibri" w:hAnsi="Calibri"/>
          <w:color w:val="000000"/>
          <w:sz w:val="24"/>
          <w:lang w:val="en-GB"/>
        </w:rPr>
        <w:t xml:space="preserve">One </w:t>
      </w:r>
      <w:r w:rsidR="00271ED8" w:rsidRPr="00806B7B">
        <w:rPr>
          <w:rFonts w:ascii="Calibri" w:hAnsi="Calibri"/>
          <w:color w:val="000000"/>
          <w:sz w:val="24"/>
          <w:lang w:val="en-GB"/>
        </w:rPr>
        <w:t>Programme. T</w:t>
      </w:r>
      <w:r w:rsidR="007C076C" w:rsidRPr="00806B7B">
        <w:rPr>
          <w:rFonts w:ascii="Calibri" w:hAnsi="Calibri"/>
          <w:color w:val="000000"/>
          <w:sz w:val="24"/>
          <w:lang w:val="en-GB"/>
        </w:rPr>
        <w:t xml:space="preserve">he </w:t>
      </w:r>
      <w:r w:rsidR="00271ED8" w:rsidRPr="00806B7B">
        <w:rPr>
          <w:rFonts w:ascii="Calibri" w:hAnsi="Calibri"/>
          <w:color w:val="000000"/>
          <w:sz w:val="24"/>
          <w:lang w:val="en-GB"/>
        </w:rPr>
        <w:t xml:space="preserve">UNDP </w:t>
      </w:r>
      <w:r w:rsidR="007C076C" w:rsidRPr="00806B7B">
        <w:rPr>
          <w:rFonts w:ascii="Calibri" w:hAnsi="Calibri"/>
          <w:color w:val="000000"/>
          <w:sz w:val="24"/>
          <w:lang w:val="en-GB"/>
        </w:rPr>
        <w:t xml:space="preserve">CO </w:t>
      </w:r>
      <w:r w:rsidR="0006541E" w:rsidRPr="00806B7B">
        <w:rPr>
          <w:rFonts w:ascii="Calibri" w:hAnsi="Calibri"/>
          <w:color w:val="000000"/>
          <w:sz w:val="24"/>
          <w:lang w:val="en-GB"/>
        </w:rPr>
        <w:t xml:space="preserve">has contributed positively to </w:t>
      </w:r>
      <w:r w:rsidR="00D62E09" w:rsidRPr="00806B7B">
        <w:rPr>
          <w:rFonts w:ascii="Calibri" w:hAnsi="Calibri"/>
          <w:color w:val="000000"/>
          <w:sz w:val="24"/>
          <w:lang w:val="en-GB"/>
        </w:rPr>
        <w:t>sustainable development</w:t>
      </w:r>
      <w:r w:rsidR="0006541E" w:rsidRPr="00806B7B">
        <w:rPr>
          <w:rFonts w:ascii="Calibri" w:hAnsi="Calibri"/>
          <w:color w:val="000000"/>
          <w:sz w:val="24"/>
          <w:lang w:val="en-GB"/>
        </w:rPr>
        <w:t xml:space="preserve"> in Mauritius</w:t>
      </w:r>
      <w:r w:rsidR="00CB626A" w:rsidRPr="00806B7B">
        <w:rPr>
          <w:rFonts w:ascii="Calibri" w:hAnsi="Calibri"/>
          <w:color w:val="000000"/>
          <w:sz w:val="24"/>
          <w:lang w:val="en-GB"/>
        </w:rPr>
        <w:t xml:space="preserve"> </w:t>
      </w:r>
      <w:r w:rsidR="0006541E" w:rsidRPr="00806B7B">
        <w:rPr>
          <w:rFonts w:ascii="Calibri" w:hAnsi="Calibri"/>
          <w:color w:val="000000"/>
          <w:sz w:val="24"/>
          <w:lang w:val="en-GB"/>
        </w:rPr>
        <w:t>in three major programmatic areas</w:t>
      </w:r>
      <w:r w:rsidR="003F4E24" w:rsidRPr="00806B7B">
        <w:rPr>
          <w:rFonts w:ascii="Calibri" w:hAnsi="Calibri"/>
          <w:color w:val="000000"/>
          <w:sz w:val="24"/>
          <w:lang w:val="en-GB"/>
        </w:rPr>
        <w:t xml:space="preserve"> (i) </w:t>
      </w:r>
      <w:r w:rsidR="00801DDF" w:rsidRPr="00806B7B">
        <w:rPr>
          <w:rFonts w:ascii="Calibri" w:hAnsi="Calibri"/>
          <w:color w:val="000000"/>
          <w:sz w:val="24"/>
          <w:lang w:val="en-GB"/>
        </w:rPr>
        <w:t xml:space="preserve">Democratic Governance, </w:t>
      </w:r>
      <w:r w:rsidR="003F4E24" w:rsidRPr="00806B7B">
        <w:rPr>
          <w:rFonts w:ascii="Calibri" w:hAnsi="Calibri"/>
          <w:color w:val="000000"/>
          <w:sz w:val="24"/>
          <w:lang w:val="en-GB"/>
        </w:rPr>
        <w:t xml:space="preserve">(ii) </w:t>
      </w:r>
      <w:r w:rsidR="00801DDF" w:rsidRPr="00806B7B">
        <w:rPr>
          <w:rFonts w:ascii="Calibri" w:hAnsi="Calibri"/>
          <w:color w:val="000000"/>
          <w:sz w:val="24"/>
          <w:lang w:val="en-GB"/>
        </w:rPr>
        <w:t xml:space="preserve">Poverty Reduction and Social Inclusion and </w:t>
      </w:r>
      <w:r w:rsidR="003F4E24" w:rsidRPr="00806B7B">
        <w:rPr>
          <w:rFonts w:ascii="Calibri" w:hAnsi="Calibri"/>
          <w:color w:val="000000"/>
          <w:sz w:val="24"/>
          <w:lang w:val="en-GB"/>
        </w:rPr>
        <w:t xml:space="preserve">(iii) </w:t>
      </w:r>
      <w:r w:rsidR="00801DDF" w:rsidRPr="00806B7B">
        <w:rPr>
          <w:rFonts w:ascii="Calibri" w:hAnsi="Calibri"/>
          <w:color w:val="000000"/>
          <w:sz w:val="24"/>
          <w:lang w:val="en-GB"/>
        </w:rPr>
        <w:t>Environmental and Sustainable Development.</w:t>
      </w:r>
      <w:r w:rsidR="00CB626A" w:rsidRPr="00806B7B">
        <w:rPr>
          <w:rFonts w:ascii="Calibri" w:hAnsi="Calibri"/>
          <w:color w:val="000000"/>
          <w:sz w:val="24"/>
          <w:lang w:val="en-GB"/>
        </w:rPr>
        <w:t xml:space="preserve">  </w:t>
      </w:r>
    </w:p>
    <w:p w:rsidR="00271ED8" w:rsidRPr="00806B7B" w:rsidRDefault="00271ED8" w:rsidP="00363EC5">
      <w:pPr>
        <w:pStyle w:val="BodyText2"/>
        <w:rPr>
          <w:rFonts w:ascii="Calibri" w:hAnsi="Calibri"/>
          <w:color w:val="000000"/>
          <w:sz w:val="24"/>
          <w:lang w:val="en-GB"/>
        </w:rPr>
      </w:pPr>
    </w:p>
    <w:p w:rsidR="00B62537" w:rsidRPr="00806B7B" w:rsidRDefault="00271ED8" w:rsidP="000B7C13">
      <w:pPr>
        <w:widowControl/>
        <w:autoSpaceDE w:val="0"/>
        <w:autoSpaceDN w:val="0"/>
        <w:adjustRightInd w:val="0"/>
        <w:jc w:val="both"/>
        <w:rPr>
          <w:rFonts w:ascii="Calibri" w:hAnsi="Calibri"/>
          <w:color w:val="000000"/>
          <w:lang w:val="en-GB"/>
        </w:rPr>
      </w:pPr>
      <w:r w:rsidRPr="00806B7B">
        <w:rPr>
          <w:rFonts w:ascii="Calibri" w:hAnsi="Calibri"/>
          <w:color w:val="000000"/>
          <w:lang w:val="en-GB"/>
        </w:rPr>
        <w:t xml:space="preserve">In the first </w:t>
      </w:r>
      <w:r w:rsidR="003F4E24" w:rsidRPr="00806B7B">
        <w:rPr>
          <w:rFonts w:ascii="Calibri" w:hAnsi="Calibri"/>
          <w:color w:val="000000"/>
          <w:lang w:val="en-GB"/>
        </w:rPr>
        <w:t>area</w:t>
      </w:r>
      <w:r w:rsidRPr="00806B7B">
        <w:rPr>
          <w:rFonts w:ascii="Calibri" w:hAnsi="Calibri"/>
          <w:color w:val="000000"/>
          <w:lang w:val="en-GB"/>
        </w:rPr>
        <w:t xml:space="preserve">, </w:t>
      </w:r>
      <w:r w:rsidRPr="00806B7B">
        <w:rPr>
          <w:rFonts w:ascii="Calibri" w:hAnsi="Calibri"/>
          <w:b/>
          <w:color w:val="000000"/>
          <w:lang w:val="en-GB"/>
        </w:rPr>
        <w:t>d</w:t>
      </w:r>
      <w:r w:rsidR="00801DDF" w:rsidRPr="00806B7B">
        <w:rPr>
          <w:rFonts w:ascii="Calibri" w:hAnsi="Calibri"/>
          <w:b/>
          <w:color w:val="000000"/>
          <w:lang w:val="en-GB"/>
        </w:rPr>
        <w:t xml:space="preserve">emocratic </w:t>
      </w:r>
      <w:r w:rsidR="007E2D92" w:rsidRPr="00806B7B">
        <w:rPr>
          <w:rFonts w:ascii="Calibri" w:hAnsi="Calibri"/>
          <w:b/>
          <w:color w:val="000000"/>
          <w:lang w:val="en-GB"/>
        </w:rPr>
        <w:t>governance</w:t>
      </w:r>
      <w:r w:rsidR="00223CC6" w:rsidRPr="00806B7B">
        <w:rPr>
          <w:rFonts w:ascii="Calibri" w:hAnsi="Calibri"/>
          <w:color w:val="000000"/>
          <w:lang w:val="en-GB"/>
        </w:rPr>
        <w:t>, the key area</w:t>
      </w:r>
      <w:r w:rsidR="00F63EB0" w:rsidRPr="00806B7B">
        <w:rPr>
          <w:rFonts w:ascii="Calibri" w:hAnsi="Calibri"/>
          <w:color w:val="000000"/>
          <w:lang w:val="en-GB"/>
        </w:rPr>
        <w:t xml:space="preserve"> of support w</w:t>
      </w:r>
      <w:r w:rsidR="00223CC6" w:rsidRPr="00806B7B">
        <w:rPr>
          <w:rFonts w:ascii="Calibri" w:hAnsi="Calibri"/>
          <w:color w:val="000000"/>
          <w:lang w:val="en-GB"/>
        </w:rPr>
        <w:t>as strengthening the integration of the planning, budgeting and execut</w:t>
      </w:r>
      <w:r w:rsidR="00D34C73" w:rsidRPr="00806B7B">
        <w:rPr>
          <w:rFonts w:ascii="Calibri" w:hAnsi="Calibri"/>
          <w:color w:val="000000"/>
          <w:lang w:val="en-GB"/>
        </w:rPr>
        <w:t xml:space="preserve">ion framework to improve public-sector efficiency. </w:t>
      </w:r>
      <w:r w:rsidR="00D34C73" w:rsidRPr="00806B7B">
        <w:rPr>
          <w:rFonts w:ascii="Calibri" w:hAnsi="Calibri"/>
          <w:b/>
          <w:color w:val="000000"/>
          <w:lang w:val="en-GB"/>
        </w:rPr>
        <w:t>Achievement</w:t>
      </w:r>
      <w:r w:rsidR="00D62E09" w:rsidRPr="00806B7B">
        <w:rPr>
          <w:rFonts w:ascii="Calibri" w:hAnsi="Calibri"/>
          <w:b/>
          <w:color w:val="000000"/>
          <w:lang w:val="en-GB"/>
        </w:rPr>
        <w:t>s</w:t>
      </w:r>
      <w:r w:rsidR="00D34C73" w:rsidRPr="00806B7B">
        <w:rPr>
          <w:rFonts w:ascii="Calibri" w:hAnsi="Calibri"/>
          <w:b/>
          <w:color w:val="000000"/>
          <w:lang w:val="en-GB"/>
        </w:rPr>
        <w:t xml:space="preserve"> include:</w:t>
      </w:r>
      <w:r w:rsidR="00D34C73" w:rsidRPr="00806B7B">
        <w:rPr>
          <w:rFonts w:ascii="Calibri" w:hAnsi="Calibri"/>
          <w:color w:val="000000"/>
          <w:lang w:val="en-GB"/>
        </w:rPr>
        <w:t xml:space="preserve"> </w:t>
      </w:r>
      <w:r w:rsidR="00872A11" w:rsidRPr="000B7C13">
        <w:rPr>
          <w:rFonts w:ascii="Calibri" w:hAnsi="Calibri"/>
          <w:color w:val="000000"/>
          <w:lang w:val="en-GB"/>
        </w:rPr>
        <w:t>UNDP technical support contributed to the design of an on-line budgeting system for Government, whose version 1 has been completed. The system has on-line access to non-financial performance indicators which include numeric as well as descriptive data with a view to improve performance monitoring of government services. UNDP technical assistance, including website development and training of IT and HR government officials, has led to the design of a Learning Management System (LMS) for the Civil Service, accessible on a Government website. 12 on-line courses have been developed for public officers, all offering consistent delivery of content, on-demand availability and self-pacing.</w:t>
      </w:r>
      <w:r w:rsidR="00872A11" w:rsidRPr="00872A11">
        <w:rPr>
          <w:rFonts w:ascii="Calibri" w:hAnsi="Calibri"/>
          <w:color w:val="000000"/>
          <w:lang w:val="en-GB"/>
        </w:rPr>
        <w:t xml:space="preserve"> </w:t>
      </w:r>
      <w:r w:rsidR="00872A11" w:rsidRPr="000B7C13">
        <w:rPr>
          <w:rFonts w:ascii="Calibri" w:hAnsi="Calibri"/>
          <w:color w:val="000000"/>
          <w:lang w:val="en-GB"/>
        </w:rPr>
        <w:t>The brokering and awareness-creation role of UNDP and the quality of its technical assistance was acknowledged by the prestigious International Social Security Association (ISSA) Good Practice Award for Africa 2014 which the SRM won in 2014 The SRM is now regarded as a multi-pronged framework with potential to promote a holistic approach to poverty alleviation and reducing income inequalities, which have been rising since the early 2000s.</w:t>
      </w:r>
      <w:r w:rsidR="00872A11" w:rsidRPr="00806B7B">
        <w:rPr>
          <w:rFonts w:ascii="Calibri" w:hAnsi="Calibri"/>
          <w:color w:val="000000"/>
          <w:lang w:val="en-GB"/>
        </w:rPr>
        <w:t xml:space="preserve"> </w:t>
      </w:r>
      <w:r w:rsidR="00037752" w:rsidRPr="00806B7B">
        <w:rPr>
          <w:rFonts w:ascii="Calibri" w:hAnsi="Calibri"/>
          <w:color w:val="000000"/>
          <w:lang w:val="en-GB"/>
        </w:rPr>
        <w:t xml:space="preserve">Capacity of government agencies (Ministry of Social Integration and </w:t>
      </w:r>
      <w:r w:rsidR="00037752" w:rsidRPr="00806B7B">
        <w:rPr>
          <w:rFonts w:ascii="Calibri" w:hAnsi="Calibri"/>
          <w:color w:val="000000"/>
          <w:lang w:val="en-GB"/>
        </w:rPr>
        <w:lastRenderedPageBreak/>
        <w:t xml:space="preserve">National Empowerment Foundation) in public service delivery to the poor has been improved through the updating of the Social Register of Mauritius (SRM) database. Over 40,000 households are now registered in the SRM and poorest 12,000 households identified to benefit from future pro-poor policies. 80 public officials trained and have capacity in statistical analysis on social protection schemes. Key government personnel </w:t>
      </w:r>
      <w:r w:rsidR="00D62E09" w:rsidRPr="00806B7B">
        <w:rPr>
          <w:rFonts w:ascii="Calibri" w:hAnsi="Calibri"/>
          <w:color w:val="000000"/>
          <w:lang w:val="en-GB"/>
        </w:rPr>
        <w:t xml:space="preserve">have increased capacity </w:t>
      </w:r>
      <w:r w:rsidR="00037752" w:rsidRPr="00806B7B">
        <w:rPr>
          <w:rFonts w:ascii="Calibri" w:hAnsi="Calibri"/>
          <w:color w:val="000000"/>
          <w:lang w:val="en-GB"/>
        </w:rPr>
        <w:t>to use foresight techniques to strengthen planning and decision making as part of civil service reforms. Despite these achievements, e</w:t>
      </w:r>
      <w:r w:rsidR="000A3092" w:rsidRPr="00806B7B">
        <w:rPr>
          <w:rFonts w:ascii="Calibri" w:hAnsi="Calibri"/>
          <w:color w:val="000000"/>
          <w:lang w:val="en-GB"/>
        </w:rPr>
        <w:t xml:space="preserve">fficiency in the </w:t>
      </w:r>
      <w:r w:rsidR="00AE47E0" w:rsidRPr="00806B7B">
        <w:rPr>
          <w:rFonts w:ascii="Calibri" w:hAnsi="Calibri"/>
          <w:color w:val="000000"/>
          <w:lang w:val="en-GB"/>
        </w:rPr>
        <w:t xml:space="preserve">public </w:t>
      </w:r>
      <w:r w:rsidR="00E45324" w:rsidRPr="00806B7B">
        <w:rPr>
          <w:rFonts w:ascii="Calibri" w:hAnsi="Calibri"/>
          <w:color w:val="000000"/>
          <w:lang w:val="en-GB"/>
        </w:rPr>
        <w:t xml:space="preserve">sector has slowed down </w:t>
      </w:r>
      <w:r w:rsidR="00D62E09" w:rsidRPr="00806B7B">
        <w:rPr>
          <w:rFonts w:ascii="Calibri" w:hAnsi="Calibri"/>
          <w:color w:val="000000"/>
          <w:lang w:val="en-GB"/>
        </w:rPr>
        <w:t xml:space="preserve">and </w:t>
      </w:r>
      <w:r w:rsidR="00E45324" w:rsidRPr="00806B7B">
        <w:rPr>
          <w:rFonts w:ascii="Calibri" w:hAnsi="Calibri"/>
          <w:color w:val="000000"/>
          <w:lang w:val="en-GB"/>
        </w:rPr>
        <w:t xml:space="preserve">exacerbated by a weak monitoring and evaluation culture inhibiting effective planning, budgeting and tracking performance of public </w:t>
      </w:r>
      <w:r w:rsidR="00183D4C" w:rsidRPr="00806B7B">
        <w:rPr>
          <w:rFonts w:ascii="Calibri" w:hAnsi="Calibri"/>
          <w:color w:val="000000"/>
          <w:lang w:val="en-GB"/>
        </w:rPr>
        <w:t>institutions</w:t>
      </w:r>
      <w:r w:rsidR="00E45324" w:rsidRPr="00806B7B">
        <w:rPr>
          <w:rFonts w:ascii="Calibri" w:hAnsi="Calibri"/>
          <w:color w:val="000000"/>
          <w:lang w:val="en-GB"/>
        </w:rPr>
        <w:t>.</w:t>
      </w:r>
      <w:r w:rsidR="000A3092" w:rsidRPr="00806B7B">
        <w:rPr>
          <w:rFonts w:ascii="Calibri" w:hAnsi="Calibri"/>
          <w:color w:val="000000"/>
          <w:lang w:val="en-GB"/>
        </w:rPr>
        <w:t xml:space="preserve"> </w:t>
      </w:r>
      <w:r w:rsidR="0055468C" w:rsidRPr="00806B7B">
        <w:rPr>
          <w:rFonts w:ascii="Calibri" w:hAnsi="Calibri"/>
          <w:color w:val="000000"/>
          <w:lang w:val="en-GB"/>
        </w:rPr>
        <w:t>Gender mainstreaming</w:t>
      </w:r>
      <w:r w:rsidR="00D62E09" w:rsidRPr="00806B7B">
        <w:rPr>
          <w:rFonts w:ascii="Calibri" w:hAnsi="Calibri"/>
          <w:color w:val="000000"/>
          <w:lang w:val="en-GB"/>
        </w:rPr>
        <w:t>, which UNDP has championed in 20 of 24 ministries,</w:t>
      </w:r>
      <w:r w:rsidR="0055468C" w:rsidRPr="00806B7B">
        <w:rPr>
          <w:rFonts w:ascii="Calibri" w:hAnsi="Calibri"/>
          <w:color w:val="000000"/>
          <w:lang w:val="en-GB"/>
        </w:rPr>
        <w:t xml:space="preserve"> into sector strategies remains weak. </w:t>
      </w:r>
    </w:p>
    <w:p w:rsidR="00B62537" w:rsidRPr="00806B7B" w:rsidRDefault="00B62537" w:rsidP="00363EC5">
      <w:pPr>
        <w:pStyle w:val="BodyText2"/>
        <w:rPr>
          <w:rFonts w:ascii="Calibri" w:hAnsi="Calibri"/>
          <w:color w:val="000000"/>
          <w:sz w:val="24"/>
          <w:lang w:val="en-GB"/>
        </w:rPr>
      </w:pPr>
    </w:p>
    <w:p w:rsidR="000B7C13" w:rsidRDefault="00294D6C" w:rsidP="000B7C13">
      <w:pPr>
        <w:widowControl/>
        <w:autoSpaceDE w:val="0"/>
        <w:autoSpaceDN w:val="0"/>
        <w:adjustRightInd w:val="0"/>
        <w:jc w:val="both"/>
        <w:rPr>
          <w:rFonts w:asciiTheme="minorHAnsi" w:hAnsiTheme="minorHAnsi"/>
          <w:color w:val="000000"/>
          <w:lang w:val="en-GB"/>
        </w:rPr>
      </w:pPr>
      <w:r w:rsidRPr="000B7C13">
        <w:rPr>
          <w:rFonts w:asciiTheme="minorHAnsi" w:hAnsiTheme="minorHAnsi"/>
          <w:color w:val="000000"/>
          <w:lang w:val="en-GB"/>
        </w:rPr>
        <w:t>In the second area</w:t>
      </w:r>
      <w:r w:rsidRPr="000B7C13">
        <w:rPr>
          <w:rFonts w:asciiTheme="minorHAnsi" w:hAnsiTheme="minorHAnsi"/>
          <w:b/>
          <w:color w:val="000000"/>
          <w:lang w:val="en-GB"/>
        </w:rPr>
        <w:t xml:space="preserve"> </w:t>
      </w:r>
      <w:r w:rsidR="00B62537" w:rsidRPr="000B7C13">
        <w:rPr>
          <w:rFonts w:asciiTheme="minorHAnsi" w:hAnsiTheme="minorHAnsi"/>
          <w:b/>
          <w:color w:val="000000"/>
          <w:lang w:val="en-GB"/>
        </w:rPr>
        <w:t>Poverty Reduction and Social Exclusion</w:t>
      </w:r>
      <w:r w:rsidR="00804163" w:rsidRPr="000B7C13">
        <w:rPr>
          <w:rFonts w:asciiTheme="minorHAnsi" w:hAnsiTheme="minorHAnsi"/>
          <w:color w:val="000000"/>
          <w:lang w:val="en-GB"/>
        </w:rPr>
        <w:t xml:space="preserve">, </w:t>
      </w:r>
      <w:r w:rsidR="00EB5E43" w:rsidRPr="000B7C13">
        <w:rPr>
          <w:rFonts w:asciiTheme="minorHAnsi" w:hAnsiTheme="minorHAnsi"/>
          <w:color w:val="000000"/>
          <w:lang w:val="en-GB"/>
        </w:rPr>
        <w:t xml:space="preserve">emphasis was on </w:t>
      </w:r>
      <w:r w:rsidR="00CF60EC" w:rsidRPr="000B7C13">
        <w:rPr>
          <w:rFonts w:asciiTheme="minorHAnsi" w:hAnsiTheme="minorHAnsi"/>
          <w:color w:val="000000"/>
          <w:lang w:val="en-GB"/>
        </w:rPr>
        <w:t>s</w:t>
      </w:r>
      <w:r w:rsidR="00CF60EC" w:rsidRPr="000B7C13">
        <w:rPr>
          <w:rFonts w:asciiTheme="minorHAnsi" w:hAnsiTheme="minorHAnsi" w:cs="ArialMT"/>
          <w:color w:val="444444"/>
          <w:szCs w:val="24"/>
          <w:lang w:val="en-GB" w:eastAsia="fr-FR"/>
        </w:rPr>
        <w:t>upporting community-based organizations</w:t>
      </w:r>
      <w:r w:rsidR="00872A11" w:rsidRPr="000B7C13">
        <w:rPr>
          <w:rFonts w:asciiTheme="minorHAnsi" w:hAnsiTheme="minorHAnsi" w:cs="ArialMT"/>
          <w:color w:val="444444"/>
          <w:szCs w:val="24"/>
          <w:lang w:val="en-GB" w:eastAsia="fr-FR"/>
        </w:rPr>
        <w:t xml:space="preserve"> intended to directly combat poverty and exclusion</w:t>
      </w:r>
      <w:r w:rsidR="00CF60EC" w:rsidRPr="000B7C13">
        <w:rPr>
          <w:rFonts w:asciiTheme="minorHAnsi" w:hAnsiTheme="minorHAnsi" w:cs="ArialMT"/>
          <w:color w:val="444444"/>
          <w:szCs w:val="24"/>
          <w:lang w:val="en-GB" w:eastAsia="fr-FR"/>
        </w:rPr>
        <w:t xml:space="preserve"> in pilot depressed areas</w:t>
      </w:r>
      <w:r w:rsidR="00872A11" w:rsidRPr="000B7C13">
        <w:rPr>
          <w:rFonts w:asciiTheme="minorHAnsi" w:hAnsiTheme="minorHAnsi" w:cs="ArialMT"/>
          <w:color w:val="444444"/>
          <w:szCs w:val="24"/>
          <w:lang w:val="en-GB" w:eastAsia="fr-FR"/>
        </w:rPr>
        <w:t xml:space="preserve"> </w:t>
      </w:r>
      <w:r w:rsidR="00CF60EC" w:rsidRPr="000B7C13">
        <w:rPr>
          <w:rFonts w:asciiTheme="minorHAnsi" w:hAnsiTheme="minorHAnsi" w:cs="ArialMT"/>
          <w:color w:val="444444"/>
          <w:szCs w:val="24"/>
          <w:lang w:val="en-GB" w:eastAsia="fr-FR"/>
        </w:rPr>
        <w:t>and providing technical assistance for the formulation of pro-poor national strategies.</w:t>
      </w:r>
    </w:p>
    <w:p w:rsidR="00D62E09" w:rsidRPr="00806B7B" w:rsidRDefault="00D62E09" w:rsidP="000B7C13">
      <w:pPr>
        <w:widowControl/>
        <w:autoSpaceDE w:val="0"/>
        <w:autoSpaceDN w:val="0"/>
        <w:adjustRightInd w:val="0"/>
        <w:rPr>
          <w:rFonts w:ascii="Calibri" w:hAnsi="Calibri"/>
          <w:color w:val="000000"/>
          <w:lang w:val="en-GB"/>
        </w:rPr>
      </w:pPr>
    </w:p>
    <w:p w:rsidR="00F125FC" w:rsidRPr="00806B7B" w:rsidRDefault="00CF60EC" w:rsidP="004D088E">
      <w:pPr>
        <w:pStyle w:val="BodyText2"/>
        <w:jc w:val="both"/>
        <w:rPr>
          <w:rFonts w:ascii="Calibri" w:hAnsi="Calibri"/>
          <w:color w:val="000000"/>
          <w:sz w:val="24"/>
          <w:lang w:val="en-GB"/>
        </w:rPr>
      </w:pPr>
      <w:r w:rsidRPr="00806B7B">
        <w:rPr>
          <w:rFonts w:ascii="Calibri" w:hAnsi="Calibri"/>
          <w:color w:val="000000"/>
          <w:sz w:val="24"/>
          <w:lang w:val="en-GB"/>
        </w:rPr>
        <w:t>Th</w:t>
      </w:r>
      <w:r>
        <w:rPr>
          <w:rFonts w:ascii="Calibri" w:hAnsi="Calibri"/>
          <w:color w:val="000000"/>
          <w:sz w:val="24"/>
          <w:lang w:val="en-GB"/>
        </w:rPr>
        <w:t>is</w:t>
      </w:r>
      <w:r w:rsidRPr="00806B7B">
        <w:rPr>
          <w:rFonts w:ascii="Calibri" w:hAnsi="Calibri"/>
          <w:color w:val="000000"/>
          <w:sz w:val="24"/>
          <w:lang w:val="en-GB"/>
        </w:rPr>
        <w:t xml:space="preserve"> </w:t>
      </w:r>
      <w:r w:rsidR="00E1778C" w:rsidRPr="00806B7B">
        <w:rPr>
          <w:rFonts w:ascii="Calibri" w:hAnsi="Calibri"/>
          <w:color w:val="000000"/>
          <w:sz w:val="24"/>
          <w:lang w:val="en-GB"/>
        </w:rPr>
        <w:t xml:space="preserve">included supporting a capacity development strategy enabling public institutions and non-state actors to contribute directly to reducing poverty and exclusion, increasing citizen participation for greater </w:t>
      </w:r>
      <w:r w:rsidR="00E1778C" w:rsidRPr="000B7C13">
        <w:rPr>
          <w:rFonts w:ascii="Calibri" w:hAnsi="Calibri"/>
          <w:sz w:val="24"/>
          <w:lang w:val="en-GB"/>
        </w:rPr>
        <w:t xml:space="preserve">transparency, women economic empowerment and improving performance by establishment of a monitoring and evaluation system. </w:t>
      </w:r>
      <w:r w:rsidR="00143EB4" w:rsidRPr="000B7C13">
        <w:rPr>
          <w:rFonts w:ascii="Calibri" w:hAnsi="Calibri"/>
          <w:b/>
          <w:sz w:val="24"/>
          <w:lang w:val="en-GB"/>
        </w:rPr>
        <w:t>Achievements include:</w:t>
      </w:r>
      <w:r w:rsidR="00143EB4" w:rsidRPr="000B7C13">
        <w:rPr>
          <w:rFonts w:ascii="Calibri" w:hAnsi="Calibri"/>
          <w:sz w:val="24"/>
          <w:lang w:val="en-GB"/>
        </w:rPr>
        <w:t xml:space="preserve"> </w:t>
      </w:r>
      <w:r w:rsidR="00EA4739" w:rsidRPr="000B7C13">
        <w:rPr>
          <w:rFonts w:ascii="Calibri" w:hAnsi="Calibri"/>
          <w:sz w:val="24"/>
          <w:lang w:val="en-GB"/>
        </w:rPr>
        <w:t>Development of the Marshall Plan against Poverty</w:t>
      </w:r>
      <w:r w:rsidRPr="000B7C13">
        <w:rPr>
          <w:rFonts w:ascii="Calibri" w:hAnsi="Calibri"/>
          <w:sz w:val="24"/>
          <w:lang w:val="en-GB"/>
        </w:rPr>
        <w:t xml:space="preserve"> and implementation of nation-wide </w:t>
      </w:r>
      <w:r w:rsidRPr="000B7C13">
        <w:rPr>
          <w:rFonts w:ascii="ArialMT" w:hAnsi="ArialMT" w:cs="ArialMT"/>
          <w:szCs w:val="24"/>
          <w:lang w:val="en-GB" w:eastAsia="fr-FR"/>
        </w:rPr>
        <w:t>training programme under the National Common Strategy of NGO, including sensitization activities to fight gender-based violence and alcoholism.</w:t>
      </w:r>
      <w:r w:rsidR="006E166E" w:rsidRPr="000B7C13">
        <w:rPr>
          <w:rFonts w:ascii="Calibri" w:hAnsi="Calibri"/>
          <w:sz w:val="24"/>
          <w:lang w:val="en-GB"/>
        </w:rPr>
        <w:t xml:space="preserve">. </w:t>
      </w:r>
      <w:r w:rsidR="006A4666" w:rsidRPr="000B7C13">
        <w:rPr>
          <w:rFonts w:ascii="Calibri" w:hAnsi="Calibri"/>
          <w:sz w:val="24"/>
          <w:lang w:val="en-GB"/>
        </w:rPr>
        <w:t>Despite these achievements increasing inequality and poverty remains, with women headed households and the youth facing the major brunt. Women still remain underrepresen</w:t>
      </w:r>
      <w:r w:rsidR="00980878" w:rsidRPr="000B7C13">
        <w:rPr>
          <w:rFonts w:ascii="Calibri" w:hAnsi="Calibri"/>
          <w:sz w:val="24"/>
          <w:lang w:val="en-GB"/>
        </w:rPr>
        <w:t xml:space="preserve">ted </w:t>
      </w:r>
      <w:r w:rsidR="00980878" w:rsidRPr="000B7C13">
        <w:rPr>
          <w:rFonts w:ascii="Calibri" w:hAnsi="Calibri"/>
          <w:color w:val="000000"/>
          <w:sz w:val="24"/>
          <w:lang w:val="en-GB"/>
        </w:rPr>
        <w:t>in decision making bodies (</w:t>
      </w:r>
      <w:r w:rsidR="00B40BDB" w:rsidRPr="000B7C13">
        <w:rPr>
          <w:rFonts w:ascii="Calibri" w:hAnsi="Calibri"/>
          <w:color w:val="000000"/>
          <w:sz w:val="24"/>
          <w:lang w:val="en-GB"/>
        </w:rPr>
        <w:t>12% in parliament</w:t>
      </w:r>
      <w:r w:rsidR="00F2190D" w:rsidRPr="000B7C13">
        <w:rPr>
          <w:rFonts w:ascii="Calibri" w:hAnsi="Calibri"/>
          <w:color w:val="000000"/>
          <w:sz w:val="24"/>
          <w:lang w:val="en-GB"/>
        </w:rPr>
        <w:t>,</w:t>
      </w:r>
      <w:r w:rsidR="00C678FE" w:rsidRPr="000B7C13">
        <w:rPr>
          <w:rFonts w:ascii="Calibri" w:hAnsi="Calibri"/>
          <w:color w:val="000000"/>
          <w:sz w:val="24"/>
          <w:lang w:val="en-GB"/>
        </w:rPr>
        <w:t>, 5.6% corporate boards- Mauritius Gender Statistics</w:t>
      </w:r>
      <w:r w:rsidR="00B40BDB" w:rsidRPr="000B7C13">
        <w:rPr>
          <w:rFonts w:ascii="Calibri" w:hAnsi="Calibri"/>
          <w:color w:val="000000"/>
          <w:sz w:val="24"/>
          <w:lang w:val="en-GB"/>
        </w:rPr>
        <w:t xml:space="preserve">) and gender based violence </w:t>
      </w:r>
      <w:r w:rsidR="00C678FE" w:rsidRPr="000B7C13">
        <w:rPr>
          <w:rFonts w:ascii="Calibri" w:hAnsi="Calibri"/>
          <w:color w:val="000000"/>
          <w:sz w:val="24"/>
          <w:lang w:val="en-GB"/>
        </w:rPr>
        <w:t>also still persist with 24% of women reporting to have experienced some form of Gender-Based Violence (Gender Links: 2012).</w:t>
      </w:r>
      <w:r w:rsidR="00C678FE" w:rsidRPr="00806B7B">
        <w:rPr>
          <w:rFonts w:ascii="Calibri" w:hAnsi="Calibri"/>
          <w:color w:val="000000"/>
          <w:sz w:val="24"/>
          <w:lang w:val="en-GB"/>
        </w:rPr>
        <w:t xml:space="preserve"> </w:t>
      </w:r>
      <w:r w:rsidR="006A4666" w:rsidRPr="00806B7B">
        <w:rPr>
          <w:rFonts w:ascii="Calibri" w:hAnsi="Calibri"/>
          <w:color w:val="000000"/>
          <w:sz w:val="24"/>
          <w:lang w:val="en-GB"/>
        </w:rPr>
        <w:t xml:space="preserve">  </w:t>
      </w:r>
    </w:p>
    <w:p w:rsidR="006A4666" w:rsidRPr="00806B7B" w:rsidRDefault="006A4666" w:rsidP="004D088E">
      <w:pPr>
        <w:pStyle w:val="BodyText2"/>
        <w:jc w:val="both"/>
        <w:rPr>
          <w:rFonts w:ascii="Calibri" w:hAnsi="Calibri"/>
          <w:color w:val="000000"/>
          <w:sz w:val="24"/>
          <w:lang w:val="en-GB"/>
        </w:rPr>
      </w:pPr>
    </w:p>
    <w:p w:rsidR="00F826EC" w:rsidRPr="00806B7B" w:rsidRDefault="00294D6C" w:rsidP="00D7448D">
      <w:pPr>
        <w:jc w:val="both"/>
        <w:rPr>
          <w:rFonts w:ascii="Calibri" w:hAnsi="Calibri"/>
          <w:lang w:val="en-GB"/>
        </w:rPr>
      </w:pPr>
      <w:r w:rsidRPr="00806B7B">
        <w:rPr>
          <w:rFonts w:ascii="Calibri" w:hAnsi="Calibri"/>
          <w:color w:val="000000"/>
          <w:lang w:val="en-GB"/>
        </w:rPr>
        <w:t>In the third are</w:t>
      </w:r>
      <w:r w:rsidR="00DD74F3" w:rsidRPr="00806B7B">
        <w:rPr>
          <w:rFonts w:ascii="Calibri" w:hAnsi="Calibri"/>
          <w:color w:val="000000"/>
          <w:lang w:val="en-GB"/>
        </w:rPr>
        <w:t>a</w:t>
      </w:r>
      <w:r w:rsidRPr="00806B7B">
        <w:rPr>
          <w:rFonts w:ascii="Calibri" w:hAnsi="Calibri"/>
          <w:color w:val="000000"/>
          <w:lang w:val="en-GB"/>
        </w:rPr>
        <w:t xml:space="preserve"> </w:t>
      </w:r>
      <w:r w:rsidR="00B62537" w:rsidRPr="00806B7B">
        <w:rPr>
          <w:rFonts w:ascii="Calibri" w:hAnsi="Calibri"/>
          <w:b/>
          <w:color w:val="000000"/>
          <w:lang w:val="en-GB"/>
        </w:rPr>
        <w:t>Environmental and Sustainable Development</w:t>
      </w:r>
      <w:r w:rsidR="004D088E" w:rsidRPr="00806B7B">
        <w:rPr>
          <w:rFonts w:ascii="Calibri" w:hAnsi="Calibri"/>
          <w:color w:val="000000"/>
          <w:lang w:val="en-GB"/>
        </w:rPr>
        <w:t xml:space="preserve"> support was focused in development of a green economy that ensures decent work, social inclusion and gende</w:t>
      </w:r>
      <w:r w:rsidR="008B2014" w:rsidRPr="00806B7B">
        <w:rPr>
          <w:rFonts w:ascii="Calibri" w:hAnsi="Calibri"/>
          <w:color w:val="000000"/>
          <w:lang w:val="en-GB"/>
        </w:rPr>
        <w:t>r equality</w:t>
      </w:r>
      <w:r w:rsidR="008B2014" w:rsidRPr="00806B7B">
        <w:rPr>
          <w:rFonts w:ascii="Calibri" w:hAnsi="Calibri"/>
          <w:b/>
          <w:color w:val="000000"/>
          <w:lang w:val="en-GB"/>
        </w:rPr>
        <w:t>.  Achievements include</w:t>
      </w:r>
      <w:r w:rsidR="008B2014" w:rsidRPr="00806B7B">
        <w:rPr>
          <w:rFonts w:ascii="Calibri" w:hAnsi="Calibri"/>
          <w:color w:val="000000"/>
          <w:lang w:val="en-GB"/>
        </w:rPr>
        <w:t xml:space="preserve">: </w:t>
      </w:r>
      <w:r w:rsidR="00C11BF6" w:rsidRPr="00806B7B">
        <w:rPr>
          <w:rFonts w:ascii="Calibri" w:hAnsi="Calibri"/>
          <w:color w:val="000000"/>
          <w:lang w:val="en-GB"/>
        </w:rPr>
        <w:t>53,481 tCO2 of direct emissions reductions due to the establishment of a feed-in tariff. This was above the target of 42,000 tonnes of CO</w:t>
      </w:r>
      <w:r w:rsidR="00C11BF6" w:rsidRPr="00806B7B">
        <w:rPr>
          <w:rFonts w:ascii="Calibri" w:hAnsi="Calibri"/>
          <w:color w:val="000000"/>
          <w:vertAlign w:val="subscript"/>
          <w:lang w:val="en-GB"/>
        </w:rPr>
        <w:t>2</w:t>
      </w:r>
      <w:r w:rsidR="00C11BF6" w:rsidRPr="00806B7B">
        <w:rPr>
          <w:rFonts w:ascii="Calibri" w:hAnsi="Calibri"/>
          <w:color w:val="000000"/>
          <w:lang w:val="en-GB"/>
        </w:rPr>
        <w:t xml:space="preserve"> emissions, e</w:t>
      </w:r>
      <w:r w:rsidR="00161FC8" w:rsidRPr="00806B7B">
        <w:rPr>
          <w:rFonts w:ascii="Calibri" w:hAnsi="Calibri"/>
          <w:color w:val="000000"/>
          <w:lang w:val="en-GB"/>
        </w:rPr>
        <w:t>nergy production increased from 0.2 ktoe in 2013 to 2.1 ktoe in 2014 and 5 x 2 Mega Watts of Photo Voltaic (PV - solar) installed and produces electricity for domestic purposes. 2</w:t>
      </w:r>
      <w:r w:rsidR="00D62E09" w:rsidRPr="00806B7B">
        <w:rPr>
          <w:rFonts w:ascii="Calibri" w:hAnsi="Calibri"/>
          <w:color w:val="000000"/>
          <w:lang w:val="en-GB"/>
        </w:rPr>
        <w:t>,</w:t>
      </w:r>
      <w:r w:rsidR="00161FC8" w:rsidRPr="00806B7B">
        <w:rPr>
          <w:rFonts w:ascii="Calibri" w:hAnsi="Calibri"/>
          <w:color w:val="000000"/>
          <w:lang w:val="en-GB"/>
        </w:rPr>
        <w:t>000 households now have access to renewable energy. D</w:t>
      </w:r>
      <w:r w:rsidR="00804163" w:rsidRPr="00806B7B">
        <w:rPr>
          <w:rFonts w:ascii="Calibri" w:hAnsi="Calibri"/>
          <w:color w:val="000000"/>
          <w:lang w:val="en-GB"/>
        </w:rPr>
        <w:t>evelopment of a national Early Warning System for the Mauritius Meteorological Service</w:t>
      </w:r>
      <w:r w:rsidR="0017263C" w:rsidRPr="00806B7B">
        <w:rPr>
          <w:rFonts w:ascii="Calibri" w:hAnsi="Calibri"/>
          <w:color w:val="000000"/>
          <w:lang w:val="en-GB"/>
        </w:rPr>
        <w:t>,</w:t>
      </w:r>
      <w:r w:rsidR="000B7C13">
        <w:rPr>
          <w:rFonts w:ascii="Calibri" w:hAnsi="Calibri"/>
          <w:color w:val="000000"/>
          <w:lang w:val="en-GB"/>
        </w:rPr>
        <w:t xml:space="preserve"> </w:t>
      </w:r>
      <w:r w:rsidR="0017263C" w:rsidRPr="00806B7B">
        <w:rPr>
          <w:rFonts w:ascii="Calibri" w:hAnsi="Calibri"/>
          <w:color w:val="000000"/>
          <w:lang w:val="en-GB"/>
        </w:rPr>
        <w:t xml:space="preserve">the first of </w:t>
      </w:r>
      <w:r w:rsidR="00B0588C" w:rsidRPr="00B0588C">
        <w:rPr>
          <w:rFonts w:ascii="Calibri" w:hAnsi="Calibri"/>
          <w:color w:val="000000"/>
          <w:lang w:val="en-GB"/>
        </w:rPr>
        <w:t>its</w:t>
      </w:r>
      <w:r w:rsidR="0017263C" w:rsidRPr="00806B7B">
        <w:rPr>
          <w:rFonts w:ascii="Calibri" w:hAnsi="Calibri"/>
          <w:color w:val="000000"/>
          <w:lang w:val="en-GB"/>
        </w:rPr>
        <w:t xml:space="preserve"> kind in a SIDS</w:t>
      </w:r>
      <w:r w:rsidR="00804163" w:rsidRPr="00806B7B">
        <w:rPr>
          <w:rFonts w:ascii="Calibri" w:hAnsi="Calibri"/>
          <w:color w:val="000000"/>
          <w:lang w:val="en-GB"/>
        </w:rPr>
        <w:t xml:space="preserve">. </w:t>
      </w:r>
      <w:r w:rsidR="00183D4C" w:rsidRPr="00806B7B">
        <w:rPr>
          <w:rFonts w:ascii="Calibri" w:hAnsi="Calibri"/>
          <w:color w:val="000000"/>
          <w:lang w:val="en-GB"/>
        </w:rPr>
        <w:t xml:space="preserve">Control of invasive </w:t>
      </w:r>
      <w:r w:rsidR="00980878" w:rsidRPr="00806B7B">
        <w:rPr>
          <w:rFonts w:ascii="Calibri" w:hAnsi="Calibri"/>
          <w:color w:val="000000"/>
          <w:lang w:val="en-GB"/>
        </w:rPr>
        <w:t>alien species through partnership with the private sector, private landowners and NGOs. A national chemical profile and action plan has been developed</w:t>
      </w:r>
      <w:r w:rsidR="00161FC8" w:rsidRPr="00806B7B">
        <w:rPr>
          <w:rFonts w:ascii="Calibri" w:hAnsi="Calibri"/>
          <w:color w:val="000000"/>
          <w:lang w:val="en-GB"/>
        </w:rPr>
        <w:t xml:space="preserve"> for improved waste management.</w:t>
      </w:r>
      <w:r w:rsidR="00980878" w:rsidRPr="00806B7B">
        <w:rPr>
          <w:rFonts w:ascii="Calibri" w:hAnsi="Calibri"/>
          <w:color w:val="000000"/>
          <w:lang w:val="en-GB"/>
        </w:rPr>
        <w:t xml:space="preserve"> </w:t>
      </w:r>
      <w:r w:rsidR="00F528E4" w:rsidRPr="00806B7B">
        <w:rPr>
          <w:rFonts w:ascii="Calibri" w:hAnsi="Calibri"/>
          <w:color w:val="000000"/>
          <w:lang w:val="en-GB"/>
        </w:rPr>
        <w:t>320</w:t>
      </w:r>
      <w:r w:rsidR="0017263C" w:rsidRPr="00806B7B">
        <w:rPr>
          <w:rFonts w:ascii="Calibri" w:hAnsi="Calibri"/>
          <w:color w:val="000000"/>
          <w:lang w:val="en-GB"/>
        </w:rPr>
        <w:t xml:space="preserve"> </w:t>
      </w:r>
      <w:r w:rsidR="00F528E4" w:rsidRPr="00806B7B">
        <w:rPr>
          <w:rFonts w:ascii="Calibri" w:hAnsi="Calibri"/>
          <w:color w:val="000000"/>
          <w:lang w:val="en-GB"/>
        </w:rPr>
        <w:t>ha of land cleared of Invasive Alien Species</w:t>
      </w:r>
      <w:r w:rsidR="00E327C3" w:rsidRPr="00806B7B">
        <w:rPr>
          <w:rFonts w:ascii="Calibri" w:hAnsi="Calibri"/>
          <w:color w:val="000000"/>
          <w:lang w:val="en-GB"/>
        </w:rPr>
        <w:t>.</w:t>
      </w:r>
      <w:r w:rsidR="004C6820" w:rsidRPr="00806B7B">
        <w:rPr>
          <w:rFonts w:ascii="Calibri" w:hAnsi="Calibri"/>
          <w:color w:val="000000"/>
          <w:lang w:val="en-GB"/>
        </w:rPr>
        <w:t xml:space="preserve"> </w:t>
      </w:r>
      <w:r w:rsidR="00C11BF6" w:rsidRPr="00806B7B">
        <w:rPr>
          <w:rFonts w:ascii="Calibri" w:hAnsi="Calibri"/>
          <w:color w:val="000000"/>
          <w:lang w:val="en-GB"/>
        </w:rPr>
        <w:t>Delay in project imple</w:t>
      </w:r>
      <w:r w:rsidR="00890212" w:rsidRPr="00806B7B">
        <w:rPr>
          <w:rFonts w:ascii="Calibri" w:hAnsi="Calibri"/>
          <w:color w:val="000000"/>
          <w:lang w:val="en-GB"/>
        </w:rPr>
        <w:t xml:space="preserve">mentation due to a combination of </w:t>
      </w:r>
      <w:r w:rsidR="00915883" w:rsidRPr="00806B7B">
        <w:rPr>
          <w:rFonts w:ascii="Calibri" w:hAnsi="Calibri"/>
          <w:color w:val="000000"/>
          <w:lang w:val="en-GB"/>
        </w:rPr>
        <w:t xml:space="preserve">inefficient national implementation management </w:t>
      </w:r>
      <w:r w:rsidR="003308B4" w:rsidRPr="00806B7B">
        <w:rPr>
          <w:rFonts w:ascii="Calibri" w:hAnsi="Calibri"/>
          <w:color w:val="000000"/>
          <w:lang w:val="en-GB"/>
        </w:rPr>
        <w:t xml:space="preserve">and </w:t>
      </w:r>
      <w:r w:rsidR="00915883" w:rsidRPr="00806B7B">
        <w:rPr>
          <w:rFonts w:ascii="Calibri" w:hAnsi="Calibri"/>
          <w:color w:val="000000"/>
          <w:lang w:val="en-GB"/>
        </w:rPr>
        <w:t xml:space="preserve">overly optimistic project designs </w:t>
      </w:r>
      <w:r w:rsidR="00890212" w:rsidRPr="00806B7B">
        <w:rPr>
          <w:rFonts w:ascii="Calibri" w:hAnsi="Calibri"/>
          <w:color w:val="000000"/>
          <w:lang w:val="en-GB"/>
        </w:rPr>
        <w:t>has affected achievement of</w:t>
      </w:r>
      <w:r w:rsidR="00C11BF6" w:rsidRPr="00806B7B">
        <w:rPr>
          <w:rFonts w:ascii="Calibri" w:hAnsi="Calibri"/>
          <w:color w:val="000000"/>
          <w:lang w:val="en-GB"/>
        </w:rPr>
        <w:t xml:space="preserve"> most of the programme results</w:t>
      </w:r>
      <w:r w:rsidR="003308B4" w:rsidRPr="00806B7B">
        <w:rPr>
          <w:rFonts w:ascii="Calibri" w:hAnsi="Calibri"/>
          <w:color w:val="000000"/>
          <w:lang w:val="en-GB"/>
        </w:rPr>
        <w:t>.</w:t>
      </w:r>
      <w:r w:rsidR="00186A73" w:rsidRPr="00806B7B">
        <w:rPr>
          <w:rFonts w:ascii="Calibri" w:hAnsi="Calibri"/>
          <w:color w:val="000000"/>
          <w:lang w:val="en-GB"/>
        </w:rPr>
        <w:t xml:space="preserve"> </w:t>
      </w:r>
    </w:p>
    <w:p w:rsidR="00E770DC" w:rsidRPr="00806B7B" w:rsidRDefault="00E770DC" w:rsidP="00E770DC">
      <w:pPr>
        <w:pStyle w:val="BodyText2"/>
        <w:rPr>
          <w:rFonts w:ascii="Times New Roman" w:hAnsi="Times New Roman"/>
          <w:sz w:val="24"/>
          <w:lang w:val="en-GB"/>
        </w:rPr>
      </w:pPr>
    </w:p>
    <w:p w:rsidR="0037523B" w:rsidRPr="00806B7B" w:rsidRDefault="0037523B" w:rsidP="00975566">
      <w:pPr>
        <w:pStyle w:val="BodyText2"/>
        <w:jc w:val="center"/>
        <w:rPr>
          <w:rFonts w:ascii="Times New Roman" w:hAnsi="Times New Roman"/>
          <w:b/>
          <w:sz w:val="24"/>
          <w:lang w:val="en-GB"/>
        </w:rPr>
      </w:pPr>
    </w:p>
    <w:p w:rsidR="0037523B" w:rsidRPr="00806B7B" w:rsidRDefault="0037523B" w:rsidP="00975566">
      <w:pPr>
        <w:pStyle w:val="BodyText2"/>
        <w:jc w:val="center"/>
        <w:rPr>
          <w:rFonts w:ascii="Times New Roman" w:hAnsi="Times New Roman"/>
          <w:b/>
          <w:sz w:val="24"/>
          <w:lang w:val="en-GB"/>
        </w:rPr>
      </w:pPr>
    </w:p>
    <w:p w:rsidR="0037523B" w:rsidRPr="00806B7B" w:rsidRDefault="0037523B" w:rsidP="00975566">
      <w:pPr>
        <w:pStyle w:val="BodyText2"/>
        <w:jc w:val="center"/>
        <w:rPr>
          <w:rFonts w:ascii="Times New Roman" w:hAnsi="Times New Roman"/>
          <w:b/>
          <w:sz w:val="24"/>
          <w:lang w:val="en-GB"/>
        </w:rPr>
      </w:pPr>
    </w:p>
    <w:p w:rsidR="0037523B" w:rsidRPr="00806B7B" w:rsidRDefault="0037523B" w:rsidP="00975566">
      <w:pPr>
        <w:pStyle w:val="BodyText2"/>
        <w:jc w:val="center"/>
        <w:rPr>
          <w:rFonts w:ascii="Times New Roman" w:hAnsi="Times New Roman"/>
          <w:b/>
          <w:sz w:val="24"/>
          <w:lang w:val="en-GB"/>
        </w:rPr>
        <w:sectPr w:rsidR="0037523B" w:rsidRPr="00806B7B">
          <w:footerReference w:type="default" r:id="rId8"/>
          <w:endnotePr>
            <w:numFmt w:val="decimal"/>
          </w:endnotePr>
          <w:pgSz w:w="11907" w:h="16840" w:code="9"/>
          <w:pgMar w:top="1440" w:right="1440" w:bottom="1440" w:left="1440" w:header="720" w:footer="720" w:gutter="0"/>
          <w:cols w:space="720"/>
        </w:sectPr>
      </w:pPr>
    </w:p>
    <w:p w:rsidR="00975566" w:rsidRPr="00806B7B" w:rsidRDefault="006900FE" w:rsidP="008440D9">
      <w:pPr>
        <w:pStyle w:val="Heading3"/>
        <w:jc w:val="left"/>
        <w:rPr>
          <w:rFonts w:ascii="Calibri" w:hAnsi="Calibri"/>
          <w:b/>
          <w:lang w:val="en-GB"/>
        </w:rPr>
      </w:pPr>
      <w:r w:rsidRPr="00806B7B">
        <w:rPr>
          <w:rFonts w:ascii="Calibri" w:hAnsi="Calibri"/>
          <w:b/>
          <w:lang w:val="en-GB"/>
        </w:rPr>
        <w:lastRenderedPageBreak/>
        <w:t>II</w:t>
      </w:r>
      <w:r w:rsidR="0081403B" w:rsidRPr="00806B7B">
        <w:rPr>
          <w:rFonts w:ascii="Calibri" w:hAnsi="Calibri"/>
          <w:b/>
          <w:lang w:val="en-GB"/>
        </w:rPr>
        <w:t xml:space="preserve">: </w:t>
      </w:r>
      <w:r w:rsidR="000C09B4" w:rsidRPr="00806B7B">
        <w:rPr>
          <w:rFonts w:ascii="Calibri" w:hAnsi="Calibri"/>
          <w:b/>
          <w:lang w:val="en-GB"/>
        </w:rPr>
        <w:t xml:space="preserve">Country Programme Performance </w:t>
      </w:r>
      <w:r w:rsidR="00975566" w:rsidRPr="00806B7B">
        <w:rPr>
          <w:rFonts w:ascii="Calibri" w:hAnsi="Calibri"/>
          <w:b/>
          <w:lang w:val="en-GB"/>
        </w:rPr>
        <w:t>Summary</w:t>
      </w:r>
    </w:p>
    <w:p w:rsidR="00DC7354" w:rsidRPr="00806B7B" w:rsidRDefault="00DC7354" w:rsidP="00975566">
      <w:pPr>
        <w:pStyle w:val="BodyText2"/>
        <w:jc w:val="center"/>
        <w:rPr>
          <w:rFonts w:ascii="Times New Roman" w:hAnsi="Times New Roman"/>
          <w:b/>
          <w:sz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806B7B" w:rsidTr="009E7526">
        <w:tc>
          <w:tcPr>
            <w:tcW w:w="3150" w:type="dxa"/>
            <w:gridSpan w:val="2"/>
            <w:tcBorders>
              <w:right w:val="nil"/>
            </w:tcBorders>
            <w:shd w:val="clear" w:color="auto" w:fill="FFC000"/>
          </w:tcPr>
          <w:p w:rsidR="00CB647D" w:rsidRPr="00806B7B" w:rsidRDefault="00CB647D">
            <w:pPr>
              <w:pStyle w:val="BodyText2"/>
              <w:rPr>
                <w:rFonts w:ascii="Calibri" w:hAnsi="Calibri"/>
                <w:b/>
                <w:lang w:val="en-GB"/>
              </w:rPr>
            </w:pPr>
            <w:r w:rsidRPr="00806B7B">
              <w:rPr>
                <w:rFonts w:ascii="Calibri" w:hAnsi="Calibri"/>
                <w:b/>
                <w:lang w:val="en-GB"/>
              </w:rPr>
              <w:t>Country information</w:t>
            </w:r>
          </w:p>
        </w:tc>
        <w:tc>
          <w:tcPr>
            <w:tcW w:w="10890" w:type="dxa"/>
            <w:gridSpan w:val="3"/>
            <w:tcBorders>
              <w:left w:val="nil"/>
            </w:tcBorders>
            <w:shd w:val="clear" w:color="auto" w:fill="FFC000"/>
          </w:tcPr>
          <w:p w:rsidR="00CB647D" w:rsidRPr="00806B7B" w:rsidRDefault="00CB647D">
            <w:pPr>
              <w:pStyle w:val="BodyText2"/>
              <w:rPr>
                <w:rFonts w:ascii="Calibri" w:hAnsi="Calibri"/>
                <w:b/>
                <w:lang w:val="en-GB"/>
              </w:rPr>
            </w:pPr>
          </w:p>
        </w:tc>
      </w:tr>
      <w:tr w:rsidR="009B76A1" w:rsidRPr="00806B7B" w:rsidTr="00704406">
        <w:tc>
          <w:tcPr>
            <w:tcW w:w="14040" w:type="dxa"/>
            <w:gridSpan w:val="5"/>
          </w:tcPr>
          <w:p w:rsidR="009B76A1" w:rsidRPr="00806B7B" w:rsidRDefault="009B76A1">
            <w:pPr>
              <w:pStyle w:val="BodyText2"/>
              <w:rPr>
                <w:rFonts w:ascii="Calibri" w:hAnsi="Calibri"/>
                <w:b/>
                <w:lang w:val="en-GB"/>
              </w:rPr>
            </w:pPr>
            <w:r w:rsidRPr="00806B7B">
              <w:rPr>
                <w:rFonts w:ascii="Calibri" w:hAnsi="Calibri"/>
                <w:b/>
                <w:lang w:val="en-GB"/>
              </w:rPr>
              <w:t>Country name:</w:t>
            </w:r>
            <w:r w:rsidR="00431C34" w:rsidRPr="00806B7B">
              <w:rPr>
                <w:rFonts w:ascii="Calibri" w:hAnsi="Calibri"/>
                <w:b/>
                <w:lang w:val="en-GB"/>
              </w:rPr>
              <w:t xml:space="preserve"> Mauritius</w:t>
            </w:r>
          </w:p>
        </w:tc>
      </w:tr>
      <w:tr w:rsidR="009B76A1" w:rsidRPr="00806B7B" w:rsidTr="00704406">
        <w:tc>
          <w:tcPr>
            <w:tcW w:w="14040" w:type="dxa"/>
            <w:gridSpan w:val="5"/>
          </w:tcPr>
          <w:p w:rsidR="009B76A1" w:rsidRPr="00806B7B" w:rsidRDefault="009B76A1">
            <w:pPr>
              <w:pStyle w:val="BodyText2"/>
              <w:rPr>
                <w:rFonts w:ascii="Calibri" w:hAnsi="Calibri"/>
                <w:b/>
                <w:lang w:val="en-GB"/>
              </w:rPr>
            </w:pPr>
            <w:r w:rsidRPr="00806B7B">
              <w:rPr>
                <w:rFonts w:ascii="Calibri" w:hAnsi="Calibri"/>
                <w:b/>
                <w:lang w:val="en-GB"/>
              </w:rPr>
              <w:t>Current country programme period:</w:t>
            </w:r>
            <w:r w:rsidR="00497A06" w:rsidRPr="00806B7B">
              <w:rPr>
                <w:rFonts w:ascii="Calibri" w:hAnsi="Calibri"/>
                <w:b/>
                <w:lang w:val="en-GB"/>
              </w:rPr>
              <w:t xml:space="preserve"> 2013- 2016</w:t>
            </w:r>
            <w:r w:rsidR="001B1BAB" w:rsidRPr="00806B7B">
              <w:rPr>
                <w:rFonts w:ascii="Calibri" w:hAnsi="Calibri"/>
                <w:b/>
                <w:lang w:val="en-GB"/>
              </w:rPr>
              <w:t xml:space="preserve"> </w:t>
            </w:r>
          </w:p>
        </w:tc>
      </w:tr>
      <w:tr w:rsidR="003B037A" w:rsidRPr="00806B7B" w:rsidTr="009E7526">
        <w:tc>
          <w:tcPr>
            <w:tcW w:w="3150" w:type="dxa"/>
            <w:gridSpan w:val="2"/>
          </w:tcPr>
          <w:p w:rsidR="003B037A" w:rsidRPr="00806B7B" w:rsidRDefault="003B037A">
            <w:pPr>
              <w:pStyle w:val="BodyText2"/>
              <w:rPr>
                <w:rFonts w:ascii="Calibri" w:hAnsi="Calibri"/>
                <w:b/>
                <w:lang w:val="en-GB"/>
              </w:rPr>
            </w:pPr>
            <w:r w:rsidRPr="00806B7B">
              <w:rPr>
                <w:rFonts w:ascii="Calibri" w:hAnsi="Calibri"/>
                <w:b/>
                <w:lang w:val="en-GB"/>
              </w:rPr>
              <w:t>Outcome</w:t>
            </w:r>
            <w:r w:rsidR="00700521" w:rsidRPr="00806B7B">
              <w:rPr>
                <w:rFonts w:ascii="Calibri" w:hAnsi="Calibri"/>
                <w:b/>
                <w:lang w:val="en-GB"/>
              </w:rPr>
              <w:t>s</w:t>
            </w:r>
          </w:p>
        </w:tc>
        <w:tc>
          <w:tcPr>
            <w:tcW w:w="1440" w:type="dxa"/>
            <w:shd w:val="clear" w:color="auto" w:fill="auto"/>
          </w:tcPr>
          <w:p w:rsidR="003B037A" w:rsidRPr="00806B7B" w:rsidRDefault="003B037A">
            <w:pPr>
              <w:pStyle w:val="BodyText2"/>
              <w:rPr>
                <w:rFonts w:ascii="Calibri" w:hAnsi="Calibri"/>
                <w:b/>
                <w:lang w:val="en-GB"/>
              </w:rPr>
            </w:pPr>
            <w:r w:rsidRPr="00806B7B">
              <w:rPr>
                <w:rFonts w:ascii="Calibri" w:hAnsi="Calibri"/>
                <w:b/>
                <w:lang w:val="en-GB"/>
              </w:rPr>
              <w:t>Total Expenditure</w:t>
            </w:r>
          </w:p>
        </w:tc>
        <w:tc>
          <w:tcPr>
            <w:tcW w:w="3960" w:type="dxa"/>
            <w:tcBorders>
              <w:left w:val="single" w:sz="4" w:space="0" w:color="auto"/>
            </w:tcBorders>
          </w:tcPr>
          <w:p w:rsidR="003B037A" w:rsidRPr="00806B7B" w:rsidRDefault="003B037A">
            <w:pPr>
              <w:pStyle w:val="BodyText2"/>
              <w:rPr>
                <w:rFonts w:ascii="Calibri" w:hAnsi="Calibri"/>
                <w:b/>
                <w:lang w:val="en-GB"/>
              </w:rPr>
            </w:pPr>
            <w:r w:rsidRPr="00806B7B">
              <w:rPr>
                <w:rFonts w:ascii="Calibri" w:hAnsi="Calibri"/>
                <w:b/>
                <w:lang w:val="en-GB"/>
              </w:rPr>
              <w:t>Key Indicators of outcome (1-4 per outcome)</w:t>
            </w:r>
          </w:p>
        </w:tc>
        <w:tc>
          <w:tcPr>
            <w:tcW w:w="5490" w:type="dxa"/>
          </w:tcPr>
          <w:p w:rsidR="003B037A" w:rsidRPr="00806B7B" w:rsidRDefault="003B037A">
            <w:pPr>
              <w:pStyle w:val="BodyText2"/>
              <w:rPr>
                <w:rFonts w:ascii="Calibri" w:hAnsi="Calibri"/>
                <w:b/>
                <w:lang w:val="en-GB"/>
              </w:rPr>
            </w:pPr>
            <w:r w:rsidRPr="00806B7B">
              <w:rPr>
                <w:rFonts w:ascii="Calibri" w:hAnsi="Calibri"/>
                <w:b/>
                <w:lang w:val="en-GB"/>
              </w:rPr>
              <w:t>Progress made against key indicators</w:t>
            </w:r>
          </w:p>
        </w:tc>
      </w:tr>
      <w:tr w:rsidR="000823AC" w:rsidRPr="00806B7B" w:rsidTr="000823AC">
        <w:tc>
          <w:tcPr>
            <w:tcW w:w="3150" w:type="dxa"/>
            <w:gridSpan w:val="2"/>
            <w:tcBorders>
              <w:bottom w:val="single" w:sz="4" w:space="0" w:color="auto"/>
            </w:tcBorders>
            <w:shd w:val="clear" w:color="auto" w:fill="95B3D7"/>
          </w:tcPr>
          <w:p w:rsidR="003B037A" w:rsidRPr="00806B7B" w:rsidRDefault="005638CB" w:rsidP="003378F0">
            <w:pPr>
              <w:pStyle w:val="BodyText2"/>
              <w:rPr>
                <w:rFonts w:ascii="Calibri" w:hAnsi="Calibri"/>
                <w:b/>
                <w:lang w:val="en-GB"/>
              </w:rPr>
            </w:pPr>
            <w:r w:rsidRPr="00806B7B">
              <w:rPr>
                <w:rFonts w:ascii="Calibri" w:hAnsi="Calibri"/>
                <w:b/>
                <w:lang w:val="en-GB"/>
              </w:rPr>
              <w:t>26</w:t>
            </w:r>
            <w:r w:rsidR="003378F0" w:rsidRPr="00806B7B">
              <w:rPr>
                <w:rFonts w:ascii="Calibri" w:hAnsi="Calibri"/>
                <w:b/>
                <w:lang w:val="en-GB"/>
              </w:rPr>
              <w:t>. Improved capacity of government agencies in Strategic Planning, programme-based budgeting and effective public service delivery.</w:t>
            </w:r>
          </w:p>
        </w:tc>
        <w:tc>
          <w:tcPr>
            <w:tcW w:w="1440" w:type="dxa"/>
            <w:tcBorders>
              <w:bottom w:val="single" w:sz="4" w:space="0" w:color="auto"/>
            </w:tcBorders>
            <w:shd w:val="clear" w:color="auto" w:fill="auto"/>
          </w:tcPr>
          <w:p w:rsidR="003B037A" w:rsidRPr="00806B7B" w:rsidRDefault="003B037A" w:rsidP="007F4698">
            <w:pPr>
              <w:pStyle w:val="BodyText2"/>
              <w:rPr>
                <w:rFonts w:ascii="Calibri" w:hAnsi="Calibri"/>
                <w:lang w:val="en-GB"/>
              </w:rPr>
            </w:pPr>
            <w:r w:rsidRPr="00806B7B">
              <w:rPr>
                <w:rFonts w:ascii="Calibri" w:hAnsi="Calibri"/>
                <w:lang w:val="en-GB"/>
              </w:rPr>
              <w:t>$</w:t>
            </w:r>
            <w:r w:rsidR="007F4698" w:rsidRPr="00806B7B">
              <w:rPr>
                <w:rFonts w:ascii="Calibri" w:hAnsi="Calibri"/>
                <w:lang w:val="en-GB"/>
              </w:rPr>
              <w:t>1,096.066</w:t>
            </w:r>
          </w:p>
        </w:tc>
        <w:tc>
          <w:tcPr>
            <w:tcW w:w="3960" w:type="dxa"/>
            <w:tcBorders>
              <w:left w:val="single" w:sz="4" w:space="0" w:color="auto"/>
              <w:bottom w:val="single" w:sz="4" w:space="0" w:color="auto"/>
            </w:tcBorders>
          </w:tcPr>
          <w:p w:rsidR="003B037A" w:rsidRPr="00806B7B" w:rsidRDefault="0034355C" w:rsidP="0034355C">
            <w:pPr>
              <w:pStyle w:val="BodyText2"/>
              <w:numPr>
                <w:ilvl w:val="0"/>
                <w:numId w:val="13"/>
              </w:numPr>
              <w:rPr>
                <w:rFonts w:ascii="Calibri" w:hAnsi="Calibri"/>
                <w:i/>
                <w:lang w:val="en-GB"/>
              </w:rPr>
            </w:pPr>
            <w:r w:rsidRPr="00806B7B">
              <w:rPr>
                <w:rFonts w:ascii="Calibri" w:hAnsi="Calibri"/>
                <w:i/>
                <w:lang w:val="en-GB"/>
              </w:rPr>
              <w:t>Number of ministries improving public service delivery as shown in annual report performance in outcome achieved and outputs delivered.</w:t>
            </w:r>
          </w:p>
        </w:tc>
        <w:tc>
          <w:tcPr>
            <w:tcW w:w="5490" w:type="dxa"/>
            <w:tcBorders>
              <w:bottom w:val="single" w:sz="4" w:space="0" w:color="auto"/>
            </w:tcBorders>
            <w:shd w:val="clear" w:color="auto" w:fill="auto"/>
          </w:tcPr>
          <w:p w:rsidR="005638CB" w:rsidRPr="00806B7B" w:rsidRDefault="005638CB" w:rsidP="005638CB">
            <w:pPr>
              <w:pStyle w:val="BodyText2"/>
              <w:numPr>
                <w:ilvl w:val="0"/>
                <w:numId w:val="14"/>
              </w:numPr>
              <w:jc w:val="both"/>
              <w:rPr>
                <w:rFonts w:ascii="Calibri" w:hAnsi="Calibri"/>
                <w:i/>
                <w:lang w:val="en-GB"/>
              </w:rPr>
            </w:pPr>
            <w:r w:rsidRPr="00806B7B">
              <w:rPr>
                <w:rFonts w:ascii="Calibri" w:hAnsi="Calibri"/>
                <w:lang w:val="en-GB"/>
              </w:rPr>
              <w:t>Capacity of government agencies (Ministry of Social Integration and National Empowerment Foundation) in public service delivery to the poor has been improved through the updating of the Social Register of Mauritius (SRM) database</w:t>
            </w:r>
            <w:r w:rsidR="00D0770F" w:rsidRPr="00806B7B">
              <w:rPr>
                <w:rFonts w:ascii="Calibri" w:hAnsi="Calibri"/>
                <w:lang w:val="en-GB"/>
              </w:rPr>
              <w:t>.</w:t>
            </w:r>
            <w:r w:rsidR="00D0770F" w:rsidRPr="00806B7B">
              <w:rPr>
                <w:rFonts w:cs="ArialMT"/>
                <w:color w:val="444444"/>
                <w:sz w:val="24"/>
                <w:szCs w:val="24"/>
                <w:lang w:val="en-GB"/>
              </w:rPr>
              <w:t xml:space="preserve"> </w:t>
            </w:r>
            <w:r w:rsidR="00D0770F" w:rsidRPr="000B7C13">
              <w:rPr>
                <w:rFonts w:ascii="Calibri" w:hAnsi="Calibri" w:cs="ArialMT"/>
                <w:lang w:val="en-GB"/>
              </w:rPr>
              <w:t xml:space="preserve">Over 40,000 households are now registered in the SRM and </w:t>
            </w:r>
            <w:r w:rsidR="00D0770F" w:rsidRPr="00806B7B">
              <w:rPr>
                <w:rFonts w:ascii="Calibri" w:hAnsi="Calibri"/>
                <w:lang w:val="en-GB"/>
              </w:rPr>
              <w:t>poorest 12,000 households identified to benefit from future pro-poor policies.</w:t>
            </w:r>
          </w:p>
          <w:p w:rsidR="0061007D" w:rsidRPr="00806B7B" w:rsidRDefault="00183A5D" w:rsidP="00F84BEC">
            <w:pPr>
              <w:pStyle w:val="BodyText2"/>
              <w:numPr>
                <w:ilvl w:val="0"/>
                <w:numId w:val="14"/>
              </w:numPr>
              <w:jc w:val="both"/>
              <w:rPr>
                <w:rFonts w:ascii="Calibri" w:hAnsi="Calibri"/>
                <w:i/>
                <w:lang w:val="en-GB"/>
              </w:rPr>
            </w:pPr>
            <w:r w:rsidRPr="00806B7B">
              <w:rPr>
                <w:rFonts w:ascii="Calibri" w:hAnsi="Calibri"/>
                <w:lang w:val="en-GB"/>
              </w:rPr>
              <w:t xml:space="preserve">80 </w:t>
            </w:r>
            <w:r w:rsidR="00D51D16" w:rsidRPr="00806B7B">
              <w:rPr>
                <w:rFonts w:ascii="Calibri" w:hAnsi="Calibri"/>
                <w:lang w:val="en-GB"/>
              </w:rPr>
              <w:t xml:space="preserve">public officials </w:t>
            </w:r>
            <w:r w:rsidR="00EE340E" w:rsidRPr="00806B7B">
              <w:rPr>
                <w:rFonts w:ascii="Calibri" w:hAnsi="Calibri"/>
                <w:lang w:val="en-GB"/>
              </w:rPr>
              <w:t xml:space="preserve">(form Ministry of Social Security, Ministry of Finance and Statistics Mauritius) </w:t>
            </w:r>
            <w:r w:rsidR="005031BD" w:rsidRPr="00806B7B">
              <w:rPr>
                <w:rFonts w:ascii="Calibri" w:hAnsi="Calibri"/>
                <w:lang w:val="en-GB"/>
              </w:rPr>
              <w:t xml:space="preserve">have capacity </w:t>
            </w:r>
            <w:r w:rsidR="0061007D" w:rsidRPr="00806B7B">
              <w:rPr>
                <w:rFonts w:ascii="Calibri" w:hAnsi="Calibri"/>
                <w:lang w:val="en-GB"/>
              </w:rPr>
              <w:t xml:space="preserve">in statistical analysis in social protection schemes </w:t>
            </w:r>
            <w:r w:rsidR="00D51D16" w:rsidRPr="00806B7B">
              <w:rPr>
                <w:rFonts w:ascii="Calibri" w:hAnsi="Calibri"/>
                <w:lang w:val="en-GB"/>
              </w:rPr>
              <w:t>strengthened</w:t>
            </w:r>
            <w:r w:rsidR="00923DDB" w:rsidRPr="00806B7B">
              <w:rPr>
                <w:rFonts w:ascii="Calibri" w:hAnsi="Calibri"/>
                <w:lang w:val="en-GB"/>
              </w:rPr>
              <w:t xml:space="preserve"> </w:t>
            </w:r>
          </w:p>
          <w:p w:rsidR="009F611C" w:rsidRPr="00806B7B" w:rsidRDefault="00DE012B" w:rsidP="00EE340E">
            <w:pPr>
              <w:pStyle w:val="BodyText2"/>
              <w:numPr>
                <w:ilvl w:val="0"/>
                <w:numId w:val="14"/>
              </w:numPr>
              <w:jc w:val="both"/>
              <w:rPr>
                <w:rFonts w:ascii="Calibri" w:hAnsi="Calibri"/>
                <w:i/>
                <w:lang w:val="en-GB"/>
              </w:rPr>
            </w:pPr>
            <w:r w:rsidRPr="00806B7B">
              <w:rPr>
                <w:rFonts w:ascii="Calibri" w:hAnsi="Calibri"/>
                <w:lang w:val="en-GB"/>
              </w:rPr>
              <w:t xml:space="preserve">In 2015 </w:t>
            </w:r>
            <w:r w:rsidR="00CF60EC">
              <w:rPr>
                <w:rFonts w:ascii="Calibri" w:hAnsi="Calibri"/>
                <w:lang w:val="en-GB"/>
              </w:rPr>
              <w:t xml:space="preserve">50 </w:t>
            </w:r>
            <w:r w:rsidRPr="00806B7B">
              <w:rPr>
                <w:rFonts w:ascii="Calibri" w:hAnsi="Calibri"/>
                <w:lang w:val="en-GB"/>
              </w:rPr>
              <w:t xml:space="preserve">key government </w:t>
            </w:r>
            <w:r w:rsidR="00CF60EC">
              <w:rPr>
                <w:rFonts w:ascii="Calibri" w:hAnsi="Calibri"/>
                <w:lang w:val="en-GB"/>
              </w:rPr>
              <w:t xml:space="preserve">and civil society </w:t>
            </w:r>
            <w:r w:rsidRPr="00806B7B">
              <w:rPr>
                <w:rFonts w:ascii="Calibri" w:hAnsi="Calibri"/>
                <w:lang w:val="en-GB"/>
              </w:rPr>
              <w:t xml:space="preserve">personnel capacitated </w:t>
            </w:r>
            <w:r w:rsidR="00BC3D27" w:rsidRPr="00806B7B">
              <w:rPr>
                <w:rFonts w:ascii="Calibri" w:hAnsi="Calibri"/>
                <w:lang w:val="en-GB"/>
              </w:rPr>
              <w:t>to use foresight techniques to strengthened planning</w:t>
            </w:r>
            <w:r w:rsidR="00A04A73" w:rsidRPr="00806B7B">
              <w:rPr>
                <w:rFonts w:ascii="Calibri" w:hAnsi="Calibri"/>
                <w:lang w:val="en-GB"/>
              </w:rPr>
              <w:t xml:space="preserve"> and decision making</w:t>
            </w:r>
            <w:r w:rsidR="00BC3D27" w:rsidRPr="00806B7B">
              <w:rPr>
                <w:rFonts w:ascii="Calibri" w:hAnsi="Calibri"/>
                <w:lang w:val="en-GB"/>
              </w:rPr>
              <w:t>.</w:t>
            </w:r>
          </w:p>
          <w:p w:rsidR="00775E76" w:rsidRPr="00806B7B" w:rsidRDefault="00775E76" w:rsidP="00EE340E">
            <w:pPr>
              <w:pStyle w:val="BodyText2"/>
              <w:numPr>
                <w:ilvl w:val="0"/>
                <w:numId w:val="14"/>
              </w:numPr>
              <w:jc w:val="both"/>
              <w:rPr>
                <w:rFonts w:ascii="Calibri" w:hAnsi="Calibri"/>
                <w:i/>
                <w:lang w:val="en-GB"/>
              </w:rPr>
            </w:pPr>
            <w:r w:rsidRPr="00806B7B">
              <w:rPr>
                <w:rFonts w:ascii="Calibri" w:hAnsi="Calibri"/>
                <w:lang w:val="en-GB"/>
              </w:rPr>
              <w:t>Mandatory annual performance reports in all Ministries and Departments introduced in 2015.</w:t>
            </w:r>
          </w:p>
          <w:p w:rsidR="002B0B50" w:rsidRPr="00806B7B" w:rsidRDefault="002B0B50" w:rsidP="00EE340E">
            <w:pPr>
              <w:pStyle w:val="BodyText2"/>
              <w:numPr>
                <w:ilvl w:val="0"/>
                <w:numId w:val="14"/>
              </w:numPr>
              <w:jc w:val="both"/>
              <w:rPr>
                <w:rFonts w:ascii="Calibri" w:hAnsi="Calibri"/>
                <w:i/>
                <w:lang w:val="en-GB"/>
              </w:rPr>
            </w:pPr>
            <w:r w:rsidRPr="00806B7B">
              <w:rPr>
                <w:rFonts w:ascii="Calibri" w:hAnsi="Calibri"/>
                <w:lang w:val="en-GB"/>
              </w:rPr>
              <w:t xml:space="preserve">On-line budgeting </w:t>
            </w:r>
            <w:r w:rsidR="004C0639" w:rsidRPr="00806B7B">
              <w:rPr>
                <w:rFonts w:ascii="Calibri" w:hAnsi="Calibri"/>
                <w:lang w:val="en-GB"/>
              </w:rPr>
              <w:t>system for monitoring of government services developed</w:t>
            </w:r>
            <w:r w:rsidR="00CF60EC">
              <w:rPr>
                <w:rFonts w:ascii="Calibri" w:hAnsi="Calibri"/>
                <w:lang w:val="en-GB"/>
              </w:rPr>
              <w:t xml:space="preserve"> and accessible to all Ministries in 2016</w:t>
            </w:r>
            <w:r w:rsidR="004C0639" w:rsidRPr="00806B7B">
              <w:rPr>
                <w:rFonts w:ascii="Calibri" w:hAnsi="Calibri"/>
                <w:lang w:val="en-GB"/>
              </w:rPr>
              <w:t>.</w:t>
            </w:r>
          </w:p>
          <w:p w:rsidR="00492A04" w:rsidRPr="00806B7B" w:rsidRDefault="00492A04" w:rsidP="00B16176">
            <w:pPr>
              <w:pStyle w:val="BodyText2"/>
              <w:numPr>
                <w:ilvl w:val="0"/>
                <w:numId w:val="14"/>
              </w:numPr>
              <w:jc w:val="both"/>
              <w:rPr>
                <w:rFonts w:ascii="Calibri" w:hAnsi="Calibri"/>
                <w:i/>
                <w:lang w:val="en-GB"/>
              </w:rPr>
            </w:pPr>
            <w:r w:rsidRPr="00806B7B">
              <w:rPr>
                <w:rFonts w:ascii="Calibri" w:hAnsi="Calibri"/>
                <w:lang w:val="en-GB"/>
              </w:rPr>
              <w:t xml:space="preserve">10 proposal developed </w:t>
            </w:r>
            <w:r w:rsidR="00B16176" w:rsidRPr="00806B7B">
              <w:rPr>
                <w:rFonts w:ascii="Calibri" w:hAnsi="Calibri"/>
                <w:lang w:val="en-GB"/>
              </w:rPr>
              <w:t>to promote social inclusiveness and social entrepreneurship to inform formulation of the Government Program 2015-2020, in areas such as policies on maternity leave and setting up of incubators for social enterprises</w:t>
            </w:r>
            <w:r w:rsidR="00B16176" w:rsidRPr="00806B7B">
              <w:rPr>
                <w:rFonts w:ascii="Calibri" w:hAnsi="Calibri" w:cs="ArialMT"/>
                <w:color w:val="444444"/>
                <w:lang w:val="en-GB"/>
              </w:rPr>
              <w:t>.</w:t>
            </w:r>
          </w:p>
        </w:tc>
      </w:tr>
      <w:tr w:rsidR="00530FDE" w:rsidRPr="000B7C13" w:rsidTr="009E7526">
        <w:tc>
          <w:tcPr>
            <w:tcW w:w="14040" w:type="dxa"/>
            <w:gridSpan w:val="5"/>
          </w:tcPr>
          <w:p w:rsidR="000F4A1E" w:rsidRPr="000B7C13" w:rsidRDefault="00837C4B" w:rsidP="000F3E5C">
            <w:pPr>
              <w:pStyle w:val="BodyText2"/>
              <w:jc w:val="both"/>
              <w:rPr>
                <w:rFonts w:ascii="Calibri" w:hAnsi="Calibri"/>
                <w:b/>
                <w:lang w:val="en-GB"/>
              </w:rPr>
            </w:pPr>
            <w:r w:rsidRPr="000B7C13">
              <w:rPr>
                <w:rFonts w:ascii="Calibri" w:hAnsi="Calibri"/>
                <w:b/>
                <w:lang w:val="en-GB"/>
              </w:rPr>
              <w:t>UNDP Contribution:</w:t>
            </w:r>
          </w:p>
          <w:p w:rsidR="00380C16" w:rsidRPr="000B7C13" w:rsidRDefault="00380C16" w:rsidP="000F3E5C">
            <w:pPr>
              <w:pStyle w:val="BodyText2"/>
              <w:jc w:val="both"/>
              <w:rPr>
                <w:rFonts w:ascii="Calibri" w:hAnsi="Calibri"/>
                <w:lang w:val="en-GB"/>
              </w:rPr>
            </w:pPr>
            <w:r w:rsidRPr="000B7C13">
              <w:rPr>
                <w:rFonts w:ascii="Calibri" w:hAnsi="Calibri"/>
                <w:lang w:val="en-GB"/>
              </w:rPr>
              <w:t xml:space="preserve">The UNDP </w:t>
            </w:r>
            <w:r w:rsidR="00C06C24" w:rsidRPr="000B7C13">
              <w:rPr>
                <w:rFonts w:ascii="Calibri" w:hAnsi="Calibri"/>
                <w:lang w:val="en-GB"/>
              </w:rPr>
              <w:t>contribution identified in the CP was to strengthening the integration of the planning, budgeting and execution framework to improve public-sector efficiency.</w:t>
            </w:r>
          </w:p>
          <w:p w:rsidR="00B00E5C" w:rsidRPr="000B7C13" w:rsidRDefault="00B00E5C" w:rsidP="000F3E5C">
            <w:pPr>
              <w:pStyle w:val="BodyText2"/>
              <w:jc w:val="both"/>
              <w:rPr>
                <w:rFonts w:ascii="Calibri" w:hAnsi="Calibri"/>
                <w:lang w:val="en-GB"/>
              </w:rPr>
            </w:pPr>
            <w:r w:rsidRPr="000B7C13">
              <w:rPr>
                <w:rFonts w:ascii="Calibri" w:hAnsi="Calibri"/>
                <w:u w:val="single"/>
                <w:lang w:val="en-GB"/>
              </w:rPr>
              <w:t>CP Outputs</w:t>
            </w:r>
            <w:r w:rsidR="00845340" w:rsidRPr="000B7C13">
              <w:rPr>
                <w:rFonts w:ascii="Calibri" w:hAnsi="Calibri"/>
                <w:lang w:val="en-GB"/>
              </w:rPr>
              <w:t>:</w:t>
            </w:r>
          </w:p>
          <w:p w:rsidR="00C06C24" w:rsidRPr="000B7C13" w:rsidRDefault="00842737" w:rsidP="000F3E5C">
            <w:pPr>
              <w:pStyle w:val="BodyText2"/>
              <w:jc w:val="both"/>
              <w:rPr>
                <w:rFonts w:ascii="Calibri" w:hAnsi="Calibri"/>
                <w:lang w:val="en-GB"/>
              </w:rPr>
            </w:pPr>
            <w:r w:rsidRPr="000B7C13">
              <w:rPr>
                <w:rFonts w:ascii="Calibri" w:hAnsi="Calibri"/>
                <w:lang w:val="en-GB"/>
              </w:rPr>
              <w:t xml:space="preserve">The UNDP CP identified the </w:t>
            </w:r>
            <w:r w:rsidR="00D0770F" w:rsidRPr="000B7C13">
              <w:rPr>
                <w:rFonts w:ascii="Calibri" w:hAnsi="Calibri"/>
                <w:lang w:val="en-GB"/>
              </w:rPr>
              <w:t xml:space="preserve">following </w:t>
            </w:r>
            <w:r w:rsidRPr="000B7C13">
              <w:rPr>
                <w:rFonts w:ascii="Calibri" w:hAnsi="Calibri"/>
                <w:lang w:val="en-GB"/>
              </w:rPr>
              <w:t xml:space="preserve">major outputs to support the Government in achieving this outcome: a) </w:t>
            </w:r>
            <w:r w:rsidR="00DE3B33" w:rsidRPr="000B7C13">
              <w:rPr>
                <w:rFonts w:ascii="Calibri" w:hAnsi="Calibri"/>
                <w:lang w:val="en-GB"/>
              </w:rPr>
              <w:t xml:space="preserve">social register for Mauritius updated and </w:t>
            </w:r>
            <w:r w:rsidR="000F4A1E" w:rsidRPr="000B7C13">
              <w:rPr>
                <w:rFonts w:ascii="Calibri" w:hAnsi="Calibri"/>
                <w:lang w:val="en-GB"/>
              </w:rPr>
              <w:t>analy</w:t>
            </w:r>
            <w:r w:rsidR="00DE3B33" w:rsidRPr="000B7C13">
              <w:rPr>
                <w:rFonts w:ascii="Calibri" w:hAnsi="Calibri"/>
                <w:lang w:val="en-GB"/>
              </w:rPr>
              <w:t xml:space="preserve">ses of </w:t>
            </w:r>
            <w:r w:rsidR="000F4A1E" w:rsidRPr="000B7C13">
              <w:rPr>
                <w:rFonts w:ascii="Calibri" w:hAnsi="Calibri"/>
                <w:lang w:val="en-GB"/>
              </w:rPr>
              <w:t xml:space="preserve">the impact of social protection schemes </w:t>
            </w:r>
            <w:r w:rsidR="00D0770F" w:rsidRPr="000B7C13">
              <w:rPr>
                <w:rFonts w:ascii="Calibri" w:hAnsi="Calibri"/>
                <w:lang w:val="en-GB"/>
              </w:rPr>
              <w:t>on the poor for improved targeting</w:t>
            </w:r>
            <w:r w:rsidR="00DE3B33" w:rsidRPr="000B7C13">
              <w:rPr>
                <w:rFonts w:ascii="Calibri" w:hAnsi="Calibri"/>
                <w:lang w:val="en-GB"/>
              </w:rPr>
              <w:t xml:space="preserve"> improved</w:t>
            </w:r>
            <w:r w:rsidR="008E12A0" w:rsidRPr="000B7C13">
              <w:rPr>
                <w:rFonts w:ascii="Calibri" w:hAnsi="Calibri"/>
                <w:lang w:val="en-GB"/>
              </w:rPr>
              <w:t>;</w:t>
            </w:r>
            <w:r w:rsidR="000F4A1E" w:rsidRPr="000B7C13">
              <w:rPr>
                <w:rFonts w:ascii="Calibri" w:hAnsi="Calibri"/>
                <w:lang w:val="en-GB"/>
              </w:rPr>
              <w:t xml:space="preserve"> </w:t>
            </w:r>
          </w:p>
          <w:p w:rsidR="00B00E5C" w:rsidRPr="000B7C13" w:rsidRDefault="00842737" w:rsidP="000F3E5C">
            <w:pPr>
              <w:pStyle w:val="BodyText2"/>
              <w:jc w:val="both"/>
              <w:rPr>
                <w:rFonts w:ascii="Calibri" w:hAnsi="Calibri"/>
                <w:lang w:val="en-GB"/>
              </w:rPr>
            </w:pPr>
            <w:r w:rsidRPr="000B7C13">
              <w:rPr>
                <w:rFonts w:ascii="Calibri" w:hAnsi="Calibri"/>
                <w:lang w:val="en-GB"/>
              </w:rPr>
              <w:t>b)</w:t>
            </w:r>
            <w:r w:rsidR="00E91FA7" w:rsidRPr="000B7C13">
              <w:rPr>
                <w:rFonts w:ascii="Calibri" w:hAnsi="Calibri"/>
                <w:lang w:val="en-GB"/>
              </w:rPr>
              <w:t xml:space="preserve"> </w:t>
            </w:r>
            <w:r w:rsidR="00DE3B33" w:rsidRPr="000B7C13">
              <w:rPr>
                <w:rFonts w:ascii="Calibri" w:hAnsi="Calibri"/>
                <w:lang w:val="en-GB"/>
              </w:rPr>
              <w:t>F</w:t>
            </w:r>
            <w:r w:rsidR="00923DDB" w:rsidRPr="000B7C13">
              <w:rPr>
                <w:rFonts w:ascii="Calibri" w:hAnsi="Calibri"/>
                <w:lang w:val="en-GB"/>
              </w:rPr>
              <w:t xml:space="preserve">oresight techniques </w:t>
            </w:r>
            <w:r w:rsidR="00EE6BF9" w:rsidRPr="000B7C13">
              <w:rPr>
                <w:rFonts w:ascii="Calibri" w:hAnsi="Calibri"/>
                <w:lang w:val="en-GB"/>
              </w:rPr>
              <w:t xml:space="preserve">to strengthened </w:t>
            </w:r>
            <w:r w:rsidR="00923DDB" w:rsidRPr="000B7C13">
              <w:rPr>
                <w:rFonts w:ascii="Calibri" w:hAnsi="Calibri"/>
                <w:lang w:val="en-GB"/>
              </w:rPr>
              <w:t xml:space="preserve">strategic planning for </w:t>
            </w:r>
            <w:r w:rsidR="00EE6BF9" w:rsidRPr="000B7C13">
              <w:rPr>
                <w:rFonts w:ascii="Calibri" w:hAnsi="Calibri"/>
                <w:lang w:val="en-GB"/>
              </w:rPr>
              <w:t xml:space="preserve">the </w:t>
            </w:r>
            <w:r w:rsidR="00923DDB" w:rsidRPr="000B7C13">
              <w:rPr>
                <w:rFonts w:ascii="Calibri" w:hAnsi="Calibri"/>
                <w:lang w:val="en-GB"/>
              </w:rPr>
              <w:t>civil service</w:t>
            </w:r>
            <w:r w:rsidR="00DE3B33" w:rsidRPr="000B7C13">
              <w:rPr>
                <w:rFonts w:ascii="Calibri" w:hAnsi="Calibri"/>
                <w:lang w:val="en-GB"/>
              </w:rPr>
              <w:t xml:space="preserve"> introduced</w:t>
            </w:r>
            <w:r w:rsidR="008E12A0" w:rsidRPr="000B7C13">
              <w:rPr>
                <w:rFonts w:ascii="Calibri" w:hAnsi="Calibri"/>
                <w:lang w:val="en-GB"/>
              </w:rPr>
              <w:t>;</w:t>
            </w:r>
            <w:r w:rsidR="00DE3B33" w:rsidRPr="000B7C13">
              <w:rPr>
                <w:rFonts w:ascii="Calibri" w:hAnsi="Calibri"/>
                <w:lang w:val="en-GB"/>
              </w:rPr>
              <w:t xml:space="preserve"> </w:t>
            </w:r>
            <w:r w:rsidR="00EE6BF9" w:rsidRPr="000B7C13">
              <w:rPr>
                <w:rFonts w:ascii="Calibri" w:hAnsi="Calibri"/>
                <w:lang w:val="en-GB"/>
              </w:rPr>
              <w:t xml:space="preserve">c) </w:t>
            </w:r>
            <w:r w:rsidR="0090226B" w:rsidRPr="000B7C13">
              <w:rPr>
                <w:rFonts w:ascii="Calibri" w:hAnsi="Calibri"/>
                <w:lang w:val="en-GB"/>
              </w:rPr>
              <w:t xml:space="preserve">performance based budgeting </w:t>
            </w:r>
            <w:r w:rsidR="00EE6BF9" w:rsidRPr="000B7C13">
              <w:rPr>
                <w:rFonts w:ascii="Calibri" w:hAnsi="Calibri"/>
                <w:lang w:val="en-GB"/>
              </w:rPr>
              <w:t xml:space="preserve">and simplification of the budgeting </w:t>
            </w:r>
            <w:r w:rsidR="00EE6BF9" w:rsidRPr="000B7C13">
              <w:rPr>
                <w:rFonts w:ascii="Calibri" w:hAnsi="Calibri"/>
                <w:lang w:val="en-GB"/>
              </w:rPr>
              <w:lastRenderedPageBreak/>
              <w:t>framework</w:t>
            </w:r>
            <w:r w:rsidR="00DE3B33" w:rsidRPr="000B7C13">
              <w:rPr>
                <w:rFonts w:ascii="Calibri" w:hAnsi="Calibri"/>
                <w:lang w:val="en-GB"/>
              </w:rPr>
              <w:t xml:space="preserve"> endorsed</w:t>
            </w:r>
            <w:r w:rsidR="008E12A0" w:rsidRPr="000B7C13">
              <w:rPr>
                <w:rFonts w:ascii="Calibri" w:hAnsi="Calibri"/>
                <w:lang w:val="en-GB"/>
              </w:rPr>
              <w:t xml:space="preserve">; </w:t>
            </w:r>
            <w:r w:rsidR="0090226B" w:rsidRPr="000B7C13">
              <w:rPr>
                <w:rFonts w:ascii="Calibri" w:hAnsi="Calibri"/>
                <w:lang w:val="en-GB"/>
              </w:rPr>
              <w:t xml:space="preserve">d) mandatory annual performance </w:t>
            </w:r>
            <w:r w:rsidR="00DE3B33" w:rsidRPr="000B7C13">
              <w:rPr>
                <w:rFonts w:ascii="Calibri" w:hAnsi="Calibri"/>
                <w:lang w:val="en-GB"/>
              </w:rPr>
              <w:t xml:space="preserve">reports adopted </w:t>
            </w:r>
            <w:r w:rsidR="0090226B" w:rsidRPr="000B7C13">
              <w:rPr>
                <w:rFonts w:ascii="Calibri" w:hAnsi="Calibri"/>
                <w:lang w:val="en-GB"/>
              </w:rPr>
              <w:t>by parliament for</w:t>
            </w:r>
            <w:r w:rsidR="00492A04" w:rsidRPr="000B7C13">
              <w:rPr>
                <w:rFonts w:ascii="Calibri" w:hAnsi="Calibri"/>
                <w:lang w:val="en-GB"/>
              </w:rPr>
              <w:t xml:space="preserve"> all ministries and departments and e) </w:t>
            </w:r>
            <w:r w:rsidR="00B16176" w:rsidRPr="000B7C13">
              <w:rPr>
                <w:rFonts w:ascii="Calibri" w:hAnsi="Calibri"/>
                <w:lang w:val="en-GB"/>
              </w:rPr>
              <w:t>10 proposal developed to promote social inclusiveness and social entrepreneurship to inform formulation of the Government Program 2015-2020, in areas such as policies on maternity leave and setting up of incubators for social enterprises</w:t>
            </w:r>
            <w:r w:rsidR="00B16176" w:rsidRPr="000B7C13">
              <w:rPr>
                <w:rFonts w:ascii="Calibri" w:hAnsi="Calibri" w:cs="ArialMT"/>
                <w:color w:val="444444"/>
                <w:lang w:val="en-GB"/>
              </w:rPr>
              <w:t>.</w:t>
            </w:r>
          </w:p>
          <w:p w:rsidR="00B00E5C" w:rsidRPr="000B7C13" w:rsidRDefault="00B00E5C" w:rsidP="00EE1D60">
            <w:pPr>
              <w:pStyle w:val="BodyText2"/>
              <w:rPr>
                <w:rFonts w:ascii="Calibri" w:hAnsi="Calibri"/>
                <w:lang w:val="en-GB"/>
              </w:rPr>
            </w:pPr>
          </w:p>
          <w:p w:rsidR="00B00E5C" w:rsidRPr="000B7C13" w:rsidRDefault="00B00E5C" w:rsidP="00EE1D60">
            <w:pPr>
              <w:pStyle w:val="BodyText2"/>
              <w:rPr>
                <w:rFonts w:ascii="Calibri" w:hAnsi="Calibri"/>
                <w:lang w:val="en-GB"/>
              </w:rPr>
            </w:pPr>
            <w:r w:rsidRPr="000B7C13">
              <w:rPr>
                <w:rFonts w:ascii="Calibri" w:hAnsi="Calibri"/>
                <w:u w:val="single"/>
                <w:lang w:val="en-GB"/>
              </w:rPr>
              <w:t>Progress and Achievements</w:t>
            </w:r>
            <w:r w:rsidR="00845340" w:rsidRPr="000B7C13">
              <w:rPr>
                <w:rFonts w:ascii="Calibri" w:hAnsi="Calibri"/>
                <w:lang w:val="en-GB"/>
              </w:rPr>
              <w:t>:</w:t>
            </w:r>
          </w:p>
          <w:p w:rsidR="00700521" w:rsidRPr="000B7C13" w:rsidRDefault="00E8225D" w:rsidP="007051EE">
            <w:pPr>
              <w:pStyle w:val="BodyText2"/>
              <w:jc w:val="both"/>
              <w:rPr>
                <w:rFonts w:ascii="Calibri" w:hAnsi="Calibri"/>
                <w:lang w:val="en-GB"/>
              </w:rPr>
            </w:pPr>
            <w:r w:rsidRPr="000B7C13">
              <w:rPr>
                <w:rFonts w:ascii="Calibri" w:hAnsi="Calibri"/>
                <w:lang w:val="en-GB"/>
              </w:rPr>
              <w:t xml:space="preserve">Over the programme cycle the government of Mauritius has strengthening targeting of the poor resulting in the </w:t>
            </w:r>
            <w:r w:rsidR="00A56D1F" w:rsidRPr="000B7C13">
              <w:rPr>
                <w:rFonts w:ascii="Calibri" w:hAnsi="Calibri"/>
                <w:lang w:val="en-GB"/>
              </w:rPr>
              <w:t xml:space="preserve">registration of over 40,000 household and </w:t>
            </w:r>
            <w:r w:rsidRPr="000B7C13">
              <w:rPr>
                <w:rFonts w:ascii="Calibri" w:hAnsi="Calibri"/>
                <w:lang w:val="en-GB"/>
              </w:rPr>
              <w:t xml:space="preserve">identification of the poorest </w:t>
            </w:r>
            <w:r w:rsidR="002D7760" w:rsidRPr="000B7C13">
              <w:rPr>
                <w:rFonts w:ascii="Calibri" w:hAnsi="Calibri"/>
                <w:lang w:val="en-GB"/>
              </w:rPr>
              <w:t xml:space="preserve">12,000 </w:t>
            </w:r>
            <w:r w:rsidRPr="000B7C13">
              <w:rPr>
                <w:rFonts w:ascii="Calibri" w:hAnsi="Calibri"/>
                <w:lang w:val="en-GB"/>
              </w:rPr>
              <w:t>through updating of the Social Register of Mauritius</w:t>
            </w:r>
            <w:r w:rsidR="00A56D1F" w:rsidRPr="000B7C13">
              <w:rPr>
                <w:rFonts w:ascii="Calibri" w:hAnsi="Calibri"/>
                <w:lang w:val="en-GB"/>
              </w:rPr>
              <w:t xml:space="preserve"> (SRM)</w:t>
            </w:r>
            <w:r w:rsidR="00C04CF2" w:rsidRPr="000B7C13">
              <w:rPr>
                <w:rFonts w:ascii="Calibri" w:hAnsi="Calibri"/>
                <w:lang w:val="en-GB"/>
              </w:rPr>
              <w:t xml:space="preserve"> as evidenced by the 2015 Mid-term Evaluation</w:t>
            </w:r>
            <w:r w:rsidRPr="000B7C13">
              <w:rPr>
                <w:rFonts w:ascii="Calibri" w:hAnsi="Calibri"/>
                <w:lang w:val="en-GB"/>
              </w:rPr>
              <w:t xml:space="preserve">. This has informed the </w:t>
            </w:r>
            <w:r w:rsidR="002D7760" w:rsidRPr="000B7C13">
              <w:rPr>
                <w:rFonts w:ascii="Calibri" w:hAnsi="Calibri"/>
                <w:lang w:val="en-GB"/>
              </w:rPr>
              <w:t>development of new social protection policies and programme including the Marshall Plan on Poverty to improve service delivery to the poor.</w:t>
            </w:r>
            <w:r w:rsidR="00D76FEC" w:rsidRPr="000B7C13">
              <w:rPr>
                <w:rFonts w:ascii="Calibri" w:hAnsi="Calibri"/>
                <w:lang w:val="en-GB"/>
              </w:rPr>
              <w:t xml:space="preserve"> </w:t>
            </w:r>
            <w:r w:rsidR="00E91FA7" w:rsidRPr="000B7C13">
              <w:rPr>
                <w:rFonts w:ascii="Calibri" w:hAnsi="Calibri"/>
                <w:lang w:val="en-GB"/>
              </w:rPr>
              <w:t xml:space="preserve">Capacity of </w:t>
            </w:r>
            <w:r w:rsidR="00D76FEC" w:rsidRPr="000B7C13">
              <w:rPr>
                <w:rFonts w:ascii="Calibri" w:hAnsi="Calibri"/>
                <w:lang w:val="en-GB"/>
              </w:rPr>
              <w:t xml:space="preserve">80 public </w:t>
            </w:r>
            <w:r w:rsidR="0017263C" w:rsidRPr="000B7C13">
              <w:rPr>
                <w:rFonts w:ascii="Calibri" w:hAnsi="Calibri"/>
                <w:lang w:val="en-GB"/>
              </w:rPr>
              <w:t>officials</w:t>
            </w:r>
            <w:r w:rsidR="00D76FEC" w:rsidRPr="000B7C13">
              <w:rPr>
                <w:rFonts w:ascii="Calibri" w:hAnsi="Calibri"/>
                <w:lang w:val="en-GB"/>
              </w:rPr>
              <w:t xml:space="preserve"> drawn from the Ministry of Social Security, Ministry of Finance and Statistics Mauritius </w:t>
            </w:r>
            <w:r w:rsidR="007051EE" w:rsidRPr="000B7C13">
              <w:rPr>
                <w:rFonts w:ascii="Calibri" w:hAnsi="Calibri"/>
                <w:lang w:val="en-GB"/>
              </w:rPr>
              <w:t>in</w:t>
            </w:r>
            <w:r w:rsidR="00D76FEC" w:rsidRPr="000B7C13">
              <w:rPr>
                <w:rFonts w:ascii="Calibri" w:hAnsi="Calibri"/>
                <w:lang w:val="en-GB"/>
              </w:rPr>
              <w:t xml:space="preserve"> statistical analysis</w:t>
            </w:r>
            <w:r w:rsidR="00E91FA7" w:rsidRPr="000B7C13">
              <w:rPr>
                <w:rFonts w:ascii="Calibri" w:hAnsi="Calibri"/>
                <w:lang w:val="en-GB"/>
              </w:rPr>
              <w:t xml:space="preserve"> strengthened evidenced by the Statistical Office </w:t>
            </w:r>
            <w:r w:rsidR="00237906" w:rsidRPr="000B7C13">
              <w:rPr>
                <w:rFonts w:ascii="Calibri" w:hAnsi="Calibri"/>
                <w:lang w:val="en-GB"/>
              </w:rPr>
              <w:t xml:space="preserve">able to </w:t>
            </w:r>
            <w:r w:rsidR="00E91FA7" w:rsidRPr="000B7C13">
              <w:rPr>
                <w:rFonts w:ascii="Calibri" w:hAnsi="Calibri"/>
                <w:lang w:val="en-GB"/>
              </w:rPr>
              <w:t xml:space="preserve">o determine the </w:t>
            </w:r>
            <w:r w:rsidR="00237906" w:rsidRPr="000B7C13">
              <w:rPr>
                <w:rFonts w:ascii="Calibri" w:hAnsi="Calibri"/>
                <w:lang w:val="en-GB"/>
              </w:rPr>
              <w:t xml:space="preserve">multidimensional </w:t>
            </w:r>
            <w:r w:rsidR="00E91FA7" w:rsidRPr="000B7C13">
              <w:rPr>
                <w:rFonts w:ascii="Calibri" w:hAnsi="Calibri"/>
                <w:lang w:val="en-GB"/>
              </w:rPr>
              <w:t>poverty rate in Mauritius</w:t>
            </w:r>
            <w:r w:rsidR="00237906" w:rsidRPr="000B7C13">
              <w:rPr>
                <w:rFonts w:ascii="Calibri" w:hAnsi="Calibri"/>
                <w:lang w:val="en-GB"/>
              </w:rPr>
              <w:t xml:space="preserve"> at </w:t>
            </w:r>
            <w:r w:rsidR="00872F52" w:rsidRPr="000B7C13">
              <w:rPr>
                <w:rFonts w:ascii="Calibri" w:hAnsi="Calibri"/>
                <w:lang w:val="en-GB"/>
              </w:rPr>
              <w:t>7.</w:t>
            </w:r>
            <w:r w:rsidR="00E91FA7" w:rsidRPr="000B7C13">
              <w:rPr>
                <w:rFonts w:ascii="Calibri" w:hAnsi="Calibri"/>
                <w:lang w:val="en-GB"/>
              </w:rPr>
              <w:t>5% in 2012</w:t>
            </w:r>
            <w:r w:rsidR="00237906" w:rsidRPr="000B7C13">
              <w:rPr>
                <w:rFonts w:ascii="Calibri" w:hAnsi="Calibri"/>
                <w:lang w:val="en-GB"/>
              </w:rPr>
              <w:t xml:space="preserve"> </w:t>
            </w:r>
            <w:r w:rsidR="00E91FA7" w:rsidRPr="000B7C13">
              <w:rPr>
                <w:rFonts w:ascii="Calibri" w:hAnsi="Calibri"/>
                <w:lang w:val="en-GB"/>
              </w:rPr>
              <w:t xml:space="preserve">based on the </w:t>
            </w:r>
            <w:r w:rsidR="00237906" w:rsidRPr="000B7C13">
              <w:rPr>
                <w:rFonts w:ascii="Calibri" w:hAnsi="Calibri"/>
                <w:lang w:val="en-GB"/>
              </w:rPr>
              <w:t xml:space="preserve">generalized </w:t>
            </w:r>
            <w:r w:rsidR="00057C55" w:rsidRPr="000B7C13">
              <w:rPr>
                <w:rFonts w:ascii="Calibri" w:hAnsi="Calibri"/>
                <w:lang w:val="en-GB"/>
              </w:rPr>
              <w:t>poverty line</w:t>
            </w:r>
            <w:r w:rsidR="00E91FA7" w:rsidRPr="000B7C13">
              <w:rPr>
                <w:rFonts w:ascii="Calibri" w:hAnsi="Calibri"/>
                <w:lang w:val="en-GB"/>
              </w:rPr>
              <w:t>.</w:t>
            </w:r>
            <w:r w:rsidR="004C0639" w:rsidRPr="000B7C13">
              <w:rPr>
                <w:rFonts w:ascii="Calibri" w:hAnsi="Calibri"/>
                <w:lang w:val="en-GB"/>
              </w:rPr>
              <w:t xml:space="preserve"> With technical assistance from UNDP an on-line budgeting system </w:t>
            </w:r>
            <w:r w:rsidR="007051EE" w:rsidRPr="000B7C13">
              <w:rPr>
                <w:rFonts w:ascii="Calibri" w:hAnsi="Calibri"/>
                <w:lang w:val="en-GB"/>
              </w:rPr>
              <w:t xml:space="preserve">V1 </w:t>
            </w:r>
            <w:r w:rsidR="004C0639" w:rsidRPr="000B7C13">
              <w:rPr>
                <w:rFonts w:ascii="Calibri" w:hAnsi="Calibri"/>
                <w:lang w:val="en-GB"/>
              </w:rPr>
              <w:t>for Government, has been designed for improving performance monitoring of government services.</w:t>
            </w:r>
            <w:r w:rsidR="004C0639" w:rsidRPr="000B7C13">
              <w:rPr>
                <w:rFonts w:ascii="Calibri" w:hAnsi="Calibri" w:cs="ArialMT"/>
                <w:color w:val="444444"/>
                <w:lang w:val="en-GB"/>
              </w:rPr>
              <w:t xml:space="preserve"> </w:t>
            </w:r>
            <w:r w:rsidR="00B16176" w:rsidRPr="000B7C13">
              <w:rPr>
                <w:rFonts w:ascii="Calibri" w:hAnsi="Calibri" w:cs="ArialMT"/>
                <w:lang w:val="en-GB"/>
              </w:rPr>
              <w:t>Additional</w:t>
            </w:r>
            <w:r w:rsidR="0017263C" w:rsidRPr="000B7C13">
              <w:rPr>
                <w:rFonts w:ascii="Calibri" w:hAnsi="Calibri" w:cs="ArialMT"/>
                <w:lang w:val="en-GB"/>
              </w:rPr>
              <w:t>ly</w:t>
            </w:r>
            <w:r w:rsidR="00B16176" w:rsidRPr="000B7C13">
              <w:rPr>
                <w:rFonts w:ascii="Calibri" w:hAnsi="Calibri" w:cs="ArialMT"/>
                <w:color w:val="444444"/>
                <w:lang w:val="en-GB"/>
              </w:rPr>
              <w:t xml:space="preserve"> </w:t>
            </w:r>
            <w:r w:rsidR="00B16176" w:rsidRPr="000B7C13">
              <w:rPr>
                <w:rFonts w:ascii="Calibri" w:hAnsi="Calibri"/>
                <w:lang w:val="en-GB"/>
              </w:rPr>
              <w:t xml:space="preserve">with UNDP technical support 10 proposal </w:t>
            </w:r>
            <w:r w:rsidR="00057C55" w:rsidRPr="000B7C13">
              <w:rPr>
                <w:rFonts w:ascii="Calibri" w:hAnsi="Calibri"/>
                <w:lang w:val="en-GB"/>
              </w:rPr>
              <w:t xml:space="preserve">have been </w:t>
            </w:r>
            <w:r w:rsidR="00B16176" w:rsidRPr="000B7C13">
              <w:rPr>
                <w:rFonts w:ascii="Calibri" w:hAnsi="Calibri"/>
                <w:lang w:val="en-GB"/>
              </w:rPr>
              <w:t>developed to promote social inclusiveness and social entrepreneurship to inform formulation of the Government Program 2015-2020, in areas such as policies on maternity leave and setting up of incubators for social enterprises</w:t>
            </w:r>
            <w:r w:rsidR="00B16176" w:rsidRPr="000B7C13">
              <w:rPr>
                <w:rFonts w:ascii="Calibri" w:hAnsi="Calibri" w:cs="ArialMT"/>
                <w:color w:val="444444"/>
                <w:lang w:val="en-GB"/>
              </w:rPr>
              <w:t>.</w:t>
            </w:r>
          </w:p>
        </w:tc>
      </w:tr>
      <w:tr w:rsidR="003B037A" w:rsidRPr="000B7C13" w:rsidTr="000823AC">
        <w:tc>
          <w:tcPr>
            <w:tcW w:w="3060" w:type="dxa"/>
            <w:shd w:val="clear" w:color="auto" w:fill="95B3D7"/>
          </w:tcPr>
          <w:p w:rsidR="003B037A" w:rsidRPr="000B7C13" w:rsidRDefault="003B037A" w:rsidP="003378F0">
            <w:pPr>
              <w:pStyle w:val="BodyText2"/>
              <w:rPr>
                <w:rFonts w:ascii="Calibri" w:hAnsi="Calibri"/>
                <w:b/>
                <w:lang w:val="en-GB"/>
              </w:rPr>
            </w:pPr>
            <w:r w:rsidRPr="000B7C13">
              <w:rPr>
                <w:rFonts w:ascii="Calibri" w:hAnsi="Calibri"/>
                <w:b/>
                <w:lang w:val="en-GB"/>
              </w:rPr>
              <w:lastRenderedPageBreak/>
              <w:t>2</w:t>
            </w:r>
            <w:r w:rsidR="005638CB" w:rsidRPr="000B7C13">
              <w:rPr>
                <w:rFonts w:ascii="Calibri" w:hAnsi="Calibri"/>
                <w:b/>
                <w:lang w:val="en-GB"/>
              </w:rPr>
              <w:t>7</w:t>
            </w:r>
            <w:r w:rsidRPr="000B7C13">
              <w:rPr>
                <w:rFonts w:ascii="Calibri" w:hAnsi="Calibri"/>
                <w:b/>
                <w:lang w:val="en-GB"/>
              </w:rPr>
              <w:t xml:space="preserve">. </w:t>
            </w:r>
            <w:r w:rsidR="003378F0" w:rsidRPr="000B7C13">
              <w:rPr>
                <w:rFonts w:ascii="Calibri" w:hAnsi="Calibri"/>
                <w:b/>
                <w:lang w:val="en-GB"/>
              </w:rPr>
              <w:t>Capacity of public sector, Non-state actors and vulnerable groups strengthened to promote a coordinated approach in policy formulation and implementation for a more equitable, inclusive society.</w:t>
            </w:r>
          </w:p>
        </w:tc>
        <w:tc>
          <w:tcPr>
            <w:tcW w:w="1530" w:type="dxa"/>
            <w:gridSpan w:val="2"/>
            <w:shd w:val="clear" w:color="auto" w:fill="auto"/>
          </w:tcPr>
          <w:p w:rsidR="003B037A" w:rsidRPr="000B7C13" w:rsidRDefault="003B037A" w:rsidP="007F4698">
            <w:pPr>
              <w:pStyle w:val="BodyText2"/>
              <w:rPr>
                <w:rFonts w:ascii="Calibri" w:hAnsi="Calibri"/>
                <w:lang w:val="en-GB"/>
              </w:rPr>
            </w:pPr>
            <w:r w:rsidRPr="000B7C13">
              <w:rPr>
                <w:rFonts w:ascii="Calibri" w:hAnsi="Calibri"/>
                <w:lang w:val="en-GB"/>
              </w:rPr>
              <w:t>$</w:t>
            </w:r>
            <w:r w:rsidR="007F4698" w:rsidRPr="000B7C13">
              <w:rPr>
                <w:rFonts w:ascii="Calibri" w:hAnsi="Calibri"/>
                <w:lang w:val="en-GB"/>
              </w:rPr>
              <w:t xml:space="preserve"> 602,435</w:t>
            </w:r>
          </w:p>
        </w:tc>
        <w:tc>
          <w:tcPr>
            <w:tcW w:w="3960" w:type="dxa"/>
            <w:tcBorders>
              <w:left w:val="single" w:sz="4" w:space="0" w:color="auto"/>
            </w:tcBorders>
          </w:tcPr>
          <w:p w:rsidR="00291ED0" w:rsidRPr="000B7C13" w:rsidRDefault="0034355C" w:rsidP="00291ED0">
            <w:pPr>
              <w:pStyle w:val="BodyText2"/>
              <w:numPr>
                <w:ilvl w:val="0"/>
                <w:numId w:val="15"/>
              </w:numPr>
              <w:rPr>
                <w:rFonts w:ascii="Calibri" w:hAnsi="Calibri"/>
                <w:lang w:val="en-GB"/>
              </w:rPr>
            </w:pPr>
            <w:r w:rsidRPr="000B7C13">
              <w:rPr>
                <w:rFonts w:ascii="Calibri" w:hAnsi="Calibri"/>
                <w:lang w:val="en-GB"/>
              </w:rPr>
              <w:t>Progress on MDG indicators for poverty reduction, gender equality and women’s empowerment</w:t>
            </w:r>
          </w:p>
          <w:p w:rsidR="003B037A" w:rsidRPr="000B7C13" w:rsidRDefault="0034355C" w:rsidP="00291ED0">
            <w:pPr>
              <w:pStyle w:val="BodyText2"/>
              <w:numPr>
                <w:ilvl w:val="0"/>
                <w:numId w:val="15"/>
              </w:numPr>
              <w:rPr>
                <w:rFonts w:ascii="Calibri" w:hAnsi="Calibri"/>
                <w:lang w:val="en-GB"/>
              </w:rPr>
            </w:pPr>
            <w:r w:rsidRPr="000B7C13">
              <w:rPr>
                <w:rFonts w:ascii="Calibri" w:hAnsi="Calibri"/>
                <w:lang w:val="en-GB"/>
              </w:rPr>
              <w:t xml:space="preserve"> </w:t>
            </w:r>
            <w:r w:rsidR="00291ED0" w:rsidRPr="000B7C13">
              <w:rPr>
                <w:rFonts w:ascii="Calibri" w:hAnsi="Calibri"/>
                <w:lang w:val="en-GB"/>
              </w:rPr>
              <w:t>Improving the quality of education</w:t>
            </w:r>
          </w:p>
        </w:tc>
        <w:tc>
          <w:tcPr>
            <w:tcW w:w="5490" w:type="dxa"/>
            <w:shd w:val="clear" w:color="auto" w:fill="auto"/>
          </w:tcPr>
          <w:p w:rsidR="002000BD" w:rsidRPr="000B7C13" w:rsidRDefault="00380C16" w:rsidP="0071420D">
            <w:pPr>
              <w:pStyle w:val="BodyText2"/>
              <w:jc w:val="both"/>
              <w:rPr>
                <w:rFonts w:ascii="Calibri" w:hAnsi="Calibri"/>
                <w:lang w:val="en-GB"/>
              </w:rPr>
            </w:pPr>
            <w:r w:rsidRPr="000B7C13">
              <w:rPr>
                <w:rFonts w:ascii="Calibri" w:hAnsi="Calibri"/>
                <w:lang w:val="en-GB"/>
              </w:rPr>
              <w:t>a</w:t>
            </w:r>
            <w:r w:rsidR="00005920" w:rsidRPr="000B7C13">
              <w:rPr>
                <w:rFonts w:ascii="Calibri" w:hAnsi="Calibri"/>
                <w:lang w:val="en-GB"/>
              </w:rPr>
              <w:t xml:space="preserve">. </w:t>
            </w:r>
            <w:r w:rsidR="002000BD" w:rsidRPr="000B7C13">
              <w:rPr>
                <w:rFonts w:ascii="Calibri" w:hAnsi="Calibri"/>
                <w:lang w:val="en-GB"/>
              </w:rPr>
              <w:t xml:space="preserve">First comprehensive evaluation of national programme to gauge effectiveness of government programmes conducted and findings have been endorsed by cabinet.   </w:t>
            </w:r>
          </w:p>
          <w:p w:rsidR="003B037A" w:rsidRPr="000B7C13" w:rsidRDefault="000F3E5C" w:rsidP="0071420D">
            <w:pPr>
              <w:pStyle w:val="BodyText2"/>
              <w:jc w:val="both"/>
              <w:rPr>
                <w:sz w:val="24"/>
                <w:szCs w:val="24"/>
                <w:lang w:val="en-GB"/>
              </w:rPr>
            </w:pPr>
            <w:r w:rsidRPr="000B7C13">
              <w:rPr>
                <w:rFonts w:ascii="Calibri" w:hAnsi="Calibri" w:cs="ArialMT"/>
                <w:color w:val="444444"/>
                <w:lang w:val="en-GB"/>
              </w:rPr>
              <w:t>b</w:t>
            </w:r>
            <w:r w:rsidR="00380C16" w:rsidRPr="000B7C13">
              <w:rPr>
                <w:rFonts w:ascii="Calibri" w:hAnsi="Calibri" w:cs="ArialMT"/>
                <w:color w:val="444444"/>
                <w:lang w:val="en-GB"/>
              </w:rPr>
              <w:t xml:space="preserve">. </w:t>
            </w:r>
            <w:r w:rsidR="00730883" w:rsidRPr="000B7C13">
              <w:rPr>
                <w:rFonts w:ascii="Calibri" w:hAnsi="Calibri" w:cs="ArialMT"/>
                <w:color w:val="444444"/>
                <w:lang w:val="en-GB"/>
              </w:rPr>
              <w:t>e</w:t>
            </w:r>
            <w:r w:rsidR="00730883" w:rsidRPr="000B7C13">
              <w:rPr>
                <w:rFonts w:ascii="Calibri" w:hAnsi="Calibri"/>
                <w:lang w:val="en-GB"/>
              </w:rPr>
              <w:t>-Learning and assessment mechanisms for social assistance mechanisms</w:t>
            </w:r>
            <w:r w:rsidR="006E57B0" w:rsidRPr="000B7C13">
              <w:rPr>
                <w:rFonts w:ascii="Calibri" w:hAnsi="Calibri"/>
                <w:lang w:val="en-GB"/>
              </w:rPr>
              <w:t>, policy reform proposals to increase women and men's access to social protection schemes targeting the poor</w:t>
            </w:r>
            <w:r w:rsidR="00770901" w:rsidRPr="000B7C13">
              <w:rPr>
                <w:rFonts w:ascii="Calibri" w:hAnsi="Calibri"/>
                <w:lang w:val="en-GB"/>
              </w:rPr>
              <w:t xml:space="preserve"> developed.</w:t>
            </w:r>
          </w:p>
          <w:p w:rsidR="000F3E5C" w:rsidRPr="000B7C13" w:rsidRDefault="00582C59" w:rsidP="0071420D">
            <w:pPr>
              <w:pStyle w:val="BodyText2"/>
              <w:jc w:val="both"/>
              <w:rPr>
                <w:rFonts w:ascii="Calibri" w:hAnsi="Calibri"/>
                <w:lang w:val="en-GB"/>
              </w:rPr>
            </w:pPr>
            <w:r w:rsidRPr="000B7C13">
              <w:rPr>
                <w:rFonts w:ascii="Calibri" w:hAnsi="Calibri"/>
                <w:lang w:val="en-GB"/>
              </w:rPr>
              <w:t>c</w:t>
            </w:r>
            <w:r w:rsidR="000F3E5C" w:rsidRPr="000B7C13">
              <w:rPr>
                <w:rFonts w:ascii="Calibri" w:hAnsi="Calibri"/>
                <w:lang w:val="en-GB"/>
              </w:rPr>
              <w:t>. 20</w:t>
            </w:r>
            <w:r w:rsidR="00022871" w:rsidRPr="000B7C13">
              <w:rPr>
                <w:rFonts w:ascii="Calibri" w:hAnsi="Calibri"/>
                <w:lang w:val="en-GB"/>
              </w:rPr>
              <w:t xml:space="preserve">15 </w:t>
            </w:r>
            <w:r w:rsidR="00E318CF">
              <w:rPr>
                <w:rFonts w:ascii="Calibri" w:hAnsi="Calibri"/>
                <w:lang w:val="en-GB"/>
              </w:rPr>
              <w:t>3 NGO platforms composed of over 30 local associations</w:t>
            </w:r>
            <w:r w:rsidR="00022871" w:rsidRPr="000B7C13">
              <w:rPr>
                <w:rFonts w:ascii="Calibri" w:hAnsi="Calibri"/>
                <w:lang w:val="en-GB"/>
              </w:rPr>
              <w:t xml:space="preserve"> equipped with new models of service delivery. The target has been met as agreed at the start of the programme.</w:t>
            </w:r>
            <w:r w:rsidR="000F3E5C" w:rsidRPr="000B7C13">
              <w:rPr>
                <w:rFonts w:ascii="Calibri" w:hAnsi="Calibri"/>
                <w:lang w:val="en-GB"/>
              </w:rPr>
              <w:t xml:space="preserve"> </w:t>
            </w:r>
          </w:p>
          <w:p w:rsidR="00B40BDB" w:rsidRPr="000B7C13" w:rsidRDefault="0089028E" w:rsidP="004A35DC">
            <w:pPr>
              <w:pStyle w:val="BodyText2"/>
              <w:jc w:val="both"/>
              <w:rPr>
                <w:rFonts w:ascii="Calibri" w:hAnsi="Calibri"/>
                <w:lang w:val="en-GB"/>
              </w:rPr>
            </w:pPr>
            <w:r w:rsidRPr="000B7C13">
              <w:rPr>
                <w:rFonts w:ascii="Calibri" w:hAnsi="Calibri"/>
                <w:lang w:val="en-GB"/>
              </w:rPr>
              <w:t xml:space="preserve">d. </w:t>
            </w:r>
            <w:r w:rsidR="004A35DC">
              <w:rPr>
                <w:rFonts w:ascii="Calibri" w:hAnsi="Calibri"/>
                <w:lang w:val="en-GB"/>
              </w:rPr>
              <w:t>Two (</w:t>
            </w:r>
            <w:r w:rsidR="004A35DC" w:rsidRPr="004A35DC">
              <w:rPr>
                <w:rFonts w:ascii="Calibri" w:hAnsi="Calibri"/>
                <w:lang w:val="en-GB"/>
              </w:rPr>
              <w:t>2</w:t>
            </w:r>
            <w:r w:rsidR="004A35DC">
              <w:rPr>
                <w:rFonts w:ascii="Calibri" w:hAnsi="Calibri"/>
                <w:lang w:val="en-GB"/>
              </w:rPr>
              <w:t>)</w:t>
            </w:r>
            <w:r w:rsidR="004A35DC" w:rsidRPr="004A35DC">
              <w:rPr>
                <w:rFonts w:ascii="Calibri" w:hAnsi="Calibri"/>
                <w:lang w:val="en-GB"/>
              </w:rPr>
              <w:t xml:space="preserve"> monitoring systems established at National Empowerment Foundation and the Ministry of Social Integration and Economic Empowerment</w:t>
            </w:r>
            <w:r w:rsidRPr="000B7C13">
              <w:rPr>
                <w:rFonts w:ascii="Calibri" w:hAnsi="Calibri"/>
                <w:lang w:val="en-GB"/>
              </w:rPr>
              <w:t xml:space="preserve"> </w:t>
            </w:r>
          </w:p>
        </w:tc>
      </w:tr>
      <w:tr w:rsidR="00700521" w:rsidRPr="000B7C13" w:rsidTr="009E7526">
        <w:tc>
          <w:tcPr>
            <w:tcW w:w="14040" w:type="dxa"/>
            <w:gridSpan w:val="5"/>
          </w:tcPr>
          <w:p w:rsidR="00700521" w:rsidRPr="000B7C13" w:rsidRDefault="00700521" w:rsidP="00366AD1">
            <w:pPr>
              <w:pStyle w:val="BodyText2"/>
              <w:rPr>
                <w:rFonts w:ascii="Calibri" w:hAnsi="Calibri"/>
                <w:b/>
                <w:lang w:val="en-GB"/>
              </w:rPr>
            </w:pPr>
            <w:r w:rsidRPr="000B7C13">
              <w:rPr>
                <w:rFonts w:ascii="Calibri" w:hAnsi="Calibri"/>
                <w:b/>
                <w:lang w:val="en-GB"/>
              </w:rPr>
              <w:t>UNDP Contribution:</w:t>
            </w:r>
          </w:p>
          <w:p w:rsidR="008B06DD" w:rsidRPr="000B7C13" w:rsidRDefault="00EB3419" w:rsidP="000F3E5C">
            <w:pPr>
              <w:pStyle w:val="BodyText2"/>
              <w:jc w:val="both"/>
              <w:rPr>
                <w:rFonts w:ascii="Calibri" w:hAnsi="Calibri"/>
                <w:lang w:val="en-GB"/>
              </w:rPr>
            </w:pPr>
            <w:r w:rsidRPr="000B7C13">
              <w:rPr>
                <w:rFonts w:ascii="Calibri" w:hAnsi="Calibri"/>
                <w:lang w:val="en-GB"/>
              </w:rPr>
              <w:t xml:space="preserve">The UNDP contribution identified in the CP was </w:t>
            </w:r>
            <w:r w:rsidR="00607CA0" w:rsidRPr="000B7C13">
              <w:rPr>
                <w:rFonts w:ascii="Calibri" w:hAnsi="Calibri"/>
                <w:lang w:val="en-GB"/>
              </w:rPr>
              <w:t xml:space="preserve">focused </w:t>
            </w:r>
            <w:r w:rsidRPr="000B7C13">
              <w:rPr>
                <w:rFonts w:ascii="Calibri" w:hAnsi="Calibri"/>
                <w:lang w:val="en-GB"/>
              </w:rPr>
              <w:t xml:space="preserve">on improving the living standards of the human development index and on the empowerment and </w:t>
            </w:r>
            <w:r w:rsidR="0017263C" w:rsidRPr="0017263C">
              <w:rPr>
                <w:rFonts w:ascii="Calibri" w:hAnsi="Calibri"/>
                <w:lang w:val="en-GB"/>
              </w:rPr>
              <w:t>labour</w:t>
            </w:r>
            <w:r w:rsidRPr="000B7C13">
              <w:rPr>
                <w:rFonts w:ascii="Calibri" w:hAnsi="Calibri"/>
                <w:lang w:val="en-GB"/>
              </w:rPr>
              <w:t xml:space="preserve"> market dimension of the gender inequality indexes. These included supporting a capacity development strategy enabling public institutions and non-state actors to contribute directly to reducing poverty and exclusion, increasing citizen participation for greater transparency, women economic empowerment and improving performance by establishment of a monitoring and evaluation system.</w:t>
            </w:r>
          </w:p>
          <w:p w:rsidR="00EB3419" w:rsidRPr="000B7C13" w:rsidRDefault="00EB3419" w:rsidP="00366AD1">
            <w:pPr>
              <w:pStyle w:val="BodyText2"/>
              <w:rPr>
                <w:rFonts w:ascii="Calibri" w:hAnsi="Calibri"/>
                <w:lang w:val="en-GB"/>
              </w:rPr>
            </w:pPr>
          </w:p>
          <w:p w:rsidR="008B06DD" w:rsidRPr="000B7C13" w:rsidRDefault="008B06DD" w:rsidP="00612159">
            <w:pPr>
              <w:pStyle w:val="BodyText2"/>
              <w:rPr>
                <w:rFonts w:ascii="Calibri" w:hAnsi="Calibri"/>
                <w:lang w:val="en-GB"/>
              </w:rPr>
            </w:pPr>
            <w:r w:rsidRPr="000B7C13">
              <w:rPr>
                <w:rFonts w:ascii="Calibri" w:hAnsi="Calibri"/>
                <w:u w:val="single"/>
                <w:lang w:val="en-GB"/>
              </w:rPr>
              <w:t>CP Outputs</w:t>
            </w:r>
            <w:r w:rsidR="00845340" w:rsidRPr="000B7C13">
              <w:rPr>
                <w:rFonts w:ascii="Calibri" w:hAnsi="Calibri"/>
                <w:lang w:val="en-GB"/>
              </w:rPr>
              <w:t>:</w:t>
            </w:r>
          </w:p>
          <w:p w:rsidR="00380C16" w:rsidRPr="000B7C13" w:rsidRDefault="00380C16" w:rsidP="00E34EA7">
            <w:pPr>
              <w:pStyle w:val="BodyText2"/>
              <w:jc w:val="both"/>
              <w:rPr>
                <w:rFonts w:ascii="Calibri" w:hAnsi="Calibri"/>
                <w:lang w:val="en-GB"/>
              </w:rPr>
            </w:pPr>
            <w:r w:rsidRPr="000B7C13">
              <w:rPr>
                <w:rFonts w:ascii="Calibri" w:hAnsi="Calibri"/>
                <w:lang w:val="en-GB"/>
              </w:rPr>
              <w:t>The indicative outputs</w:t>
            </w:r>
            <w:r w:rsidR="00770901" w:rsidRPr="000B7C13">
              <w:rPr>
                <w:rFonts w:ascii="Calibri" w:hAnsi="Calibri"/>
                <w:lang w:val="en-GB"/>
              </w:rPr>
              <w:t xml:space="preserve">; a) </w:t>
            </w:r>
            <w:r w:rsidR="002000BD" w:rsidRPr="000B7C13">
              <w:rPr>
                <w:rFonts w:ascii="Calibri" w:hAnsi="Calibri"/>
                <w:lang w:val="en-GB"/>
              </w:rPr>
              <w:t>C</w:t>
            </w:r>
            <w:r w:rsidR="00770901" w:rsidRPr="000B7C13">
              <w:rPr>
                <w:rFonts w:ascii="Calibri" w:hAnsi="Calibri"/>
                <w:lang w:val="en-GB"/>
              </w:rPr>
              <w:t xml:space="preserve">apacity on </w:t>
            </w:r>
            <w:r w:rsidR="00022871" w:rsidRPr="000B7C13">
              <w:rPr>
                <w:rFonts w:ascii="Calibri" w:hAnsi="Calibri"/>
                <w:lang w:val="en-GB"/>
              </w:rPr>
              <w:t>m</w:t>
            </w:r>
            <w:r w:rsidR="00770901" w:rsidRPr="000B7C13">
              <w:rPr>
                <w:rFonts w:ascii="Calibri" w:hAnsi="Calibri"/>
                <w:lang w:val="en-GB"/>
              </w:rPr>
              <w:t>onitoring and Evaluation capacity within the M&amp;E Unit at the Ministry of Finance and the Prime Minister's Office (National Development Unit strengthened</w:t>
            </w:r>
            <w:r w:rsidR="00022871" w:rsidRPr="000B7C13">
              <w:rPr>
                <w:rFonts w:ascii="Calibri" w:hAnsi="Calibri"/>
                <w:lang w:val="en-GB"/>
              </w:rPr>
              <w:t xml:space="preserve"> b) e-Learning and assessment mechanisms for social assistance mechanisms, policy reform proposals to increase women and men's access to social protection schemes targeting the poor developed and forwarded to cabinet for endorsement c) UNDP has enhanced the capacity of non-state actors and </w:t>
            </w:r>
            <w:r w:rsidR="00022871" w:rsidRPr="000B7C13">
              <w:rPr>
                <w:rFonts w:ascii="Calibri" w:hAnsi="Calibri"/>
                <w:lang w:val="en-GB"/>
              </w:rPr>
              <w:lastRenderedPageBreak/>
              <w:t>vulnerable groups in policy formulation and implementation of NGO projects towards a more equitable and inclusive society through the design and implementation</w:t>
            </w:r>
            <w:r w:rsidR="002868C9" w:rsidRPr="000B7C13">
              <w:rPr>
                <w:rFonts w:ascii="Calibri" w:hAnsi="Calibri"/>
                <w:lang w:val="en-GB"/>
              </w:rPr>
              <w:t xml:space="preserve"> of a training strategy for non-</w:t>
            </w:r>
            <w:r w:rsidR="00022871" w:rsidRPr="000B7C13">
              <w:rPr>
                <w:rFonts w:ascii="Calibri" w:hAnsi="Calibri"/>
                <w:lang w:val="en-GB"/>
              </w:rPr>
              <w:t>state actors with other stakeholders</w:t>
            </w:r>
            <w:r w:rsidR="0089028E" w:rsidRPr="000B7C13">
              <w:rPr>
                <w:rFonts w:ascii="Calibri" w:hAnsi="Calibri"/>
                <w:lang w:val="en-GB"/>
              </w:rPr>
              <w:t xml:space="preserve"> </w:t>
            </w:r>
            <w:r w:rsidR="00CC149F" w:rsidRPr="000B7C13">
              <w:rPr>
                <w:rFonts w:ascii="Calibri" w:hAnsi="Calibri"/>
                <w:lang w:val="en-GB"/>
              </w:rPr>
              <w:t xml:space="preserve"> and </w:t>
            </w:r>
            <w:r w:rsidR="0089028E" w:rsidRPr="000B7C13">
              <w:rPr>
                <w:rFonts w:ascii="Calibri" w:hAnsi="Calibri"/>
                <w:lang w:val="en-GB"/>
              </w:rPr>
              <w:t xml:space="preserve">d) public sector </w:t>
            </w:r>
            <w:r w:rsidR="002868C9" w:rsidRPr="000B7C13">
              <w:rPr>
                <w:rFonts w:ascii="Calibri" w:hAnsi="Calibri"/>
                <w:lang w:val="en-GB"/>
              </w:rPr>
              <w:t xml:space="preserve">capacity to </w:t>
            </w:r>
            <w:r w:rsidR="0089028E" w:rsidRPr="000B7C13">
              <w:rPr>
                <w:rFonts w:ascii="Calibri" w:hAnsi="Calibri"/>
                <w:lang w:val="en-GB"/>
              </w:rPr>
              <w:t>monitoring social programmes has been developed through the design and implementation of an M &amp; E Manual to assist the National Empowerment Foundation and the Ministry of Social Integration and Economic Empowerment in implementing an effective monitoring and evaluation (M&amp;E) system</w:t>
            </w:r>
            <w:r w:rsidR="002868C9" w:rsidRPr="000B7C13">
              <w:rPr>
                <w:rFonts w:ascii="Calibri" w:hAnsi="Calibri"/>
                <w:lang w:val="en-GB"/>
              </w:rPr>
              <w:t>.</w:t>
            </w:r>
            <w:r w:rsidR="00022871" w:rsidRPr="000B7C13">
              <w:rPr>
                <w:rFonts w:ascii="Calibri" w:hAnsi="Calibri"/>
                <w:lang w:val="en-GB"/>
              </w:rPr>
              <w:t xml:space="preserve"> </w:t>
            </w:r>
          </w:p>
          <w:p w:rsidR="00B1217F" w:rsidRPr="000B7C13" w:rsidRDefault="00B1217F" w:rsidP="00005920">
            <w:pPr>
              <w:pStyle w:val="BodyText2"/>
              <w:rPr>
                <w:rFonts w:ascii="Calibri" w:hAnsi="Calibri"/>
                <w:u w:val="single"/>
                <w:lang w:val="en-GB"/>
              </w:rPr>
            </w:pPr>
          </w:p>
          <w:p w:rsidR="00700521" w:rsidRPr="000B7C13" w:rsidRDefault="008B06DD" w:rsidP="0017263C">
            <w:pPr>
              <w:pStyle w:val="BodyText2"/>
              <w:jc w:val="both"/>
              <w:rPr>
                <w:rFonts w:ascii="Calibri" w:hAnsi="Calibri"/>
                <w:lang w:val="en-GB"/>
              </w:rPr>
            </w:pPr>
            <w:r w:rsidRPr="000B7C13">
              <w:rPr>
                <w:rFonts w:ascii="Calibri" w:hAnsi="Calibri"/>
                <w:u w:val="single"/>
                <w:lang w:val="en-GB"/>
              </w:rPr>
              <w:t>Progress and Achievements</w:t>
            </w:r>
            <w:r w:rsidR="00005920" w:rsidRPr="000B7C13">
              <w:rPr>
                <w:rFonts w:ascii="Calibri" w:hAnsi="Calibri"/>
                <w:lang w:val="en-GB"/>
              </w:rPr>
              <w:t xml:space="preserve"> </w:t>
            </w:r>
            <w:r w:rsidR="002000BD" w:rsidRPr="000B7C13">
              <w:rPr>
                <w:rFonts w:ascii="Calibri" w:hAnsi="Calibri"/>
                <w:lang w:val="en-GB"/>
              </w:rPr>
              <w:t>T</w:t>
            </w:r>
            <w:r w:rsidR="00005920" w:rsidRPr="000B7C13">
              <w:rPr>
                <w:rFonts w:ascii="Calibri" w:hAnsi="Calibri"/>
                <w:lang w:val="en-GB"/>
              </w:rPr>
              <w:t xml:space="preserve">here are early signs that the monitoring and evaluation (M&amp;E) capacity within the Ministry of Finance M&amp;E Unit and National Development Unit in the Prime is improving evidenced by leading the first comprehensive national programme on evaluation to gauge effectiveness of government programmes and these findings have been endorsed by cabinet. </w:t>
            </w:r>
            <w:r w:rsidR="00B62D50" w:rsidRPr="000B7C13">
              <w:rPr>
                <w:rFonts w:ascii="Calibri" w:hAnsi="Calibri"/>
                <w:lang w:val="en-GB"/>
              </w:rPr>
              <w:t>As indicated in the 2015 Mid-term evaluation of the CP, a</w:t>
            </w:r>
            <w:r w:rsidR="00005920" w:rsidRPr="000B7C13">
              <w:rPr>
                <w:rFonts w:ascii="Calibri" w:hAnsi="Calibri"/>
                <w:lang w:val="en-GB"/>
              </w:rPr>
              <w:t>ccountability and transparency over the use of public funds by government ministries and departments has been strengthened through UNDP technical assistance leading to the adoption by the National assembly of mandatory annual performance reports, introduction of performance based budgeting and simplification of the budgeting framework within government. Additionally UNDP as part of civil service reform and contribution to improved service delivery capacity of government personnel in foresight techniques in partnership with</w:t>
            </w:r>
            <w:r w:rsidR="00005920" w:rsidRPr="000B7C13">
              <w:rPr>
                <w:sz w:val="24"/>
                <w:szCs w:val="24"/>
                <w:lang w:val="en-GB"/>
              </w:rPr>
              <w:t xml:space="preserve"> </w:t>
            </w:r>
            <w:r w:rsidR="00005920" w:rsidRPr="000B7C13">
              <w:rPr>
                <w:rFonts w:ascii="Calibri" w:hAnsi="Calibri"/>
                <w:lang w:val="en-GB"/>
              </w:rPr>
              <w:t>Global Centre for Public Service Excellence was built to enhance planning and development  of an on-line Learning Management System (LMS) for the Civil Service. A total of 9 courses have been designed and offers a number of outstanding advantages for public institutions and for staff, including consistent delivery of content, on-demand availability and self-pacing training. Full roll-out is expected in 2016. Mauritius government is  only the second country in Africa to have developed an LMS for the entire civil service</w:t>
            </w:r>
            <w:r w:rsidR="00B62D50" w:rsidRPr="000B7C13">
              <w:rPr>
                <w:rFonts w:ascii="Calibri" w:hAnsi="Calibri"/>
                <w:lang w:val="en-GB"/>
              </w:rPr>
              <w:t xml:space="preserve">.  </w:t>
            </w:r>
          </w:p>
        </w:tc>
      </w:tr>
    </w:tbl>
    <w:p w:rsidR="00D9192E" w:rsidRPr="000B7C13" w:rsidRDefault="00D9192E">
      <w:pPr>
        <w:rPr>
          <w:lang w:val="en-GB"/>
        </w:rPr>
      </w:pPr>
      <w:r w:rsidRPr="000B7C13">
        <w:rPr>
          <w:lang w:val="en-GB"/>
        </w:rPr>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0B7C13" w:rsidTr="000823AC">
        <w:tc>
          <w:tcPr>
            <w:tcW w:w="3060" w:type="dxa"/>
            <w:shd w:val="clear" w:color="auto" w:fill="95B3D7"/>
          </w:tcPr>
          <w:p w:rsidR="003B037A" w:rsidRPr="000B7C13" w:rsidRDefault="005638CB" w:rsidP="003378F0">
            <w:pPr>
              <w:pStyle w:val="BodyText2"/>
              <w:jc w:val="both"/>
              <w:rPr>
                <w:rFonts w:ascii="Calibri" w:hAnsi="Calibri"/>
                <w:b/>
                <w:lang w:val="en-GB"/>
              </w:rPr>
            </w:pPr>
            <w:r w:rsidRPr="000B7C13">
              <w:rPr>
                <w:rFonts w:ascii="Calibri" w:hAnsi="Calibri"/>
                <w:lang w:val="en-GB"/>
              </w:rPr>
              <w:lastRenderedPageBreak/>
              <w:t>28</w:t>
            </w:r>
            <w:r w:rsidR="003B037A" w:rsidRPr="000B7C13">
              <w:rPr>
                <w:rFonts w:ascii="Calibri" w:hAnsi="Calibri"/>
                <w:lang w:val="en-GB"/>
              </w:rPr>
              <w:t>.</w:t>
            </w:r>
            <w:r w:rsidR="003378F0" w:rsidRPr="000B7C13">
              <w:rPr>
                <w:rFonts w:ascii="Calibri" w:hAnsi="Calibri"/>
                <w:lang w:val="en-GB"/>
              </w:rPr>
              <w:t xml:space="preserve"> </w:t>
            </w:r>
            <w:r w:rsidR="003378F0" w:rsidRPr="000B7C13">
              <w:rPr>
                <w:rFonts w:ascii="Calibri" w:hAnsi="Calibri"/>
                <w:b/>
                <w:lang w:val="en-GB"/>
              </w:rPr>
              <w:t>Achieving environmental sustainability while addressing climate change and ensuring more effective environmental protection and conservation of natural resources.</w:t>
            </w:r>
          </w:p>
          <w:p w:rsidR="003378F0" w:rsidRPr="000B7C13" w:rsidRDefault="003378F0" w:rsidP="00DC4D86">
            <w:pPr>
              <w:pStyle w:val="BodyText2"/>
              <w:rPr>
                <w:rFonts w:ascii="Calibri" w:hAnsi="Calibri"/>
                <w:b/>
                <w:lang w:val="en-GB"/>
              </w:rPr>
            </w:pPr>
          </w:p>
        </w:tc>
        <w:tc>
          <w:tcPr>
            <w:tcW w:w="1530" w:type="dxa"/>
            <w:shd w:val="clear" w:color="auto" w:fill="auto"/>
          </w:tcPr>
          <w:p w:rsidR="003B037A" w:rsidRPr="000B7C13" w:rsidRDefault="003B037A" w:rsidP="007F4698">
            <w:pPr>
              <w:pStyle w:val="BodyText2"/>
              <w:rPr>
                <w:rFonts w:ascii="Calibri" w:hAnsi="Calibri"/>
                <w:lang w:val="en-GB"/>
              </w:rPr>
            </w:pPr>
            <w:r w:rsidRPr="000B7C13">
              <w:rPr>
                <w:rFonts w:ascii="Calibri" w:hAnsi="Calibri"/>
                <w:lang w:val="en-GB"/>
              </w:rPr>
              <w:t>$</w:t>
            </w:r>
            <w:r w:rsidR="007F4698" w:rsidRPr="000B7C13">
              <w:rPr>
                <w:rFonts w:ascii="Calibri" w:hAnsi="Calibri"/>
                <w:lang w:val="en-GB"/>
              </w:rPr>
              <w:t xml:space="preserve">9,444,787 </w:t>
            </w:r>
          </w:p>
        </w:tc>
        <w:tc>
          <w:tcPr>
            <w:tcW w:w="3960" w:type="dxa"/>
            <w:tcBorders>
              <w:left w:val="single" w:sz="4" w:space="0" w:color="auto"/>
            </w:tcBorders>
          </w:tcPr>
          <w:p w:rsidR="003B037A" w:rsidRPr="000B7C13" w:rsidRDefault="00D9192E">
            <w:pPr>
              <w:pStyle w:val="BodyText2"/>
              <w:rPr>
                <w:rFonts w:ascii="Calibri" w:hAnsi="Calibri"/>
                <w:lang w:val="en-GB"/>
              </w:rPr>
            </w:pPr>
            <w:r w:rsidRPr="000B7C13">
              <w:rPr>
                <w:rFonts w:ascii="Calibri" w:hAnsi="Calibri"/>
                <w:lang w:val="en-GB"/>
              </w:rPr>
              <w:t>a.</w:t>
            </w:r>
            <w:r w:rsidR="00291ED0" w:rsidRPr="000B7C13">
              <w:rPr>
                <w:rFonts w:ascii="Calibri" w:hAnsi="Calibri"/>
                <w:lang w:val="en-GB"/>
              </w:rPr>
              <w:t xml:space="preserve"> Percentage of terrestrial and marine areas under conservation</w:t>
            </w:r>
          </w:p>
          <w:p w:rsidR="00291ED0" w:rsidRPr="000B7C13" w:rsidRDefault="00291ED0">
            <w:pPr>
              <w:pStyle w:val="BodyText2"/>
              <w:rPr>
                <w:rFonts w:ascii="Calibri" w:hAnsi="Calibri"/>
                <w:lang w:val="en-GB"/>
              </w:rPr>
            </w:pPr>
            <w:r w:rsidRPr="000B7C13">
              <w:rPr>
                <w:rFonts w:ascii="Calibri" w:hAnsi="Calibri"/>
                <w:lang w:val="en-GB"/>
              </w:rPr>
              <w:t xml:space="preserve">b. Energy intensity of growth per unit of gross domestic </w:t>
            </w:r>
          </w:p>
          <w:p w:rsidR="00291ED0" w:rsidRPr="000B7C13" w:rsidRDefault="00291ED0">
            <w:pPr>
              <w:pStyle w:val="BodyText2"/>
              <w:rPr>
                <w:rFonts w:ascii="Calibri" w:hAnsi="Calibri"/>
                <w:lang w:val="en-GB"/>
              </w:rPr>
            </w:pPr>
            <w:r w:rsidRPr="000B7C13">
              <w:rPr>
                <w:rFonts w:ascii="Calibri" w:hAnsi="Calibri"/>
                <w:lang w:val="en-GB"/>
              </w:rPr>
              <w:t>c. Percentage of renewable energy on the national grid</w:t>
            </w:r>
          </w:p>
        </w:tc>
        <w:tc>
          <w:tcPr>
            <w:tcW w:w="5490" w:type="dxa"/>
            <w:shd w:val="clear" w:color="auto" w:fill="auto"/>
          </w:tcPr>
          <w:p w:rsidR="00A556D9" w:rsidRPr="000B7C13" w:rsidRDefault="00A556D9" w:rsidP="00883252">
            <w:pPr>
              <w:pStyle w:val="BodyText2"/>
              <w:jc w:val="both"/>
              <w:rPr>
                <w:rFonts w:ascii="Calibri" w:hAnsi="Calibri"/>
                <w:lang w:val="en-GB"/>
              </w:rPr>
            </w:pPr>
            <w:r w:rsidRPr="000B7C13">
              <w:rPr>
                <w:rFonts w:ascii="Calibri" w:hAnsi="Calibri"/>
                <w:lang w:val="en-GB"/>
              </w:rPr>
              <w:t xml:space="preserve">a.100% </w:t>
            </w:r>
            <w:r w:rsidR="00883252" w:rsidRPr="000B7C13">
              <w:rPr>
                <w:rFonts w:ascii="Calibri" w:hAnsi="Calibri"/>
                <w:lang w:val="en-GB"/>
              </w:rPr>
              <w:t xml:space="preserve">protection </w:t>
            </w:r>
            <w:r w:rsidRPr="000B7C13">
              <w:rPr>
                <w:rFonts w:ascii="Calibri" w:hAnsi="Calibri"/>
                <w:lang w:val="en-GB"/>
              </w:rPr>
              <w:t xml:space="preserve">of </w:t>
            </w:r>
            <w:r w:rsidR="00883252" w:rsidRPr="000B7C13">
              <w:rPr>
                <w:rFonts w:ascii="Calibri" w:hAnsi="Calibri"/>
                <w:lang w:val="en-GB"/>
              </w:rPr>
              <w:t>costal m</w:t>
            </w:r>
            <w:r w:rsidRPr="000B7C13">
              <w:rPr>
                <w:rFonts w:ascii="Calibri" w:hAnsi="Calibri"/>
                <w:lang w:val="en-GB"/>
              </w:rPr>
              <w:t>angroves achieved at targeted community.</w:t>
            </w:r>
          </w:p>
          <w:p w:rsidR="003B037A" w:rsidRPr="000B7C13" w:rsidRDefault="0016576C" w:rsidP="00883252">
            <w:pPr>
              <w:pStyle w:val="BodyText2"/>
              <w:jc w:val="both"/>
              <w:rPr>
                <w:rFonts w:ascii="Calibri" w:hAnsi="Calibri"/>
                <w:lang w:val="en-GB"/>
              </w:rPr>
            </w:pPr>
            <w:r w:rsidRPr="000B7C13">
              <w:rPr>
                <w:rFonts w:ascii="Calibri" w:hAnsi="Calibri"/>
                <w:lang w:val="en-GB"/>
              </w:rPr>
              <w:t xml:space="preserve">b. </w:t>
            </w:r>
            <w:r w:rsidR="00FA21BA" w:rsidRPr="000B7C13">
              <w:rPr>
                <w:rFonts w:ascii="Calibri" w:hAnsi="Calibri"/>
                <w:iCs/>
                <w:lang w:val="en-GB"/>
              </w:rPr>
              <w:t>The project has resulted in 53,481 tCO</w:t>
            </w:r>
            <w:r w:rsidR="00FA21BA" w:rsidRPr="000B7C13">
              <w:rPr>
                <w:rFonts w:ascii="Calibri" w:hAnsi="Calibri"/>
                <w:iCs/>
                <w:vertAlign w:val="subscript"/>
                <w:lang w:val="en-GB"/>
              </w:rPr>
              <w:t>2</w:t>
            </w:r>
            <w:r w:rsidR="00FA21BA" w:rsidRPr="000B7C13">
              <w:rPr>
                <w:rFonts w:ascii="Calibri" w:hAnsi="Calibri"/>
                <w:iCs/>
                <w:lang w:val="en-GB"/>
              </w:rPr>
              <w:t xml:space="preserve"> of direct emissions reductions due to the establishment of a feed-in tariff. This was above the target of </w:t>
            </w:r>
            <w:r w:rsidR="00FA21BA" w:rsidRPr="0017263C">
              <w:rPr>
                <w:rFonts w:ascii="Calibri" w:hAnsi="Calibri"/>
                <w:lang w:val="en-GB"/>
              </w:rPr>
              <w:t>42,000 tonnes of CO</w:t>
            </w:r>
            <w:r w:rsidR="00FA21BA" w:rsidRPr="0017263C">
              <w:rPr>
                <w:rFonts w:ascii="Calibri" w:hAnsi="Calibri"/>
                <w:vertAlign w:val="subscript"/>
                <w:lang w:val="en-GB"/>
              </w:rPr>
              <w:t>2</w:t>
            </w:r>
            <w:r w:rsidR="00FA21BA" w:rsidRPr="0017263C">
              <w:rPr>
                <w:rFonts w:ascii="Calibri" w:hAnsi="Calibri"/>
                <w:lang w:val="en-GB"/>
              </w:rPr>
              <w:t xml:space="preserve"> emissions.</w:t>
            </w:r>
          </w:p>
          <w:p w:rsidR="008421DE" w:rsidRPr="000B7C13" w:rsidRDefault="006E02F8" w:rsidP="00883252">
            <w:pPr>
              <w:pStyle w:val="BodyText2"/>
              <w:jc w:val="both"/>
              <w:rPr>
                <w:rFonts w:ascii="Calibri" w:hAnsi="Calibri"/>
                <w:lang w:val="en-GB"/>
              </w:rPr>
            </w:pPr>
            <w:r w:rsidRPr="000B7C13">
              <w:rPr>
                <w:rFonts w:ascii="Calibri" w:hAnsi="Calibri"/>
                <w:lang w:val="en-GB"/>
              </w:rPr>
              <w:t xml:space="preserve">c. </w:t>
            </w:r>
            <w:r w:rsidR="008421DE" w:rsidRPr="000B7C13">
              <w:rPr>
                <w:rFonts w:ascii="Calibri" w:hAnsi="Calibri"/>
                <w:lang w:val="en-GB"/>
              </w:rPr>
              <w:t xml:space="preserve">Energy production from PV installations using Grid codes increased ten-fold from 0.2 ktoe in 2013 to 2.1 ktoe in 2014.  </w:t>
            </w:r>
          </w:p>
          <w:p w:rsidR="006746D7" w:rsidRPr="000B7C13" w:rsidRDefault="008421DE" w:rsidP="00883252">
            <w:pPr>
              <w:pStyle w:val="BodyText2"/>
              <w:jc w:val="both"/>
              <w:rPr>
                <w:rFonts w:ascii="Calibri" w:hAnsi="Calibri"/>
                <w:lang w:val="en-GB"/>
              </w:rPr>
            </w:pPr>
            <w:r w:rsidRPr="000B7C13">
              <w:rPr>
                <w:rFonts w:ascii="Calibri" w:hAnsi="Calibri"/>
                <w:lang w:val="en-GB"/>
              </w:rPr>
              <w:t>d.</w:t>
            </w:r>
            <w:r w:rsidR="004905B9" w:rsidRPr="000B7C13">
              <w:rPr>
                <w:rFonts w:ascii="Calibri" w:hAnsi="Calibri"/>
                <w:lang w:val="en-GB"/>
              </w:rPr>
              <w:t xml:space="preserve"> </w:t>
            </w:r>
            <w:r w:rsidR="006746D7" w:rsidRPr="000B7C13">
              <w:rPr>
                <w:rFonts w:ascii="Calibri" w:hAnsi="Calibri"/>
                <w:lang w:val="en-GB"/>
              </w:rPr>
              <w:t xml:space="preserve">5 x </w:t>
            </w:r>
            <w:r w:rsidR="008834D6" w:rsidRPr="000B7C13">
              <w:rPr>
                <w:rFonts w:ascii="Calibri" w:hAnsi="Calibri"/>
                <w:lang w:val="en-GB"/>
              </w:rPr>
              <w:t>2 Mega</w:t>
            </w:r>
            <w:r w:rsidR="006746D7" w:rsidRPr="000B7C13">
              <w:rPr>
                <w:rFonts w:ascii="Calibri" w:hAnsi="Calibri"/>
                <w:lang w:val="en-GB"/>
              </w:rPr>
              <w:t xml:space="preserve"> Watts of Photo Voltaic (PV - solar) plant has been installed to produce electricity for domestic purposes. 2000 households now have access to renewable energy. This target was been met as agreed at the start of the programme</w:t>
            </w:r>
            <w:r w:rsidR="00DC1BA1" w:rsidRPr="000B7C13">
              <w:rPr>
                <w:rFonts w:ascii="Calibri" w:hAnsi="Calibri"/>
                <w:lang w:val="en-GB"/>
              </w:rPr>
              <w:t>.</w:t>
            </w:r>
          </w:p>
          <w:p w:rsidR="00314861" w:rsidRPr="000B7C13" w:rsidRDefault="008421DE" w:rsidP="00314861">
            <w:pPr>
              <w:pStyle w:val="BodyText2"/>
              <w:jc w:val="both"/>
              <w:rPr>
                <w:rFonts w:ascii="Calibri" w:hAnsi="Calibri"/>
                <w:lang w:val="en-GB"/>
              </w:rPr>
            </w:pPr>
            <w:r w:rsidRPr="000B7C13">
              <w:rPr>
                <w:rFonts w:ascii="Calibri" w:hAnsi="Calibri"/>
                <w:lang w:val="en-GB"/>
              </w:rPr>
              <w:t>e</w:t>
            </w:r>
            <w:r w:rsidR="00314861" w:rsidRPr="000B7C13">
              <w:rPr>
                <w:rFonts w:ascii="Calibri" w:hAnsi="Calibri"/>
                <w:lang w:val="en-GB"/>
              </w:rPr>
              <w:t xml:space="preserve">. </w:t>
            </w:r>
            <w:r w:rsidR="0017263C" w:rsidRPr="000B7C13">
              <w:rPr>
                <w:rFonts w:ascii="Calibri" w:hAnsi="Calibri"/>
                <w:lang w:val="en-GB"/>
              </w:rPr>
              <w:t>E</w:t>
            </w:r>
            <w:r w:rsidR="00314861" w:rsidRPr="000B7C13">
              <w:rPr>
                <w:rFonts w:ascii="Calibri" w:hAnsi="Calibri"/>
                <w:lang w:val="en-GB"/>
              </w:rPr>
              <w:t>nergy intensity improve</w:t>
            </w:r>
            <w:r w:rsidR="00EC1F97" w:rsidRPr="000B7C13">
              <w:rPr>
                <w:rFonts w:ascii="Calibri" w:hAnsi="Calibri"/>
                <w:lang w:val="en-GB"/>
              </w:rPr>
              <w:t>d</w:t>
            </w:r>
            <w:r w:rsidR="00314861" w:rsidRPr="000B7C13">
              <w:rPr>
                <w:rFonts w:ascii="Calibri" w:hAnsi="Calibri"/>
                <w:lang w:val="en-GB"/>
              </w:rPr>
              <w:t xml:space="preserve"> from 0.73 in 2013 to 0.72 in 2014 </w:t>
            </w:r>
          </w:p>
          <w:p w:rsidR="00B56AB1" w:rsidRPr="0017263C" w:rsidRDefault="00B56AB1" w:rsidP="00B56AB1">
            <w:pPr>
              <w:autoSpaceDE w:val="0"/>
              <w:autoSpaceDN w:val="0"/>
              <w:adjustRightInd w:val="0"/>
              <w:spacing w:line="240" w:lineRule="atLeast"/>
              <w:ind w:right="52"/>
              <w:rPr>
                <w:rFonts w:ascii="Calibri" w:hAnsi="Calibri"/>
                <w:sz w:val="20"/>
                <w:lang w:val="en-GB"/>
              </w:rPr>
            </w:pPr>
            <w:r w:rsidRPr="000B7C13">
              <w:rPr>
                <w:rFonts w:ascii="Calibri" w:hAnsi="Calibri"/>
                <w:sz w:val="20"/>
                <w:lang w:val="en-GB"/>
              </w:rPr>
              <w:t>f.</w:t>
            </w:r>
            <w:r w:rsidRPr="0017263C">
              <w:rPr>
                <w:rFonts w:ascii="Calibri" w:hAnsi="Calibri"/>
                <w:sz w:val="20"/>
                <w:lang w:val="en-GB"/>
              </w:rPr>
              <w:t xml:space="preserve"> 30 industrial facilities have received industrial energy audits through SIDS-Dock. In a follow-up survey, 20 reported energy savings as a result. </w:t>
            </w:r>
          </w:p>
          <w:p w:rsidR="00FB524D" w:rsidRPr="000B7C13" w:rsidRDefault="00B56AB1" w:rsidP="00B56AB1">
            <w:pPr>
              <w:pStyle w:val="BodyText2"/>
              <w:jc w:val="both"/>
              <w:rPr>
                <w:rFonts w:ascii="Calibri" w:hAnsi="Calibri"/>
                <w:lang w:val="en-GB"/>
              </w:rPr>
            </w:pPr>
            <w:r w:rsidRPr="000B7C13">
              <w:rPr>
                <w:rFonts w:ascii="Calibri" w:hAnsi="Calibri"/>
                <w:lang w:val="en-GB"/>
              </w:rPr>
              <w:t>g</w:t>
            </w:r>
            <w:r w:rsidR="00FB524D" w:rsidRPr="000B7C13">
              <w:rPr>
                <w:rFonts w:ascii="Calibri" w:hAnsi="Calibri"/>
                <w:lang w:val="en-GB"/>
              </w:rPr>
              <w:t>. 220,000 students</w:t>
            </w:r>
            <w:r w:rsidR="00015AE3" w:rsidRPr="000B7C13">
              <w:rPr>
                <w:rFonts w:ascii="Calibri" w:hAnsi="Calibri"/>
                <w:lang w:val="en-GB"/>
              </w:rPr>
              <w:t xml:space="preserve"> informed of climate change and climate change adaptation</w:t>
            </w:r>
            <w:r w:rsidR="00015AE3" w:rsidRPr="000B7C13">
              <w:rPr>
                <w:rFonts w:ascii="Calibri" w:hAnsi="Calibri"/>
                <w:szCs w:val="24"/>
                <w:lang w:val="en-GB"/>
              </w:rPr>
              <w:t xml:space="preserve">.  </w:t>
            </w:r>
          </w:p>
          <w:p w:rsidR="00730883" w:rsidRPr="000B7C13" w:rsidRDefault="006746D7" w:rsidP="00883252">
            <w:pPr>
              <w:pStyle w:val="BodyText2"/>
              <w:jc w:val="both"/>
              <w:rPr>
                <w:rFonts w:ascii="Calibri" w:hAnsi="Calibri"/>
                <w:lang w:val="en-GB"/>
              </w:rPr>
            </w:pPr>
            <w:r w:rsidRPr="000B7C13">
              <w:rPr>
                <w:rFonts w:ascii="Calibri" w:hAnsi="Calibri"/>
                <w:lang w:val="en-GB"/>
              </w:rPr>
              <w:t>g</w:t>
            </w:r>
            <w:r w:rsidR="00730883" w:rsidRPr="000B7C13">
              <w:rPr>
                <w:rFonts w:ascii="Calibri" w:hAnsi="Calibri"/>
                <w:lang w:val="en-GB"/>
              </w:rPr>
              <w:t>. National Chemicals Profile, and a Mercury Initial Assessment conducted</w:t>
            </w:r>
          </w:p>
          <w:p w:rsidR="0024749F" w:rsidRPr="000B7C13" w:rsidRDefault="006746D7" w:rsidP="00883252">
            <w:pPr>
              <w:pStyle w:val="BodyText2"/>
              <w:jc w:val="both"/>
              <w:rPr>
                <w:rFonts w:ascii="Calibri" w:hAnsi="Calibri"/>
                <w:lang w:val="en-GB"/>
              </w:rPr>
            </w:pPr>
            <w:r w:rsidRPr="000B7C13">
              <w:rPr>
                <w:rFonts w:ascii="Calibri" w:hAnsi="Calibri"/>
                <w:lang w:val="en-GB"/>
              </w:rPr>
              <w:t>h</w:t>
            </w:r>
            <w:r w:rsidR="00730883" w:rsidRPr="000B7C13">
              <w:rPr>
                <w:rFonts w:ascii="Calibri" w:hAnsi="Calibri"/>
                <w:lang w:val="en-GB"/>
              </w:rPr>
              <w:t xml:space="preserve">. </w:t>
            </w:r>
            <w:r w:rsidR="00A556D9" w:rsidRPr="000B7C13">
              <w:rPr>
                <w:rFonts w:ascii="Calibri" w:hAnsi="Calibri"/>
                <w:lang w:val="en-GB"/>
              </w:rPr>
              <w:t>N</w:t>
            </w:r>
            <w:r w:rsidR="00730883" w:rsidRPr="000B7C13">
              <w:rPr>
                <w:rFonts w:ascii="Calibri" w:hAnsi="Calibri"/>
                <w:lang w:val="en-GB"/>
              </w:rPr>
              <w:t xml:space="preserve">ational Early Warning System </w:t>
            </w:r>
            <w:r w:rsidR="00992512" w:rsidRPr="000B7C13">
              <w:rPr>
                <w:rFonts w:ascii="Calibri" w:hAnsi="Calibri"/>
                <w:lang w:val="en-GB"/>
              </w:rPr>
              <w:t xml:space="preserve">(EWS) for incoming storm surge developed </w:t>
            </w:r>
            <w:r w:rsidR="00730883" w:rsidRPr="000B7C13">
              <w:rPr>
                <w:rFonts w:ascii="Calibri" w:hAnsi="Calibri"/>
                <w:lang w:val="en-GB"/>
              </w:rPr>
              <w:t xml:space="preserve">which now provides for the safety and </w:t>
            </w:r>
            <w:r w:rsidR="00EC6AE0" w:rsidRPr="000B7C13">
              <w:rPr>
                <w:rFonts w:ascii="Calibri" w:hAnsi="Calibri"/>
                <w:lang w:val="en-GB"/>
              </w:rPr>
              <w:t>security of</w:t>
            </w:r>
            <w:r w:rsidR="00730883" w:rsidRPr="000B7C13">
              <w:rPr>
                <w:rFonts w:ascii="Calibri" w:hAnsi="Calibri"/>
                <w:lang w:val="en-GB"/>
              </w:rPr>
              <w:t xml:space="preserve"> 100% of coastal inhabitants where previously there was no formal </w:t>
            </w:r>
            <w:r w:rsidR="00684B78" w:rsidRPr="000B7C13">
              <w:rPr>
                <w:rFonts w:ascii="Calibri" w:hAnsi="Calibri"/>
                <w:lang w:val="en-GB"/>
              </w:rPr>
              <w:t>centralized</w:t>
            </w:r>
            <w:r w:rsidR="00730883" w:rsidRPr="000B7C13">
              <w:rPr>
                <w:rFonts w:ascii="Calibri" w:hAnsi="Calibri"/>
                <w:lang w:val="en-GB"/>
              </w:rPr>
              <w:t xml:space="preserve"> mechanism in place.</w:t>
            </w:r>
          </w:p>
          <w:p w:rsidR="00992512" w:rsidRPr="000B7C13" w:rsidRDefault="0024749F" w:rsidP="00883252">
            <w:pPr>
              <w:pStyle w:val="BodyText2"/>
              <w:jc w:val="both"/>
              <w:rPr>
                <w:rFonts w:ascii="Calibri" w:hAnsi="Calibri"/>
                <w:lang w:val="en-GB"/>
              </w:rPr>
            </w:pPr>
            <w:r w:rsidRPr="000B7C13">
              <w:rPr>
                <w:rFonts w:ascii="Calibri" w:hAnsi="Calibri"/>
                <w:lang w:val="en-GB"/>
              </w:rPr>
              <w:t>i. 320ha of land cleared of Invasive Alien Species</w:t>
            </w:r>
            <w:r w:rsidR="00FB524D" w:rsidRPr="000B7C13">
              <w:rPr>
                <w:rFonts w:ascii="Calibri" w:hAnsi="Calibri"/>
                <w:lang w:val="en-GB"/>
              </w:rPr>
              <w:t xml:space="preserve">, this is below the expected target of </w:t>
            </w:r>
            <w:r w:rsidR="00B0588C">
              <w:rPr>
                <w:rFonts w:ascii="Calibri" w:hAnsi="Calibri"/>
                <w:lang w:val="en-GB"/>
              </w:rPr>
              <w:t>500</w:t>
            </w:r>
            <w:r w:rsidR="00B0588C" w:rsidRPr="000B7C13">
              <w:rPr>
                <w:rFonts w:ascii="Calibri" w:hAnsi="Calibri"/>
                <w:lang w:val="en-GB"/>
              </w:rPr>
              <w:t xml:space="preserve"> </w:t>
            </w:r>
            <w:r w:rsidR="00FB524D" w:rsidRPr="000B7C13">
              <w:rPr>
                <w:rFonts w:ascii="Calibri" w:hAnsi="Calibri"/>
                <w:lang w:val="en-GB"/>
              </w:rPr>
              <w:t>ha.</w:t>
            </w:r>
            <w:r w:rsidRPr="000B7C13">
              <w:rPr>
                <w:rFonts w:ascii="Calibri" w:hAnsi="Calibri"/>
                <w:lang w:val="en-GB"/>
              </w:rPr>
              <w:t xml:space="preserve"> </w:t>
            </w:r>
          </w:p>
          <w:p w:rsidR="00684B78" w:rsidRPr="000B7C13" w:rsidRDefault="00B40BDB" w:rsidP="00314861">
            <w:pPr>
              <w:pStyle w:val="BodyText2"/>
              <w:jc w:val="both"/>
              <w:rPr>
                <w:rFonts w:ascii="Calibri" w:hAnsi="Calibri"/>
                <w:lang w:val="en-GB"/>
              </w:rPr>
            </w:pPr>
            <w:r w:rsidRPr="000B7C13">
              <w:rPr>
                <w:rFonts w:ascii="Calibri" w:hAnsi="Calibri"/>
                <w:lang w:val="en-GB"/>
              </w:rPr>
              <w:t xml:space="preserve">j. </w:t>
            </w:r>
            <w:r w:rsidR="00B0588C">
              <w:rPr>
                <w:rFonts w:ascii="Calibri" w:hAnsi="Calibri"/>
                <w:lang w:val="en-GB"/>
              </w:rPr>
              <w:t>Percentage</w:t>
            </w:r>
            <w:r w:rsidR="00B0588C" w:rsidRPr="000B7C13">
              <w:rPr>
                <w:rFonts w:ascii="Calibri" w:hAnsi="Calibri"/>
                <w:lang w:val="en-GB"/>
              </w:rPr>
              <w:t xml:space="preserve"> </w:t>
            </w:r>
            <w:r w:rsidRPr="000B7C13">
              <w:rPr>
                <w:rFonts w:ascii="Calibri" w:hAnsi="Calibri"/>
                <w:lang w:val="en-GB"/>
              </w:rPr>
              <w:t>of endangered</w:t>
            </w:r>
            <w:r w:rsidR="009C7E3E" w:rsidRPr="000B7C13">
              <w:rPr>
                <w:rFonts w:ascii="Calibri" w:hAnsi="Calibri"/>
                <w:lang w:val="en-GB"/>
              </w:rPr>
              <w:t xml:space="preserve"> species maintained at current level</w:t>
            </w:r>
            <w:r w:rsidR="00B0588C">
              <w:rPr>
                <w:rFonts w:ascii="Calibri" w:hAnsi="Calibri"/>
                <w:lang w:val="en-GB"/>
              </w:rPr>
              <w:t xml:space="preserve"> ie 94% for floral species</w:t>
            </w:r>
            <w:r w:rsidR="009C7E3E" w:rsidRPr="000B7C13">
              <w:rPr>
                <w:rFonts w:ascii="Calibri" w:hAnsi="Calibri"/>
                <w:lang w:val="en-GB"/>
              </w:rPr>
              <w:t>.</w:t>
            </w:r>
            <w:r w:rsidRPr="000B7C13">
              <w:rPr>
                <w:rFonts w:ascii="Calibri" w:hAnsi="Calibri"/>
                <w:lang w:val="en-GB"/>
              </w:rPr>
              <w:t xml:space="preserve"> </w:t>
            </w:r>
          </w:p>
        </w:tc>
      </w:tr>
      <w:tr w:rsidR="00DC4D86" w:rsidRPr="000B7C13" w:rsidTr="009E7526">
        <w:tc>
          <w:tcPr>
            <w:tcW w:w="14040" w:type="dxa"/>
            <w:gridSpan w:val="4"/>
          </w:tcPr>
          <w:p w:rsidR="00DC4D86" w:rsidRPr="000B7C13" w:rsidRDefault="00DC4D86" w:rsidP="000F3E5C">
            <w:pPr>
              <w:pStyle w:val="BodyText2"/>
              <w:jc w:val="both"/>
              <w:rPr>
                <w:rFonts w:ascii="Calibri" w:hAnsi="Calibri"/>
                <w:b/>
                <w:lang w:val="en-GB"/>
              </w:rPr>
            </w:pPr>
            <w:r w:rsidRPr="000B7C13">
              <w:rPr>
                <w:rFonts w:ascii="Calibri" w:hAnsi="Calibri"/>
                <w:b/>
                <w:lang w:val="en-GB"/>
              </w:rPr>
              <w:t>UNDP Contribution:</w:t>
            </w:r>
          </w:p>
          <w:p w:rsidR="00D9192E" w:rsidRPr="000B7C13" w:rsidRDefault="00607CA0" w:rsidP="000F3E5C">
            <w:pPr>
              <w:pStyle w:val="BodyText2"/>
              <w:jc w:val="both"/>
              <w:rPr>
                <w:rFonts w:ascii="Calibri" w:hAnsi="Calibri"/>
                <w:lang w:val="en-GB"/>
              </w:rPr>
            </w:pPr>
            <w:r w:rsidRPr="000B7C13">
              <w:rPr>
                <w:rFonts w:ascii="Calibri" w:hAnsi="Calibri"/>
                <w:lang w:val="en-GB"/>
              </w:rPr>
              <w:t>The UNDP contribution identified in the CP</w:t>
            </w:r>
            <w:r w:rsidR="0019368D" w:rsidRPr="000B7C13">
              <w:rPr>
                <w:rFonts w:ascii="Calibri" w:hAnsi="Calibri"/>
                <w:lang w:val="en-GB"/>
              </w:rPr>
              <w:t xml:space="preserve"> was on development of a green economy that ensures decent work, social inclusion and gender equality.  </w:t>
            </w:r>
          </w:p>
          <w:p w:rsidR="000F3E5C" w:rsidRPr="000B7C13" w:rsidRDefault="000F3E5C" w:rsidP="000F3E5C">
            <w:pPr>
              <w:pStyle w:val="BodyText2"/>
              <w:jc w:val="both"/>
              <w:rPr>
                <w:rFonts w:ascii="Calibri" w:hAnsi="Calibri"/>
                <w:u w:val="single"/>
                <w:lang w:val="en-GB"/>
              </w:rPr>
            </w:pPr>
          </w:p>
          <w:p w:rsidR="008B06DD" w:rsidRPr="000B7C13" w:rsidRDefault="008B06DD" w:rsidP="000F3E5C">
            <w:pPr>
              <w:pStyle w:val="BodyText2"/>
              <w:jc w:val="both"/>
              <w:rPr>
                <w:rFonts w:ascii="Calibri" w:hAnsi="Calibri"/>
                <w:u w:val="single"/>
                <w:lang w:val="en-GB"/>
              </w:rPr>
            </w:pPr>
            <w:r w:rsidRPr="000B7C13">
              <w:rPr>
                <w:rFonts w:ascii="Calibri" w:hAnsi="Calibri"/>
                <w:u w:val="single"/>
                <w:lang w:val="en-GB"/>
              </w:rPr>
              <w:t>CP Outputs</w:t>
            </w:r>
          </w:p>
          <w:p w:rsidR="00DD405B" w:rsidRPr="000B7C13" w:rsidRDefault="00DD405B" w:rsidP="000F3E5C">
            <w:pPr>
              <w:pStyle w:val="BodyText2"/>
              <w:jc w:val="both"/>
              <w:rPr>
                <w:rFonts w:ascii="Calibri" w:hAnsi="Calibri"/>
                <w:u w:val="single"/>
                <w:lang w:val="en-GB"/>
              </w:rPr>
            </w:pPr>
            <w:r w:rsidRPr="000B7C13">
              <w:rPr>
                <w:rFonts w:ascii="Calibri" w:hAnsi="Calibri"/>
                <w:lang w:val="en-GB"/>
              </w:rPr>
              <w:t xml:space="preserve">The indicative output(s) are </w:t>
            </w:r>
            <w:r w:rsidR="00697396" w:rsidRPr="000B7C13">
              <w:rPr>
                <w:rFonts w:ascii="Calibri" w:hAnsi="Calibri"/>
                <w:lang w:val="en-GB"/>
              </w:rPr>
              <w:t>a) 100% protection of costal mangroves achieved at targeted community b</w:t>
            </w:r>
            <w:r w:rsidRPr="000B7C13">
              <w:rPr>
                <w:rFonts w:ascii="Calibri" w:hAnsi="Calibri"/>
                <w:lang w:val="en-GB"/>
              </w:rPr>
              <w:t>)</w:t>
            </w:r>
            <w:r w:rsidR="006A7068" w:rsidRPr="000B7C13">
              <w:rPr>
                <w:rFonts w:ascii="Calibri" w:hAnsi="Calibri"/>
                <w:lang w:val="en-GB"/>
              </w:rPr>
              <w:t xml:space="preserve"> </w:t>
            </w:r>
            <w:r w:rsidR="00291B53" w:rsidRPr="000B7C13">
              <w:rPr>
                <w:rFonts w:ascii="Calibri" w:hAnsi="Calibri"/>
                <w:lang w:val="en-GB"/>
              </w:rPr>
              <w:t>GHG emissions decreased in the manufacturing sector by 4.1%</w:t>
            </w:r>
            <w:r w:rsidR="00291F96" w:rsidRPr="000B7C13">
              <w:rPr>
                <w:rFonts w:ascii="Calibri" w:hAnsi="Calibri"/>
                <w:lang w:val="en-GB"/>
              </w:rPr>
              <w:t xml:space="preserve"> </w:t>
            </w:r>
            <w:r w:rsidR="00FA21BA" w:rsidRPr="000B7C13">
              <w:rPr>
                <w:rFonts w:ascii="Calibri" w:hAnsi="Calibri"/>
                <w:lang w:val="en-GB"/>
              </w:rPr>
              <w:t>(</w:t>
            </w:r>
            <w:r w:rsidR="00FA21BA" w:rsidRPr="000B7C13">
              <w:rPr>
                <w:rFonts w:ascii="Calibri" w:hAnsi="Calibri"/>
                <w:iCs/>
                <w:lang w:val="en-GB"/>
              </w:rPr>
              <w:t>53,481 tCO</w:t>
            </w:r>
            <w:r w:rsidR="00FA21BA" w:rsidRPr="000B7C13">
              <w:rPr>
                <w:rFonts w:ascii="Calibri" w:hAnsi="Calibri"/>
                <w:iCs/>
                <w:vertAlign w:val="subscript"/>
                <w:lang w:val="en-GB"/>
              </w:rPr>
              <w:t>2</w:t>
            </w:r>
            <w:r w:rsidR="00FA21BA" w:rsidRPr="000B7C13">
              <w:rPr>
                <w:rFonts w:ascii="Calibri" w:hAnsi="Calibri"/>
                <w:iCs/>
                <w:lang w:val="en-GB"/>
              </w:rPr>
              <w:t xml:space="preserve"> of direct emissions reductions due to the establishment of a feed-in tariff above target of </w:t>
            </w:r>
            <w:r w:rsidR="00FA21BA" w:rsidRPr="0017263C">
              <w:rPr>
                <w:rFonts w:ascii="Calibri" w:hAnsi="Calibri"/>
                <w:lang w:val="en-GB"/>
              </w:rPr>
              <w:t>42,000 tonnes of CO</w:t>
            </w:r>
            <w:r w:rsidR="00FA21BA" w:rsidRPr="0017263C">
              <w:rPr>
                <w:rFonts w:ascii="Calibri" w:hAnsi="Calibri"/>
                <w:vertAlign w:val="subscript"/>
                <w:lang w:val="en-GB"/>
              </w:rPr>
              <w:t>2</w:t>
            </w:r>
            <w:r w:rsidR="00FA21BA" w:rsidRPr="0017263C">
              <w:rPr>
                <w:rFonts w:ascii="Calibri" w:hAnsi="Calibri"/>
                <w:lang w:val="en-GB"/>
              </w:rPr>
              <w:t xml:space="preserve"> emissions)</w:t>
            </w:r>
            <w:r w:rsidR="00291B53" w:rsidRPr="000B7C13">
              <w:rPr>
                <w:rFonts w:ascii="Calibri" w:hAnsi="Calibri"/>
                <w:lang w:val="en-GB"/>
              </w:rPr>
              <w:t>;</w:t>
            </w:r>
            <w:r w:rsidR="00697396" w:rsidRPr="000B7C13">
              <w:rPr>
                <w:rFonts w:ascii="Calibri" w:hAnsi="Calibri"/>
                <w:lang w:val="en-GB"/>
              </w:rPr>
              <w:t xml:space="preserve"> c</w:t>
            </w:r>
            <w:r w:rsidR="00291B53" w:rsidRPr="000B7C13">
              <w:rPr>
                <w:rFonts w:ascii="Calibri" w:hAnsi="Calibri"/>
                <w:lang w:val="en-GB"/>
              </w:rPr>
              <w:t xml:space="preserve">) </w:t>
            </w:r>
            <w:r w:rsidR="008A0283" w:rsidRPr="000B7C13">
              <w:rPr>
                <w:rFonts w:ascii="Calibri" w:hAnsi="Calibri"/>
                <w:lang w:val="en-GB"/>
              </w:rPr>
              <w:t xml:space="preserve">Energy production increased from 0.2 ktoe in 2013 to 2.1 ktoe in 2014 </w:t>
            </w:r>
            <w:r w:rsidR="006746D7" w:rsidRPr="000B7C13">
              <w:rPr>
                <w:rFonts w:ascii="Calibri" w:hAnsi="Calibri"/>
                <w:lang w:val="en-GB"/>
              </w:rPr>
              <w:t xml:space="preserve">and </w:t>
            </w:r>
            <w:r w:rsidR="00291B53" w:rsidRPr="000B7C13">
              <w:rPr>
                <w:rFonts w:ascii="Calibri" w:hAnsi="Calibri"/>
                <w:lang w:val="en-GB"/>
              </w:rPr>
              <w:t xml:space="preserve">5 </w:t>
            </w:r>
            <w:r w:rsidR="006746D7" w:rsidRPr="000B7C13">
              <w:rPr>
                <w:rFonts w:ascii="Calibri" w:hAnsi="Calibri"/>
                <w:lang w:val="en-GB"/>
              </w:rPr>
              <w:t xml:space="preserve">x 2 </w:t>
            </w:r>
            <w:r w:rsidR="00291B53" w:rsidRPr="000B7C13">
              <w:rPr>
                <w:rFonts w:ascii="Calibri" w:hAnsi="Calibri"/>
                <w:lang w:val="en-GB"/>
              </w:rPr>
              <w:t xml:space="preserve">Mega Watts of Photo Voltaic (PV - solar) installed </w:t>
            </w:r>
            <w:r w:rsidR="009630A8" w:rsidRPr="000B7C13">
              <w:rPr>
                <w:rFonts w:ascii="Calibri" w:hAnsi="Calibri"/>
                <w:lang w:val="en-GB"/>
              </w:rPr>
              <w:t xml:space="preserve">and </w:t>
            </w:r>
            <w:r w:rsidR="00291B53" w:rsidRPr="000B7C13">
              <w:rPr>
                <w:rFonts w:ascii="Calibri" w:hAnsi="Calibri"/>
                <w:lang w:val="en-GB"/>
              </w:rPr>
              <w:t>produce</w:t>
            </w:r>
            <w:r w:rsidR="006746D7" w:rsidRPr="000B7C13">
              <w:rPr>
                <w:rFonts w:ascii="Calibri" w:hAnsi="Calibri"/>
                <w:lang w:val="en-GB"/>
              </w:rPr>
              <w:t>s</w:t>
            </w:r>
            <w:r w:rsidR="00291B53" w:rsidRPr="000B7C13">
              <w:rPr>
                <w:rFonts w:ascii="Calibri" w:hAnsi="Calibri"/>
                <w:lang w:val="en-GB"/>
              </w:rPr>
              <w:t xml:space="preserve"> electricity for domestic purposes</w:t>
            </w:r>
            <w:r w:rsidR="008A0283" w:rsidRPr="000B7C13">
              <w:rPr>
                <w:rFonts w:ascii="Calibri" w:hAnsi="Calibri"/>
                <w:lang w:val="en-GB"/>
              </w:rPr>
              <w:t>.</w:t>
            </w:r>
            <w:r w:rsidR="009630A8" w:rsidRPr="000B7C13">
              <w:rPr>
                <w:rFonts w:ascii="Calibri" w:hAnsi="Calibri"/>
                <w:lang w:val="en-GB"/>
              </w:rPr>
              <w:t xml:space="preserve"> </w:t>
            </w:r>
            <w:r w:rsidR="00291B53" w:rsidRPr="000B7C13">
              <w:rPr>
                <w:rFonts w:ascii="Calibri" w:hAnsi="Calibri"/>
                <w:lang w:val="en-GB"/>
              </w:rPr>
              <w:t>2000 households now have access to renewable energy</w:t>
            </w:r>
            <w:r w:rsidR="00697396" w:rsidRPr="000B7C13">
              <w:rPr>
                <w:rFonts w:ascii="Calibri" w:hAnsi="Calibri"/>
                <w:lang w:val="en-GB"/>
              </w:rPr>
              <w:t>; d</w:t>
            </w:r>
            <w:r w:rsidR="00EC1F97" w:rsidRPr="000B7C13">
              <w:rPr>
                <w:rFonts w:ascii="Calibri" w:hAnsi="Calibri"/>
                <w:lang w:val="en-GB"/>
              </w:rPr>
              <w:t xml:space="preserve">) energy intensity improved from 0.73 in 2013 to 0.72 in 2014 marking the third consecutive year of improvement at national level; </w:t>
            </w:r>
            <w:r w:rsidR="00697396" w:rsidRPr="000B7C13">
              <w:rPr>
                <w:rFonts w:ascii="Calibri" w:hAnsi="Calibri"/>
                <w:lang w:val="en-GB"/>
              </w:rPr>
              <w:t>e</w:t>
            </w:r>
            <w:r w:rsidR="00EC1F97" w:rsidRPr="000B7C13">
              <w:rPr>
                <w:rFonts w:ascii="Calibri" w:hAnsi="Calibri"/>
                <w:lang w:val="en-GB"/>
              </w:rPr>
              <w:t>)</w:t>
            </w:r>
            <w:r w:rsidR="00291F96" w:rsidRPr="000B7C13">
              <w:rPr>
                <w:rFonts w:ascii="Calibri" w:hAnsi="Calibri"/>
                <w:lang w:val="en-GB"/>
              </w:rPr>
              <w:t xml:space="preserve"> National Chemicals Profile </w:t>
            </w:r>
            <w:r w:rsidR="006A7068" w:rsidRPr="000B7C13">
              <w:rPr>
                <w:rFonts w:ascii="Calibri" w:hAnsi="Calibri"/>
                <w:lang w:val="en-GB"/>
              </w:rPr>
              <w:t>and a Mercury Initial Assessment conducted</w:t>
            </w:r>
            <w:r w:rsidR="00291F96" w:rsidRPr="000B7C13">
              <w:rPr>
                <w:rFonts w:ascii="Calibri" w:hAnsi="Calibri"/>
                <w:lang w:val="en-GB"/>
              </w:rPr>
              <w:t xml:space="preserve"> </w:t>
            </w:r>
            <w:r w:rsidR="00291F96" w:rsidRPr="000B7C13">
              <w:rPr>
                <w:rFonts w:ascii="Calibri" w:hAnsi="Calibri" w:cs="ArialMT"/>
                <w:lang w:val="en-GB"/>
              </w:rPr>
              <w:t xml:space="preserve">to improve chemicals and wastes management resulting in cabinet approval of action </w:t>
            </w:r>
            <w:r w:rsidR="00291F96" w:rsidRPr="000B7C13">
              <w:rPr>
                <w:rFonts w:ascii="Calibri" w:hAnsi="Calibri" w:cs="ArialMT"/>
                <w:lang w:val="en-GB"/>
              </w:rPr>
              <w:lastRenderedPageBreak/>
              <w:t>plans targeted at waste disposal</w:t>
            </w:r>
            <w:r w:rsidR="006A7068" w:rsidRPr="000B7C13">
              <w:rPr>
                <w:rFonts w:ascii="Calibri" w:hAnsi="Calibri"/>
                <w:lang w:val="en-GB"/>
              </w:rPr>
              <w:t xml:space="preserve">; </w:t>
            </w:r>
            <w:r w:rsidR="00697396" w:rsidRPr="000B7C13">
              <w:rPr>
                <w:rFonts w:ascii="Calibri" w:hAnsi="Calibri"/>
                <w:lang w:val="en-GB"/>
              </w:rPr>
              <w:t>f</w:t>
            </w:r>
            <w:r w:rsidR="006A7068" w:rsidRPr="000B7C13">
              <w:rPr>
                <w:rFonts w:ascii="Calibri" w:hAnsi="Calibri"/>
                <w:lang w:val="en-GB"/>
              </w:rPr>
              <w:t>)</w:t>
            </w:r>
            <w:r w:rsidR="00B56AB1" w:rsidRPr="0017263C">
              <w:rPr>
                <w:rFonts w:ascii="Calibri" w:hAnsi="Calibri"/>
                <w:lang w:val="en-GB"/>
              </w:rPr>
              <w:t xml:space="preserve"> 30 industrial facilities have received industrial energy audits through SIDS-Dock. In a follow-up survey, 20 reported energy savings were observed as a result; </w:t>
            </w:r>
            <w:r w:rsidR="00B56AB1" w:rsidRPr="000B7C13">
              <w:rPr>
                <w:rFonts w:ascii="Calibri" w:hAnsi="Calibri"/>
                <w:lang w:val="en-GB"/>
              </w:rPr>
              <w:t>g</w:t>
            </w:r>
            <w:r w:rsidR="009459BC" w:rsidRPr="000B7C13">
              <w:rPr>
                <w:rFonts w:ascii="Calibri" w:hAnsi="Calibri"/>
                <w:lang w:val="en-GB"/>
              </w:rPr>
              <w:t>)</w:t>
            </w:r>
            <w:r w:rsidR="006A7068" w:rsidRPr="000B7C13">
              <w:rPr>
                <w:rFonts w:ascii="Calibri" w:hAnsi="Calibri"/>
                <w:lang w:val="en-GB"/>
              </w:rPr>
              <w:t xml:space="preserve"> National Early Warning System (EWS) for incoming storm surge developed</w:t>
            </w:r>
            <w:r w:rsidR="00291F96" w:rsidRPr="000B7C13">
              <w:rPr>
                <w:rFonts w:ascii="Calibri" w:hAnsi="Calibri"/>
                <w:lang w:val="en-GB"/>
              </w:rPr>
              <w:t xml:space="preserve">  resulting in </w:t>
            </w:r>
            <w:r w:rsidR="005E0237" w:rsidRPr="000B7C13">
              <w:rPr>
                <w:rFonts w:ascii="Calibri" w:hAnsi="Calibri"/>
                <w:lang w:val="en-GB"/>
              </w:rPr>
              <w:t xml:space="preserve">reduced vulnerability of people, infrastructure, and livelihood assets of the </w:t>
            </w:r>
            <w:r w:rsidR="00291F96" w:rsidRPr="000B7C13">
              <w:rPr>
                <w:rFonts w:ascii="Calibri" w:hAnsi="Calibri"/>
                <w:lang w:val="en-GB"/>
              </w:rPr>
              <w:t xml:space="preserve">costal inhabitant </w:t>
            </w:r>
            <w:r w:rsidR="009459BC" w:rsidRPr="000B7C13">
              <w:rPr>
                <w:rFonts w:ascii="Calibri" w:hAnsi="Calibri"/>
                <w:lang w:val="en-GB"/>
              </w:rPr>
              <w:t xml:space="preserve"> and h</w:t>
            </w:r>
            <w:r w:rsidR="008A0283" w:rsidRPr="000B7C13">
              <w:rPr>
                <w:rFonts w:ascii="Calibri" w:hAnsi="Calibri"/>
                <w:lang w:val="en-GB"/>
              </w:rPr>
              <w:t xml:space="preserve">) </w:t>
            </w:r>
            <w:r w:rsidR="00291B53" w:rsidRPr="000B7C13">
              <w:rPr>
                <w:rFonts w:ascii="Calibri" w:hAnsi="Calibri"/>
                <w:lang w:val="en-GB"/>
              </w:rPr>
              <w:t>Public and private engineers have been trained in coastal engineering and public officers and cadres from relevant Ministries and para-statal bodies have been trained in environmental economics applied to coastal zone management to increase national capacities in face of Climate Change</w:t>
            </w:r>
          </w:p>
          <w:p w:rsidR="00291B53" w:rsidRPr="000B7C13" w:rsidRDefault="00291B53" w:rsidP="000F3E5C">
            <w:pPr>
              <w:pStyle w:val="BodyText2"/>
              <w:jc w:val="both"/>
              <w:rPr>
                <w:rFonts w:ascii="Calibri" w:hAnsi="Calibri"/>
                <w:u w:val="single"/>
                <w:lang w:val="en-GB"/>
              </w:rPr>
            </w:pPr>
          </w:p>
          <w:p w:rsidR="00DC4D86" w:rsidRPr="000B7C13" w:rsidRDefault="00291F96" w:rsidP="000F3E5C">
            <w:pPr>
              <w:pStyle w:val="BodyText2"/>
              <w:jc w:val="both"/>
              <w:rPr>
                <w:rFonts w:ascii="Calibri" w:hAnsi="Calibri"/>
                <w:u w:val="single"/>
                <w:lang w:val="en-GB"/>
              </w:rPr>
            </w:pPr>
            <w:r w:rsidRPr="000B7C13">
              <w:rPr>
                <w:rFonts w:ascii="Calibri" w:hAnsi="Calibri"/>
                <w:u w:val="single"/>
                <w:lang w:val="en-GB"/>
              </w:rPr>
              <w:t>P</w:t>
            </w:r>
            <w:r w:rsidR="008B06DD" w:rsidRPr="000B7C13">
              <w:rPr>
                <w:rFonts w:ascii="Calibri" w:hAnsi="Calibri"/>
                <w:u w:val="single"/>
                <w:lang w:val="en-GB"/>
              </w:rPr>
              <w:t>rogress and Achievements</w:t>
            </w:r>
          </w:p>
          <w:p w:rsidR="004905B9" w:rsidRPr="000B7C13" w:rsidRDefault="004905B9" w:rsidP="004905B9">
            <w:pPr>
              <w:jc w:val="both"/>
              <w:rPr>
                <w:rFonts w:ascii="Calibri" w:hAnsi="Calibri"/>
                <w:sz w:val="20"/>
                <w:lang w:val="en-GB"/>
              </w:rPr>
            </w:pPr>
            <w:r w:rsidRPr="000B7C13">
              <w:rPr>
                <w:rFonts w:ascii="Calibri" w:hAnsi="Calibri"/>
                <w:sz w:val="20"/>
                <w:lang w:val="en-GB"/>
              </w:rPr>
              <w:t xml:space="preserve">UNDP support has strengthened capacity of coastal communities of the South-East of Mauritius on the importance of Mangroves for coastal protection. </w:t>
            </w:r>
            <w:r w:rsidR="000B7C13" w:rsidRPr="000B7C13">
              <w:rPr>
                <w:rFonts w:ascii="Calibri" w:hAnsi="Calibri"/>
                <w:sz w:val="20"/>
                <w:lang w:val="en-GB"/>
              </w:rPr>
              <w:t>Behaviour</w:t>
            </w:r>
            <w:r w:rsidRPr="000B7C13">
              <w:rPr>
                <w:rFonts w:ascii="Calibri" w:hAnsi="Calibri"/>
                <w:sz w:val="20"/>
                <w:lang w:val="en-GB"/>
              </w:rPr>
              <w:t xml:space="preserve"> change in the targeted community is already evident as no acts of vandalism reported so far as compared to previous project in the same area where mangrove seedlings were destroyed by the communities.</w:t>
            </w:r>
            <w:r w:rsidR="00697396" w:rsidRPr="000B7C13">
              <w:rPr>
                <w:rFonts w:ascii="Calibri" w:hAnsi="Calibri"/>
                <w:sz w:val="20"/>
                <w:lang w:val="en-GB"/>
              </w:rPr>
              <w:t xml:space="preserve"> </w:t>
            </w:r>
            <w:r w:rsidR="00697396" w:rsidRPr="000B7C13">
              <w:rPr>
                <w:rFonts w:ascii="Calibri" w:hAnsi="Calibri" w:cs="ArialMT"/>
                <w:sz w:val="20"/>
                <w:lang w:val="en-GB"/>
              </w:rPr>
              <w:t>Women's empowerment in the same domain also progressed through the planting of 20,000 mangroves involving the local community and civil society at Grand Sable.</w:t>
            </w:r>
          </w:p>
          <w:p w:rsidR="004905B9" w:rsidRPr="000B7C13" w:rsidRDefault="004905B9" w:rsidP="004905B9">
            <w:pPr>
              <w:jc w:val="both"/>
              <w:rPr>
                <w:rFonts w:ascii="Calibri" w:hAnsi="Calibri"/>
                <w:sz w:val="20"/>
                <w:lang w:val="en-GB"/>
              </w:rPr>
            </w:pPr>
          </w:p>
          <w:p w:rsidR="006900E8" w:rsidRPr="000B7C13" w:rsidRDefault="00697396" w:rsidP="000B7C13">
            <w:pPr>
              <w:pStyle w:val="Default"/>
              <w:jc w:val="both"/>
              <w:rPr>
                <w:rFonts w:ascii="Calibri" w:hAnsi="Calibri"/>
                <w:sz w:val="20"/>
                <w:szCs w:val="20"/>
                <w:lang w:val="en-GB"/>
              </w:rPr>
            </w:pPr>
            <w:r w:rsidRPr="000B7C13">
              <w:rPr>
                <w:rFonts w:ascii="Calibri" w:hAnsi="Calibri"/>
                <w:sz w:val="20"/>
                <w:lang w:val="en-GB"/>
              </w:rPr>
              <w:t>In terms of Biodiversity protection, there has been good progress concerning the network of protected areas through the Signature of MOUs between Government and Private marking the first time that such an agreement has been brokered between the private and the public sector in Mauritius.</w:t>
            </w:r>
            <w:r w:rsidR="006900E8" w:rsidRPr="000B7C13">
              <w:rPr>
                <w:rFonts w:ascii="Calibri" w:hAnsi="Calibri"/>
                <w:sz w:val="20"/>
                <w:szCs w:val="20"/>
                <w:lang w:val="en-GB"/>
              </w:rPr>
              <w:t xml:space="preserve"> Clearing invasive alien plants on State-owned land and has completed an Agreement with private-sector landowners to fund them to do the same in the privately-owned or leased forests. </w:t>
            </w:r>
          </w:p>
          <w:p w:rsidR="004905B9" w:rsidRPr="000B7C13" w:rsidRDefault="004905B9" w:rsidP="000F3E5C">
            <w:pPr>
              <w:pStyle w:val="BodyText2"/>
              <w:jc w:val="both"/>
              <w:rPr>
                <w:rFonts w:ascii="Calibri" w:hAnsi="Calibri"/>
                <w:lang w:val="en-GB"/>
              </w:rPr>
            </w:pPr>
          </w:p>
          <w:p w:rsidR="00291F96" w:rsidRPr="000B7C13" w:rsidRDefault="00291F96" w:rsidP="00291F96">
            <w:pPr>
              <w:jc w:val="both"/>
              <w:rPr>
                <w:rFonts w:ascii="Calibri" w:hAnsi="Calibri"/>
                <w:sz w:val="20"/>
                <w:lang w:val="en-GB"/>
              </w:rPr>
            </w:pPr>
            <w:r w:rsidRPr="000B7C13">
              <w:rPr>
                <w:rFonts w:ascii="Calibri" w:hAnsi="Calibri"/>
                <w:sz w:val="20"/>
                <w:lang w:val="en-GB"/>
              </w:rPr>
              <w:t>Energy production from PV installations using the UNDP supporte</w:t>
            </w:r>
            <w:r w:rsidR="00697396" w:rsidRPr="000B7C13">
              <w:rPr>
                <w:rFonts w:ascii="Calibri" w:hAnsi="Calibri"/>
                <w:sz w:val="20"/>
                <w:lang w:val="en-GB"/>
              </w:rPr>
              <w:t>d Grid codes also increased ten-</w:t>
            </w:r>
            <w:r w:rsidRPr="000B7C13">
              <w:rPr>
                <w:rFonts w:ascii="Calibri" w:hAnsi="Calibri"/>
                <w:sz w:val="20"/>
                <w:lang w:val="en-GB"/>
              </w:rPr>
              <w:t xml:space="preserve">fold increasing from 0.2 ktoe in 2013 to 2.1 ktoe in 2014   Furthermore, in line with the CPD target, the 5x2 MW PV plants are now all past the permitting stage and are targeted to be operational in 2016. </w:t>
            </w:r>
            <w:r w:rsidR="004905B9" w:rsidRPr="000B7C13">
              <w:rPr>
                <w:rFonts w:ascii="Calibri" w:hAnsi="Calibri"/>
                <w:sz w:val="20"/>
                <w:lang w:val="en-GB"/>
              </w:rPr>
              <w:t xml:space="preserve">2000 household now have access to renewable energy source. </w:t>
            </w:r>
            <w:r w:rsidR="00907D5C" w:rsidRPr="0017263C">
              <w:rPr>
                <w:rFonts w:ascii="Calibri" w:hAnsi="Calibri"/>
                <w:sz w:val="20"/>
                <w:lang w:val="en-GB"/>
              </w:rPr>
              <w:t xml:space="preserve">30 industrial facilities have received industrial energy audits through SIDS-Dock. </w:t>
            </w:r>
            <w:r w:rsidR="00907D5C" w:rsidRPr="000B7C13">
              <w:rPr>
                <w:rFonts w:ascii="Calibri" w:hAnsi="Calibri"/>
                <w:sz w:val="20"/>
                <w:lang w:val="en-GB"/>
              </w:rPr>
              <w:t>This has resulted in a heightened level of awareness of the need for increased protection of endemic species and efficient use of resources. A follow up survey conducted revealed that 20 reported energy savings were observed as a result.</w:t>
            </w:r>
          </w:p>
          <w:p w:rsidR="00684B78" w:rsidRPr="000B7C13" w:rsidRDefault="00684B78" w:rsidP="000F3E5C">
            <w:pPr>
              <w:pStyle w:val="BodyText2"/>
              <w:jc w:val="both"/>
              <w:rPr>
                <w:rFonts w:ascii="Calibri" w:hAnsi="Calibri"/>
                <w:u w:val="single"/>
                <w:lang w:val="en-GB"/>
              </w:rPr>
            </w:pPr>
          </w:p>
          <w:p w:rsidR="00AD4509" w:rsidRPr="000B7C13" w:rsidRDefault="00AD4509" w:rsidP="000F3E5C">
            <w:pPr>
              <w:pStyle w:val="BodyText2"/>
              <w:jc w:val="both"/>
              <w:rPr>
                <w:rFonts w:ascii="Calibri" w:hAnsi="Calibri"/>
                <w:u w:val="single"/>
                <w:lang w:val="en-GB"/>
              </w:rPr>
            </w:pPr>
            <w:r w:rsidRPr="000B7C13">
              <w:rPr>
                <w:rFonts w:ascii="Calibri" w:hAnsi="Calibri"/>
                <w:lang w:val="en-GB"/>
              </w:rPr>
              <w:t xml:space="preserve">With UNDP technical support, the Mauritius </w:t>
            </w:r>
            <w:r w:rsidR="006900E8" w:rsidRPr="000B7C13">
              <w:rPr>
                <w:rFonts w:ascii="Calibri" w:hAnsi="Calibri"/>
                <w:lang w:val="en-GB"/>
              </w:rPr>
              <w:t>Meteorological</w:t>
            </w:r>
            <w:r w:rsidRPr="000B7C13">
              <w:rPr>
                <w:rFonts w:ascii="Calibri" w:hAnsi="Calibri"/>
                <w:lang w:val="en-GB"/>
              </w:rPr>
              <w:t xml:space="preserve"> Service developed a national Early Warning System (EWS) for incoming storm surge, which now provides for the safety and security of 100% of coastal inhabitants where previously there was no formal </w:t>
            </w:r>
            <w:r w:rsidR="006900E8" w:rsidRPr="000B7C13">
              <w:rPr>
                <w:rFonts w:ascii="Calibri" w:hAnsi="Calibri"/>
                <w:lang w:val="en-GB"/>
              </w:rPr>
              <w:t>centralized</w:t>
            </w:r>
            <w:r w:rsidRPr="000B7C13">
              <w:rPr>
                <w:rFonts w:ascii="Calibri" w:hAnsi="Calibri"/>
                <w:lang w:val="en-GB"/>
              </w:rPr>
              <w:t xml:space="preserve"> mechanism in place. This EWS developed with the support of UNDP significantly reduces the physical vulnerability of people, infras</w:t>
            </w:r>
            <w:r w:rsidR="00AA5932" w:rsidRPr="000B7C13">
              <w:rPr>
                <w:rFonts w:ascii="Calibri" w:hAnsi="Calibri"/>
                <w:lang w:val="en-GB"/>
              </w:rPr>
              <w:t xml:space="preserve">tructure, and livelihood assets. </w:t>
            </w:r>
            <w:r w:rsidRPr="000B7C13">
              <w:rPr>
                <w:rFonts w:ascii="Calibri" w:hAnsi="Calibri"/>
                <w:lang w:val="en-GB"/>
              </w:rPr>
              <w:t>In this respect, coastal protection from the human point of view has exceeded the requirements of the Country Programme</w:t>
            </w:r>
            <w:r w:rsidRPr="000B7C13">
              <w:rPr>
                <w:sz w:val="24"/>
                <w:szCs w:val="24"/>
                <w:lang w:val="en-GB"/>
              </w:rPr>
              <w:t>.</w:t>
            </w:r>
          </w:p>
          <w:p w:rsidR="00AD4509" w:rsidRPr="000B7C13" w:rsidRDefault="00AD4509" w:rsidP="000F3E5C">
            <w:pPr>
              <w:pStyle w:val="BodyText2"/>
              <w:jc w:val="both"/>
              <w:rPr>
                <w:rFonts w:ascii="Calibri" w:hAnsi="Calibri"/>
                <w:u w:val="single"/>
                <w:lang w:val="en-GB"/>
              </w:rPr>
            </w:pPr>
          </w:p>
        </w:tc>
      </w:tr>
      <w:tr w:rsidR="005F2E08" w:rsidRPr="000B7C13" w:rsidTr="00704406">
        <w:tc>
          <w:tcPr>
            <w:tcW w:w="14040" w:type="dxa"/>
            <w:gridSpan w:val="4"/>
          </w:tcPr>
          <w:p w:rsidR="005F2E08" w:rsidRPr="000B7C13" w:rsidRDefault="005F2E08" w:rsidP="008D4556">
            <w:pPr>
              <w:pStyle w:val="BodyText2"/>
              <w:jc w:val="center"/>
              <w:rPr>
                <w:rFonts w:ascii="Calibri" w:hAnsi="Calibri"/>
                <w:b/>
                <w:lang w:val="en-GB"/>
              </w:rPr>
            </w:pPr>
            <w:r w:rsidRPr="000B7C13">
              <w:rPr>
                <w:rFonts w:ascii="Calibri" w:hAnsi="Calibri"/>
                <w:b/>
                <w:highlight w:val="magenta"/>
                <w:lang w:val="en-GB"/>
              </w:rPr>
              <w:lastRenderedPageBreak/>
              <w:t>Please add rows above for additional outcomes as appropriate</w:t>
            </w:r>
          </w:p>
        </w:tc>
      </w:tr>
      <w:tr w:rsidR="009E7526" w:rsidRPr="000B7C13" w:rsidTr="009E7526">
        <w:tc>
          <w:tcPr>
            <w:tcW w:w="14040" w:type="dxa"/>
            <w:gridSpan w:val="4"/>
          </w:tcPr>
          <w:p w:rsidR="009E7526" w:rsidRPr="000B7C13" w:rsidRDefault="009E7526" w:rsidP="009E7526">
            <w:pPr>
              <w:rPr>
                <w:rFonts w:ascii="Calibri" w:hAnsi="Calibri"/>
                <w:sz w:val="20"/>
                <w:u w:val="single"/>
                <w:lang w:val="en-GB"/>
              </w:rPr>
            </w:pPr>
            <w:r w:rsidRPr="000B7C13">
              <w:rPr>
                <w:rFonts w:ascii="Calibri" w:hAnsi="Calibri"/>
                <w:sz w:val="20"/>
                <w:u w:val="single"/>
                <w:lang w:val="en-GB"/>
              </w:rPr>
              <w:t>Summary of evaluation</w:t>
            </w:r>
            <w:r w:rsidR="00674B1A" w:rsidRPr="000B7C13">
              <w:rPr>
                <w:rFonts w:ascii="Calibri" w:hAnsi="Calibri"/>
                <w:sz w:val="20"/>
                <w:u w:val="single"/>
                <w:lang w:val="en-GB"/>
              </w:rPr>
              <w:t xml:space="preserve"> finding</w:t>
            </w:r>
            <w:r w:rsidRPr="000B7C13">
              <w:rPr>
                <w:rFonts w:ascii="Calibri" w:hAnsi="Calibri"/>
                <w:sz w:val="20"/>
                <w:u w:val="single"/>
                <w:lang w:val="en-GB"/>
              </w:rPr>
              <w:t>s (</w:t>
            </w:r>
            <w:r w:rsidR="008F0A97" w:rsidRPr="000B7C13">
              <w:rPr>
                <w:rFonts w:ascii="Calibri" w:hAnsi="Calibri"/>
                <w:sz w:val="20"/>
                <w:u w:val="single"/>
                <w:lang w:val="en-GB"/>
              </w:rPr>
              <w:t xml:space="preserve">e.g. from outcome and project evaluations, UNDAF </w:t>
            </w:r>
            <w:r w:rsidRPr="000B7C13">
              <w:rPr>
                <w:rFonts w:ascii="Calibri" w:hAnsi="Calibri"/>
                <w:sz w:val="20"/>
                <w:u w:val="single"/>
                <w:lang w:val="en-GB"/>
              </w:rPr>
              <w:t xml:space="preserve">reviews, </w:t>
            </w:r>
            <w:r w:rsidR="008F0A97" w:rsidRPr="000B7C13">
              <w:rPr>
                <w:rFonts w:ascii="Calibri" w:hAnsi="Calibri"/>
                <w:sz w:val="20"/>
                <w:u w:val="single"/>
                <w:lang w:val="en-GB"/>
              </w:rPr>
              <w:t xml:space="preserve">and other </w:t>
            </w:r>
            <w:r w:rsidRPr="000B7C13">
              <w:rPr>
                <w:rFonts w:ascii="Calibri" w:hAnsi="Calibri"/>
                <w:sz w:val="20"/>
                <w:u w:val="single"/>
                <w:lang w:val="en-GB"/>
              </w:rPr>
              <w:t>assessments)</w:t>
            </w:r>
          </w:p>
          <w:p w:rsidR="00EC6515" w:rsidRPr="000B7C13" w:rsidRDefault="00EC6515" w:rsidP="009E7526">
            <w:pPr>
              <w:jc w:val="both"/>
              <w:rPr>
                <w:rFonts w:ascii="Calibri" w:hAnsi="Calibri"/>
                <w:sz w:val="20"/>
                <w:u w:val="single"/>
                <w:lang w:val="en-GB"/>
              </w:rPr>
            </w:pPr>
            <w:r w:rsidRPr="000B7C13">
              <w:rPr>
                <w:rFonts w:ascii="Calibri" w:hAnsi="Calibri"/>
                <w:sz w:val="20"/>
                <w:lang w:val="en-GB"/>
              </w:rPr>
              <w:t xml:space="preserve">Under the period of review, a number of projects and outcome evaluations have been conducted. A mid-term evaluation of the current cycle was conducted. </w:t>
            </w:r>
          </w:p>
          <w:p w:rsidR="00EC6515" w:rsidRPr="000B7C13" w:rsidRDefault="00EC6515" w:rsidP="009E7526">
            <w:pPr>
              <w:jc w:val="both"/>
              <w:rPr>
                <w:rFonts w:ascii="Calibri" w:hAnsi="Calibri"/>
                <w:sz w:val="20"/>
                <w:u w:val="single"/>
                <w:lang w:val="en-GB"/>
              </w:rPr>
            </w:pPr>
          </w:p>
          <w:p w:rsidR="009E7526" w:rsidRPr="000B7C13" w:rsidRDefault="009E7526" w:rsidP="009E7526">
            <w:pPr>
              <w:jc w:val="both"/>
              <w:rPr>
                <w:rFonts w:ascii="Calibri" w:hAnsi="Calibri"/>
                <w:sz w:val="20"/>
                <w:lang w:val="en-GB"/>
              </w:rPr>
            </w:pPr>
            <w:r w:rsidRPr="000B7C13">
              <w:rPr>
                <w:rFonts w:ascii="Calibri" w:hAnsi="Calibri"/>
                <w:sz w:val="20"/>
                <w:u w:val="single"/>
                <w:lang w:val="en-GB"/>
              </w:rPr>
              <w:t>Key Achievements</w:t>
            </w:r>
            <w:r w:rsidR="005F6261" w:rsidRPr="000B7C13">
              <w:rPr>
                <w:rFonts w:ascii="Calibri" w:hAnsi="Calibri"/>
                <w:sz w:val="20"/>
                <w:lang w:val="en-GB"/>
              </w:rPr>
              <w:t>:</w:t>
            </w:r>
          </w:p>
          <w:p w:rsidR="00F4629A" w:rsidRPr="000B7C13" w:rsidRDefault="004247DC" w:rsidP="000B7C13">
            <w:pPr>
              <w:pStyle w:val="Default"/>
              <w:numPr>
                <w:ilvl w:val="0"/>
                <w:numId w:val="20"/>
              </w:numPr>
              <w:jc w:val="both"/>
              <w:rPr>
                <w:sz w:val="22"/>
                <w:szCs w:val="22"/>
                <w:lang w:val="en-GB"/>
              </w:rPr>
            </w:pPr>
            <w:r w:rsidRPr="000B7C13">
              <w:rPr>
                <w:sz w:val="20"/>
                <w:szCs w:val="20"/>
                <w:lang w:val="en-GB"/>
              </w:rPr>
              <w:t>Clearing invasive alien plants on State-owned land and has completed an Agreement with private-sector landowners to fund them to do the same in the privately-owned or leased forests.</w:t>
            </w:r>
            <w:r w:rsidR="00F4629A" w:rsidRPr="000B7C13">
              <w:rPr>
                <w:sz w:val="20"/>
                <w:szCs w:val="20"/>
                <w:lang w:val="en-GB"/>
              </w:rPr>
              <w:t xml:space="preserve"> </w:t>
            </w:r>
          </w:p>
          <w:p w:rsidR="001861A1" w:rsidRPr="000B7C13" w:rsidRDefault="001861A1" w:rsidP="00F322FE">
            <w:pPr>
              <w:pStyle w:val="NoSpacing"/>
              <w:numPr>
                <w:ilvl w:val="0"/>
                <w:numId w:val="20"/>
              </w:numPr>
              <w:jc w:val="both"/>
              <w:rPr>
                <w:rFonts w:cs="Segoe UI"/>
                <w:sz w:val="20"/>
                <w:szCs w:val="20"/>
                <w:lang w:val="en-GB"/>
              </w:rPr>
            </w:pPr>
            <w:r w:rsidRPr="000B7C13">
              <w:rPr>
                <w:rFonts w:cs="Segoe UI"/>
                <w:sz w:val="20"/>
                <w:szCs w:val="20"/>
                <w:lang w:val="en-GB"/>
              </w:rPr>
              <w:t>The early warning system installed and implemented (to link with existing early warning systems for cyclones) with communication established to the national coast guard at headquarters down to coastal communities</w:t>
            </w:r>
            <w:r w:rsidR="000F030B">
              <w:rPr>
                <w:rFonts w:cs="Segoe UI"/>
                <w:sz w:val="20"/>
                <w:szCs w:val="20"/>
                <w:lang w:val="en-GB"/>
              </w:rPr>
              <w:t>;</w:t>
            </w:r>
          </w:p>
          <w:p w:rsidR="001861A1" w:rsidRPr="000B7C13" w:rsidRDefault="001861A1" w:rsidP="00F322FE">
            <w:pPr>
              <w:pStyle w:val="NoSpacing"/>
              <w:numPr>
                <w:ilvl w:val="0"/>
                <w:numId w:val="20"/>
              </w:numPr>
              <w:jc w:val="both"/>
              <w:rPr>
                <w:rFonts w:cs="Segoe UI"/>
                <w:sz w:val="20"/>
                <w:szCs w:val="20"/>
                <w:lang w:val="en-GB"/>
              </w:rPr>
            </w:pPr>
            <w:r w:rsidRPr="000B7C13">
              <w:rPr>
                <w:rFonts w:cs="Segoe UI"/>
                <w:sz w:val="20"/>
                <w:szCs w:val="20"/>
                <w:lang w:val="en-GB"/>
              </w:rPr>
              <w:lastRenderedPageBreak/>
              <w:t xml:space="preserve">Vulnerable physical, natural, and social assets strengthened  in response to climate change; </w:t>
            </w:r>
          </w:p>
          <w:p w:rsidR="001861A1" w:rsidRPr="000B7C13" w:rsidRDefault="001861A1" w:rsidP="00F322FE">
            <w:pPr>
              <w:pStyle w:val="yiv3008498503msonospacing"/>
              <w:numPr>
                <w:ilvl w:val="0"/>
                <w:numId w:val="20"/>
              </w:numPr>
              <w:shd w:val="clear" w:color="auto" w:fill="FFFFFF"/>
              <w:spacing w:before="0" w:beforeAutospacing="0" w:after="0" w:afterAutospacing="0"/>
              <w:jc w:val="both"/>
              <w:rPr>
                <w:rFonts w:ascii="Calibri" w:hAnsi="Calibri" w:cs="Segoe UI"/>
                <w:sz w:val="20"/>
                <w:szCs w:val="20"/>
                <w:lang w:val="en-GB"/>
              </w:rPr>
            </w:pPr>
            <w:r w:rsidRPr="000B7C13">
              <w:rPr>
                <w:rFonts w:ascii="Calibri" w:hAnsi="Calibri" w:cs="Segoe UI"/>
                <w:sz w:val="20"/>
                <w:szCs w:val="20"/>
                <w:lang w:val="en-GB"/>
              </w:rPr>
              <w:t>A handbook on coastal adaptation packaged as training modules for coastal communities, relevant government agencies, NGOs and CBOs, and private sector stakeholders (such as hotel operators) and training sessions delivered on a regular basis throughout the program (at least twice annually), supported with regular training-of-trainers sessions with NGOs and CBOs;</w:t>
            </w:r>
          </w:p>
          <w:p w:rsidR="001861A1" w:rsidRPr="000B7C13" w:rsidRDefault="00E849EA" w:rsidP="00F322FE">
            <w:pPr>
              <w:pStyle w:val="NoSpacing"/>
              <w:numPr>
                <w:ilvl w:val="0"/>
                <w:numId w:val="20"/>
              </w:numPr>
              <w:jc w:val="both"/>
              <w:rPr>
                <w:rFonts w:cs="Segoe UI"/>
                <w:sz w:val="20"/>
                <w:szCs w:val="20"/>
                <w:lang w:val="en-GB"/>
              </w:rPr>
            </w:pPr>
            <w:r w:rsidRPr="000B7C13">
              <w:rPr>
                <w:sz w:val="20"/>
                <w:szCs w:val="20"/>
                <w:lang w:val="en-GB"/>
              </w:rPr>
              <w:t>E</w:t>
            </w:r>
            <w:r w:rsidR="001861A1" w:rsidRPr="000B7C13">
              <w:rPr>
                <w:sz w:val="20"/>
                <w:szCs w:val="20"/>
                <w:lang w:val="en-GB"/>
              </w:rPr>
              <w:t>stablishment of grid connected solar PV technology based power generation facilities at Mauritius. The project has been able to create capacity of about 10 MW, which is the target capacity by 2025 for solar PV as per the strategy of the government</w:t>
            </w:r>
            <w:r w:rsidR="000F030B">
              <w:rPr>
                <w:sz w:val="20"/>
                <w:szCs w:val="20"/>
                <w:lang w:val="en-GB"/>
              </w:rPr>
              <w:t>;</w:t>
            </w:r>
          </w:p>
          <w:p w:rsidR="00F322FE" w:rsidRPr="000F030B" w:rsidRDefault="00F322FE" w:rsidP="00F322FE">
            <w:pPr>
              <w:numPr>
                <w:ilvl w:val="0"/>
                <w:numId w:val="20"/>
              </w:numPr>
              <w:autoSpaceDE w:val="0"/>
              <w:autoSpaceDN w:val="0"/>
              <w:adjustRightInd w:val="0"/>
              <w:spacing w:line="240" w:lineRule="atLeast"/>
              <w:ind w:right="52"/>
              <w:rPr>
                <w:sz w:val="20"/>
                <w:lang w:val="en-GB"/>
              </w:rPr>
            </w:pPr>
            <w:r w:rsidRPr="0017263C">
              <w:rPr>
                <w:sz w:val="20"/>
                <w:lang w:val="en-GB"/>
              </w:rPr>
              <w:t>30 industrial faci</w:t>
            </w:r>
            <w:r w:rsidRPr="000F030B">
              <w:rPr>
                <w:sz w:val="20"/>
                <w:lang w:val="en-GB"/>
              </w:rPr>
              <w:t>lities have received industrial energy audits through SIDS-Dock. In a follow-up survey, 20 reported energy savings as a result</w:t>
            </w:r>
            <w:r w:rsidR="000F030B">
              <w:rPr>
                <w:sz w:val="20"/>
                <w:lang w:val="en-GB"/>
              </w:rPr>
              <w:t>;</w:t>
            </w:r>
          </w:p>
          <w:p w:rsidR="00155A0E" w:rsidRPr="000B7C13" w:rsidRDefault="00155A0E" w:rsidP="00F322FE">
            <w:pPr>
              <w:numPr>
                <w:ilvl w:val="0"/>
                <w:numId w:val="20"/>
              </w:numPr>
              <w:jc w:val="both"/>
              <w:rPr>
                <w:rFonts w:ascii="Calibri" w:hAnsi="Calibri"/>
                <w:sz w:val="20"/>
                <w:lang w:val="en-GB"/>
              </w:rPr>
            </w:pPr>
            <w:r w:rsidRPr="000B7C13">
              <w:rPr>
                <w:rFonts w:ascii="Calibri" w:hAnsi="Calibri"/>
                <w:sz w:val="20"/>
                <w:lang w:val="en-GB"/>
              </w:rPr>
              <w:t>The establishment of the Social Register of Mauritius (SRM) as the backbone of social policies</w:t>
            </w:r>
            <w:r w:rsidR="000F030B">
              <w:rPr>
                <w:rFonts w:ascii="Calibri" w:hAnsi="Calibri"/>
                <w:sz w:val="20"/>
                <w:lang w:val="en-GB"/>
              </w:rPr>
              <w:t>;</w:t>
            </w:r>
          </w:p>
          <w:p w:rsidR="00E14009" w:rsidRPr="000B7C13" w:rsidRDefault="00E14009" w:rsidP="00F322FE">
            <w:pPr>
              <w:numPr>
                <w:ilvl w:val="0"/>
                <w:numId w:val="20"/>
              </w:numPr>
              <w:jc w:val="both"/>
              <w:rPr>
                <w:rFonts w:ascii="Calibri" w:hAnsi="Calibri"/>
                <w:sz w:val="20"/>
                <w:lang w:val="en-GB"/>
              </w:rPr>
            </w:pPr>
            <w:r w:rsidRPr="000B7C13">
              <w:rPr>
                <w:rFonts w:ascii="Calibri" w:hAnsi="Calibri"/>
                <w:sz w:val="20"/>
                <w:lang w:val="en-GB"/>
              </w:rPr>
              <w:t>10 proposal developed to promote social inclusiveness and social entrepreneurship to inform formulation of the Government Program 2015-2020 ( Marshall Plan Against Poverty)</w:t>
            </w:r>
            <w:r w:rsidR="000F030B">
              <w:rPr>
                <w:rFonts w:ascii="Calibri" w:hAnsi="Calibri"/>
                <w:sz w:val="20"/>
                <w:lang w:val="en-GB"/>
              </w:rPr>
              <w:t>;</w:t>
            </w:r>
          </w:p>
          <w:p w:rsidR="002225D6" w:rsidRPr="000B7C13" w:rsidRDefault="00155A0E" w:rsidP="00F322FE">
            <w:pPr>
              <w:numPr>
                <w:ilvl w:val="0"/>
                <w:numId w:val="20"/>
              </w:numPr>
              <w:jc w:val="both"/>
              <w:rPr>
                <w:rFonts w:ascii="Calibri" w:hAnsi="Calibri"/>
                <w:sz w:val="20"/>
                <w:lang w:val="en-GB"/>
              </w:rPr>
            </w:pPr>
            <w:r w:rsidRPr="000B7C13">
              <w:rPr>
                <w:rFonts w:ascii="Calibri" w:hAnsi="Calibri"/>
                <w:sz w:val="20"/>
                <w:lang w:val="en-GB"/>
              </w:rPr>
              <w:t>The establishment of the Electronic Learning System (ELS) as a new platform for in-service training of civil servants</w:t>
            </w:r>
            <w:r w:rsidR="000F030B">
              <w:rPr>
                <w:rFonts w:ascii="Calibri" w:hAnsi="Calibri"/>
                <w:sz w:val="20"/>
                <w:lang w:val="en-GB"/>
              </w:rPr>
              <w:t>;</w:t>
            </w:r>
          </w:p>
          <w:p w:rsidR="00155A0E" w:rsidRPr="000B7C13" w:rsidRDefault="00155A0E" w:rsidP="00F322FE">
            <w:pPr>
              <w:numPr>
                <w:ilvl w:val="0"/>
                <w:numId w:val="20"/>
              </w:numPr>
              <w:jc w:val="both"/>
              <w:rPr>
                <w:rFonts w:ascii="Calibri" w:hAnsi="Calibri"/>
                <w:sz w:val="20"/>
                <w:lang w:val="en-GB"/>
              </w:rPr>
            </w:pPr>
            <w:r w:rsidRPr="000B7C13">
              <w:rPr>
                <w:rFonts w:ascii="Calibri" w:hAnsi="Calibri"/>
                <w:sz w:val="20"/>
                <w:lang w:val="en-GB"/>
              </w:rPr>
              <w:t>the support to energy and environment serves as a strong catalyst for the work towards sustainable development in Mauritius, and assists the Government in achieving good progress in the implementation of international conventions</w:t>
            </w:r>
            <w:r w:rsidR="000F030B">
              <w:rPr>
                <w:rFonts w:ascii="Calibri" w:hAnsi="Calibri"/>
                <w:sz w:val="20"/>
                <w:lang w:val="en-GB"/>
              </w:rPr>
              <w:t>;</w:t>
            </w:r>
          </w:p>
          <w:p w:rsidR="00E849EA" w:rsidRPr="000B7C13" w:rsidRDefault="00E849EA" w:rsidP="00F322FE">
            <w:pPr>
              <w:numPr>
                <w:ilvl w:val="0"/>
                <w:numId w:val="20"/>
              </w:numPr>
              <w:jc w:val="both"/>
              <w:rPr>
                <w:rFonts w:ascii="Calibri" w:hAnsi="Calibri"/>
                <w:sz w:val="20"/>
                <w:lang w:val="en-GB"/>
              </w:rPr>
            </w:pPr>
            <w:r w:rsidRPr="000B7C13">
              <w:rPr>
                <w:rFonts w:ascii="Calibri" w:hAnsi="Calibri"/>
                <w:sz w:val="20"/>
                <w:lang w:val="en-GB"/>
              </w:rPr>
              <w:t>Government priorities in long-term strategic planning and Programme Based Budgeting (PBB) have seen significant changes, good progress towards building capacity for more accountability and governance has been made. A ‘performance culture’ in both public sector and among NSAs now seems to be emerging as a result of the support</w:t>
            </w:r>
            <w:r w:rsidR="000F030B">
              <w:rPr>
                <w:rFonts w:ascii="Calibri" w:hAnsi="Calibri"/>
                <w:sz w:val="20"/>
                <w:lang w:val="en-GB"/>
              </w:rPr>
              <w:t>;</w:t>
            </w:r>
          </w:p>
          <w:p w:rsidR="008E42B3" w:rsidRPr="000B7C13" w:rsidRDefault="008E42B3" w:rsidP="00F322FE">
            <w:pPr>
              <w:numPr>
                <w:ilvl w:val="0"/>
                <w:numId w:val="20"/>
              </w:numPr>
              <w:jc w:val="both"/>
              <w:rPr>
                <w:rFonts w:ascii="Calibri" w:hAnsi="Calibri"/>
                <w:sz w:val="20"/>
                <w:lang w:val="en-GB"/>
              </w:rPr>
            </w:pPr>
            <w:r w:rsidRPr="000B7C13">
              <w:rPr>
                <w:rFonts w:ascii="Calibri" w:hAnsi="Calibri" w:cs="Segoe UI"/>
                <w:sz w:val="20"/>
                <w:lang w:val="en-GB"/>
              </w:rPr>
              <w:t>A Memorandum of Agreement was signed between the Grand Sable Fishermen Association and the Ministry of Environment and Sustainable Development for 20,000 mangrove seedlings that were planted in the lagoon areas of Grand Sable, Petit Sable, and Quatre Soeurs by the Grand Sable Fishermen Association (GSFA), which comprises 51 members (fishers)</w:t>
            </w:r>
            <w:r w:rsidR="000F030B">
              <w:rPr>
                <w:rFonts w:ascii="Calibri" w:hAnsi="Calibri" w:cs="Segoe UI"/>
                <w:sz w:val="20"/>
                <w:lang w:val="en-GB"/>
              </w:rPr>
              <w:t>;</w:t>
            </w:r>
          </w:p>
          <w:p w:rsidR="008E42B3" w:rsidRPr="000B7C13" w:rsidRDefault="008E42B3" w:rsidP="00F322FE">
            <w:pPr>
              <w:numPr>
                <w:ilvl w:val="0"/>
                <w:numId w:val="20"/>
              </w:numPr>
              <w:jc w:val="both"/>
              <w:rPr>
                <w:rFonts w:ascii="Calibri" w:hAnsi="Calibri"/>
                <w:sz w:val="20"/>
                <w:lang w:val="en-GB"/>
              </w:rPr>
            </w:pPr>
            <w:r w:rsidRPr="000B7C13">
              <w:rPr>
                <w:rFonts w:ascii="Calibri" w:hAnsi="Calibri"/>
                <w:sz w:val="20"/>
                <w:lang w:val="en-GB"/>
              </w:rPr>
              <w:t xml:space="preserve">Coastal communities of the South-East of Mauritius are being sensitized to the importance of Mangroves for coastal protection and involved in the plantation and awareness raising process.  </w:t>
            </w:r>
            <w:r w:rsidRPr="000B7C13">
              <w:rPr>
                <w:rFonts w:ascii="Calibri" w:hAnsi="Calibri" w:cs="Segoe UI"/>
                <w:sz w:val="20"/>
                <w:lang w:val="en-GB"/>
              </w:rPr>
              <w:t>Women in particular were trained to engage in community-level sensitization, on the importance of mangrove to disaster risk reduction and livelihoods. This changed attitudes and practices related to mangrove destruction and engaged stewardship over mangrove plantations</w:t>
            </w:r>
            <w:r w:rsidR="000F030B">
              <w:rPr>
                <w:rFonts w:ascii="Calibri" w:hAnsi="Calibri" w:cs="Segoe UI"/>
                <w:sz w:val="20"/>
                <w:lang w:val="en-GB"/>
              </w:rPr>
              <w:t>;</w:t>
            </w:r>
          </w:p>
          <w:p w:rsidR="00F5267A" w:rsidRPr="000B7C13" w:rsidRDefault="00F5267A" w:rsidP="009E7526">
            <w:pPr>
              <w:jc w:val="both"/>
              <w:rPr>
                <w:rFonts w:ascii="Calibri" w:hAnsi="Calibri"/>
                <w:sz w:val="20"/>
                <w:lang w:val="en-GB"/>
              </w:rPr>
            </w:pPr>
          </w:p>
          <w:p w:rsidR="009E7526" w:rsidRPr="000B7C13" w:rsidRDefault="009E7526" w:rsidP="009E7526">
            <w:pPr>
              <w:pStyle w:val="BodyText2"/>
              <w:rPr>
                <w:rFonts w:ascii="Calibri" w:hAnsi="Calibri"/>
                <w:lang w:val="en-GB"/>
              </w:rPr>
            </w:pPr>
            <w:r w:rsidRPr="000B7C13">
              <w:rPr>
                <w:rFonts w:ascii="Calibri" w:hAnsi="Calibri"/>
                <w:u w:val="single"/>
                <w:lang w:val="en-GB"/>
              </w:rPr>
              <w:t>Major Lessons Learnt</w:t>
            </w:r>
            <w:r w:rsidR="005F6261" w:rsidRPr="000B7C13">
              <w:rPr>
                <w:rFonts w:ascii="Calibri" w:hAnsi="Calibri"/>
                <w:lang w:val="en-GB"/>
              </w:rPr>
              <w:t>:</w:t>
            </w:r>
          </w:p>
          <w:p w:rsidR="00B25EF6" w:rsidRPr="000B7C13" w:rsidRDefault="001861A1" w:rsidP="000B7C13">
            <w:pPr>
              <w:pStyle w:val="BodyText2"/>
              <w:numPr>
                <w:ilvl w:val="0"/>
                <w:numId w:val="20"/>
              </w:numPr>
              <w:jc w:val="both"/>
              <w:rPr>
                <w:rFonts w:ascii="Calibri" w:hAnsi="Calibri"/>
                <w:lang w:val="en-GB"/>
              </w:rPr>
            </w:pPr>
            <w:r w:rsidRPr="000B7C13">
              <w:rPr>
                <w:rFonts w:ascii="Calibri" w:hAnsi="Calibri"/>
                <w:lang w:val="en-GB"/>
              </w:rPr>
              <w:t>Delays in project implementation mean that the legal context in which project execution happens may change over time and adaptive management is needed</w:t>
            </w:r>
            <w:r w:rsidR="000F030B">
              <w:rPr>
                <w:rFonts w:ascii="Calibri" w:hAnsi="Calibri"/>
                <w:lang w:val="en-GB"/>
              </w:rPr>
              <w:t>;</w:t>
            </w:r>
          </w:p>
          <w:p w:rsidR="004D245D" w:rsidRPr="000B7C13" w:rsidRDefault="004D245D" w:rsidP="000B7C13">
            <w:pPr>
              <w:pStyle w:val="BodyText2"/>
              <w:numPr>
                <w:ilvl w:val="0"/>
                <w:numId w:val="20"/>
              </w:numPr>
              <w:jc w:val="both"/>
              <w:rPr>
                <w:rFonts w:ascii="Calibri" w:hAnsi="Calibri"/>
                <w:lang w:val="en-GB"/>
              </w:rPr>
            </w:pPr>
            <w:r w:rsidRPr="000B7C13">
              <w:rPr>
                <w:rFonts w:ascii="Calibri" w:hAnsi="Calibri"/>
                <w:lang w:val="en-GB"/>
              </w:rPr>
              <w:t xml:space="preserve">Leveraging partnerships and international cooperation seem to be an untapped potential for further donor cooperation. Mauritius is not a signatory to the Paris Declaration on Aid Effectiveness and donor </w:t>
            </w:r>
            <w:r w:rsidR="0046070B" w:rsidRPr="000B7C13">
              <w:rPr>
                <w:rFonts w:ascii="Calibri" w:hAnsi="Calibri"/>
                <w:lang w:val="en-GB"/>
              </w:rPr>
              <w:t>harmonization</w:t>
            </w:r>
            <w:r w:rsidRPr="000B7C13">
              <w:rPr>
                <w:rFonts w:ascii="Calibri" w:hAnsi="Calibri"/>
                <w:lang w:val="en-GB"/>
              </w:rPr>
              <w:t xml:space="preserve"> currently happens on a case-by-case basis</w:t>
            </w:r>
            <w:r w:rsidR="000F030B">
              <w:rPr>
                <w:rFonts w:ascii="Calibri" w:hAnsi="Calibri"/>
                <w:lang w:val="en-GB"/>
              </w:rPr>
              <w:t>;</w:t>
            </w:r>
          </w:p>
          <w:p w:rsidR="00C01B34" w:rsidRPr="000B7C13" w:rsidRDefault="00C01B34" w:rsidP="000B7C13">
            <w:pPr>
              <w:pStyle w:val="BodyText2"/>
              <w:numPr>
                <w:ilvl w:val="0"/>
                <w:numId w:val="20"/>
              </w:numPr>
              <w:jc w:val="both"/>
              <w:rPr>
                <w:rFonts w:ascii="Calibri" w:hAnsi="Calibri"/>
                <w:lang w:val="en-GB"/>
              </w:rPr>
            </w:pPr>
            <w:r w:rsidRPr="000B7C13">
              <w:rPr>
                <w:rFonts w:ascii="Calibri" w:hAnsi="Calibri"/>
                <w:lang w:val="en-GB"/>
              </w:rPr>
              <w:t>Significant delays in some cases, are not because of a lack of relevance and ownership, but rather due to a combination of inefficient NIM and perhaps too optimistic project designs</w:t>
            </w:r>
            <w:r w:rsidR="000F030B">
              <w:rPr>
                <w:rFonts w:ascii="Calibri" w:hAnsi="Calibri"/>
                <w:lang w:val="en-GB"/>
              </w:rPr>
              <w:t>;</w:t>
            </w:r>
          </w:p>
          <w:p w:rsidR="00522F29" w:rsidRPr="000B7C13" w:rsidRDefault="00522F29" w:rsidP="000B7C13">
            <w:pPr>
              <w:pStyle w:val="BodyText2"/>
              <w:numPr>
                <w:ilvl w:val="0"/>
                <w:numId w:val="20"/>
              </w:numPr>
              <w:jc w:val="both"/>
              <w:rPr>
                <w:rFonts w:ascii="Calibri" w:hAnsi="Calibri"/>
                <w:lang w:val="en-GB"/>
              </w:rPr>
            </w:pPr>
            <w:r w:rsidRPr="000B7C13">
              <w:rPr>
                <w:rFonts w:ascii="Calibri" w:hAnsi="Calibri"/>
                <w:lang w:val="en-GB"/>
              </w:rPr>
              <w:t>Repetitive cuts of UNDP core resources and unfulfilled budgetary commitments from other partners have resulted in scaling down of operations, as they reduced the ability to organize mobilization activities and to replace some staff</w:t>
            </w:r>
            <w:r w:rsidR="000F030B">
              <w:rPr>
                <w:rFonts w:ascii="Calibri" w:hAnsi="Calibri"/>
                <w:lang w:val="en-GB"/>
              </w:rPr>
              <w:t>;</w:t>
            </w:r>
          </w:p>
          <w:p w:rsidR="00C11BF6" w:rsidRPr="000B7C13" w:rsidRDefault="00C11BF6" w:rsidP="000B7C13">
            <w:pPr>
              <w:pStyle w:val="BodyText2"/>
              <w:numPr>
                <w:ilvl w:val="0"/>
                <w:numId w:val="20"/>
              </w:numPr>
              <w:jc w:val="both"/>
              <w:rPr>
                <w:rFonts w:ascii="Calibri" w:hAnsi="Calibri"/>
                <w:lang w:val="en-GB"/>
              </w:rPr>
            </w:pPr>
            <w:r w:rsidRPr="000B7C13">
              <w:rPr>
                <w:rFonts w:ascii="Calibri" w:hAnsi="Calibri" w:cs="Segoe UI"/>
                <w:lang w:val="en-GB"/>
              </w:rPr>
              <w:t>The need for a comprehensive and holistic approach to solving the coastal zone management problem as a requirement</w:t>
            </w:r>
            <w:r w:rsidR="000F030B">
              <w:rPr>
                <w:rFonts w:ascii="Calibri" w:hAnsi="Calibri" w:cs="Segoe UI"/>
                <w:lang w:val="en-GB"/>
              </w:rPr>
              <w:t>;</w:t>
            </w:r>
          </w:p>
          <w:p w:rsidR="00227F53" w:rsidRPr="000B7C13" w:rsidRDefault="00227F53" w:rsidP="000B7C13">
            <w:pPr>
              <w:pStyle w:val="BodyText2"/>
              <w:numPr>
                <w:ilvl w:val="0"/>
                <w:numId w:val="20"/>
              </w:numPr>
              <w:jc w:val="both"/>
              <w:rPr>
                <w:rFonts w:ascii="Calibri" w:hAnsi="Calibri"/>
                <w:lang w:val="en-GB"/>
              </w:rPr>
            </w:pPr>
            <w:r w:rsidRPr="000B7C13">
              <w:rPr>
                <w:rFonts w:ascii="Calibri" w:hAnsi="Calibri" w:cs="Segoe UI"/>
                <w:lang w:val="en-GB"/>
              </w:rPr>
              <w:t>Instituting a longer term monitoring system is critical for sustainability. Sustainability must be considered during the design stage</w:t>
            </w:r>
            <w:r w:rsidR="000B7C13">
              <w:rPr>
                <w:rFonts w:ascii="Calibri" w:hAnsi="Calibri" w:cs="Segoe UI"/>
                <w:lang w:val="en-GB"/>
              </w:rPr>
              <w:t>.</w:t>
            </w:r>
          </w:p>
          <w:p w:rsidR="00B25EF6" w:rsidRPr="000B7C13" w:rsidRDefault="00B25EF6" w:rsidP="009E7526">
            <w:pPr>
              <w:pStyle w:val="BodyText2"/>
              <w:rPr>
                <w:rFonts w:ascii="Calibri" w:hAnsi="Calibri"/>
                <w:lang w:val="en-GB"/>
              </w:rPr>
            </w:pPr>
          </w:p>
        </w:tc>
      </w:tr>
    </w:tbl>
    <w:p w:rsidR="004B3911" w:rsidRPr="000B7C13" w:rsidRDefault="004B3911">
      <w:pPr>
        <w:pStyle w:val="BodyText2"/>
        <w:rPr>
          <w:rFonts w:ascii="Times New Roman" w:hAnsi="Times New Roman"/>
          <w:sz w:val="24"/>
          <w:lang w:val="en-GB"/>
        </w:rPr>
      </w:pPr>
    </w:p>
    <w:p w:rsidR="00E37E7A" w:rsidRDefault="00EA7740" w:rsidP="00E37E7A">
      <w:pPr>
        <w:pStyle w:val="BodyText2"/>
        <w:jc w:val="center"/>
        <w:rPr>
          <w:rFonts w:ascii="Calibri" w:hAnsi="Calibri"/>
          <w:sz w:val="24"/>
          <w:lang w:val="en-GB"/>
        </w:rPr>
      </w:pPr>
      <w:r w:rsidRPr="000B7C13">
        <w:rPr>
          <w:rFonts w:ascii="Calibri" w:hAnsi="Calibri"/>
          <w:sz w:val="24"/>
          <w:lang w:val="en-GB"/>
        </w:rPr>
        <w:lastRenderedPageBreak/>
        <w:t xml:space="preserve">III. </w:t>
      </w:r>
      <w:r w:rsidR="00673710" w:rsidRPr="000B7C13">
        <w:rPr>
          <w:rFonts w:ascii="Calibri" w:hAnsi="Calibri"/>
          <w:sz w:val="24"/>
          <w:lang w:val="en-GB"/>
        </w:rPr>
        <w:t xml:space="preserve">Country Programme </w:t>
      </w:r>
      <w:r w:rsidR="00E37E7A" w:rsidRPr="000B7C13">
        <w:rPr>
          <w:rFonts w:ascii="Calibri" w:hAnsi="Calibri"/>
          <w:sz w:val="24"/>
          <w:lang w:val="en-GB"/>
        </w:rPr>
        <w:t>Resources</w:t>
      </w:r>
      <w:r w:rsidR="00B0588C">
        <w:rPr>
          <w:rFonts w:ascii="Calibri" w:hAnsi="Calibri"/>
          <w:sz w:val="24"/>
          <w:lang w:val="en-GB"/>
        </w:rPr>
        <w:t xml:space="preserve"> (2013-2015 expenditure)</w:t>
      </w:r>
    </w:p>
    <w:p w:rsidR="00F62300" w:rsidRDefault="00F62300" w:rsidP="00F62300">
      <w:pPr>
        <w:pStyle w:val="PlainText"/>
      </w:pPr>
    </w:p>
    <w:tbl>
      <w:tblPr>
        <w:tblW w:w="0" w:type="auto"/>
        <w:tblCellMar>
          <w:left w:w="0" w:type="dxa"/>
          <w:right w:w="0" w:type="dxa"/>
        </w:tblCellMar>
        <w:tblLook w:val="04A0" w:firstRow="1" w:lastRow="0" w:firstColumn="1" w:lastColumn="0" w:noHBand="0" w:noVBand="1"/>
      </w:tblPr>
      <w:tblGrid>
        <w:gridCol w:w="6228"/>
        <w:gridCol w:w="1890"/>
        <w:gridCol w:w="2070"/>
        <w:gridCol w:w="1980"/>
        <w:gridCol w:w="2008"/>
      </w:tblGrid>
      <w:tr w:rsidR="00F62300" w:rsidTr="00F62300">
        <w:tc>
          <w:tcPr>
            <w:tcW w:w="622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F62300" w:rsidRDefault="00F62300">
            <w:pPr>
              <w:pStyle w:val="BodyText2"/>
              <w:jc w:val="center"/>
              <w:rPr>
                <w:rFonts w:ascii="Calibri" w:hAnsi="Calibri"/>
                <w:b/>
                <w:bCs/>
                <w:color w:val="FFFFFF"/>
                <w:sz w:val="24"/>
                <w:szCs w:val="24"/>
              </w:rPr>
            </w:pPr>
            <w:r>
              <w:rPr>
                <w:rFonts w:ascii="Calibri" w:hAnsi="Calibri"/>
                <w:b/>
                <w:bCs/>
                <w:color w:val="FFFFFF"/>
                <w:sz w:val="24"/>
                <w:szCs w:val="24"/>
              </w:rPr>
              <w:t>Focus Area</w:t>
            </w:r>
          </w:p>
        </w:tc>
        <w:tc>
          <w:tcPr>
            <w:tcW w:w="5940" w:type="dxa"/>
            <w:gridSpan w:val="3"/>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F62300" w:rsidRDefault="00F62300">
            <w:pPr>
              <w:pStyle w:val="BodyText2"/>
              <w:jc w:val="center"/>
              <w:rPr>
                <w:rFonts w:ascii="Calibri" w:hAnsi="Calibri"/>
                <w:b/>
                <w:bCs/>
                <w:color w:val="FFFFFF"/>
                <w:sz w:val="24"/>
                <w:szCs w:val="24"/>
              </w:rPr>
            </w:pPr>
            <w:r w:rsidRPr="00F62300">
              <w:rPr>
                <w:rFonts w:ascii="Calibri" w:hAnsi="Calibri"/>
                <w:b/>
                <w:bCs/>
                <w:color w:val="FFFFFF"/>
                <w:sz w:val="24"/>
                <w:szCs w:val="24"/>
                <w:lang w:val="en-GB"/>
              </w:rPr>
              <w:t>Programme</w:t>
            </w:r>
            <w:r>
              <w:rPr>
                <w:rFonts w:ascii="Calibri" w:hAnsi="Calibri"/>
                <w:b/>
                <w:bCs/>
                <w:color w:val="FFFFFF"/>
                <w:sz w:val="24"/>
                <w:szCs w:val="24"/>
              </w:rPr>
              <w:t xml:space="preserve"> Expenditure ($)</w:t>
            </w:r>
          </w:p>
        </w:tc>
        <w:tc>
          <w:tcPr>
            <w:tcW w:w="200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F62300" w:rsidRDefault="00F62300">
            <w:pPr>
              <w:pStyle w:val="BodyText2"/>
              <w:jc w:val="center"/>
              <w:rPr>
                <w:rFonts w:ascii="Calibri" w:hAnsi="Calibri"/>
                <w:b/>
                <w:bCs/>
                <w:color w:val="FFFFFF"/>
                <w:sz w:val="24"/>
                <w:szCs w:val="24"/>
              </w:rPr>
            </w:pPr>
            <w:r>
              <w:rPr>
                <w:rFonts w:ascii="Calibri" w:hAnsi="Calibri"/>
                <w:b/>
                <w:bCs/>
                <w:color w:val="FFFFFF"/>
                <w:sz w:val="24"/>
                <w:szCs w:val="24"/>
              </w:rPr>
              <w:t>% of Total</w:t>
            </w:r>
          </w:p>
        </w:tc>
      </w:tr>
      <w:tr w:rsidR="00F62300" w:rsidTr="00F62300">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2300" w:rsidRDefault="00F62300">
            <w:pPr>
              <w:pStyle w:val="BodyText2"/>
              <w:rPr>
                <w:rFonts w:ascii="Calibri" w:hAnsi="Calibr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Default="00F62300">
            <w:pPr>
              <w:pStyle w:val="BodyText2"/>
              <w:jc w:val="center"/>
              <w:rPr>
                <w:rFonts w:ascii="Calibri" w:hAnsi="Calibri"/>
              </w:rPr>
            </w:pPr>
            <w:r>
              <w:rPr>
                <w:rFonts w:ascii="Calibri" w:hAnsi="Calibri"/>
              </w:rPr>
              <w:t>Regular (TRAC)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Default="00F62300">
            <w:pPr>
              <w:pStyle w:val="BodyText2"/>
              <w:jc w:val="center"/>
              <w:rPr>
                <w:rFonts w:ascii="Calibri" w:hAnsi="Calibri"/>
              </w:rPr>
            </w:pPr>
            <w:r>
              <w:rPr>
                <w:rFonts w:ascii="Calibri" w:hAnsi="Calibri"/>
              </w:rPr>
              <w:t>Other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Default="00F62300">
            <w:pPr>
              <w:pStyle w:val="BodyText2"/>
              <w:jc w:val="center"/>
              <w:rPr>
                <w:rFonts w:ascii="Calibri" w:hAnsi="Calibri"/>
              </w:rPr>
            </w:pPr>
            <w:r>
              <w:rPr>
                <w:rFonts w:ascii="Calibri" w:hAnsi="Calibri"/>
              </w:rPr>
              <w:t>Total</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F62300" w:rsidRDefault="00F62300">
            <w:pPr>
              <w:pStyle w:val="BodyText2"/>
              <w:jc w:val="center"/>
              <w:rPr>
                <w:rFonts w:ascii="Calibri" w:hAnsi="Calibri"/>
              </w:rPr>
            </w:pPr>
          </w:p>
        </w:tc>
      </w:tr>
      <w:tr w:rsidR="00F62300" w:rsidTr="00F62300">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rPr>
                <w:rFonts w:ascii="Calibri" w:hAnsi="Calibri"/>
              </w:rPr>
            </w:pPr>
            <w:r w:rsidRPr="00F62300">
              <w:rPr>
                <w:rFonts w:ascii="Calibri" w:hAnsi="Calibri"/>
              </w:rPr>
              <w:t xml:space="preserve">Democratic Governance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770,308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210,683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980,991</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7.58%</w:t>
            </w:r>
          </w:p>
        </w:tc>
      </w:tr>
      <w:tr w:rsidR="00F62300" w:rsidTr="00F62300">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rPr>
                <w:rFonts w:ascii="Calibri" w:hAnsi="Calibri"/>
              </w:rPr>
            </w:pPr>
            <w:r w:rsidRPr="00F62300">
              <w:rPr>
                <w:rFonts w:ascii="Calibri" w:hAnsi="Calibri"/>
              </w:rPr>
              <w:t>Poverty and MDGs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509,945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82,527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592,472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4.58%</w:t>
            </w:r>
          </w:p>
        </w:tc>
      </w:tr>
      <w:tr w:rsidR="00F62300" w:rsidTr="00F62300">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rPr>
                <w:rFonts w:ascii="Calibri" w:hAnsi="Calibri"/>
              </w:rPr>
            </w:pPr>
            <w:r w:rsidRPr="00F62300">
              <w:rPr>
                <w:rFonts w:ascii="Calibri" w:hAnsi="Calibri"/>
              </w:rPr>
              <w:t>Environment and Sustainable Development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78,840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11,289,060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11,367,900</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87.84%</w:t>
            </w:r>
          </w:p>
        </w:tc>
      </w:tr>
      <w:tr w:rsidR="00F62300" w:rsidTr="00F62300">
        <w:tc>
          <w:tcPr>
            <w:tcW w:w="622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Total</w:t>
            </w:r>
          </w:p>
        </w:tc>
        <w:tc>
          <w:tcPr>
            <w:tcW w:w="189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1,359,093</w:t>
            </w:r>
          </w:p>
        </w:tc>
        <w:tc>
          <w:tcPr>
            <w:tcW w:w="20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11,582,270</w:t>
            </w:r>
          </w:p>
        </w:tc>
        <w:tc>
          <w:tcPr>
            <w:tcW w:w="198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F62300" w:rsidRPr="00F62300" w:rsidRDefault="00F62300">
            <w:pPr>
              <w:pStyle w:val="BodyText2"/>
              <w:jc w:val="center"/>
              <w:rPr>
                <w:rFonts w:ascii="Calibri" w:hAnsi="Calibri"/>
              </w:rPr>
            </w:pPr>
            <w:r w:rsidRPr="00F62300">
              <w:rPr>
                <w:rFonts w:ascii="Calibri" w:hAnsi="Calibri"/>
              </w:rPr>
              <w:t>12,941,363</w:t>
            </w:r>
          </w:p>
        </w:tc>
        <w:tc>
          <w:tcPr>
            <w:tcW w:w="200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F62300" w:rsidRPr="00F62300" w:rsidRDefault="00F62300">
            <w:pPr>
              <w:pStyle w:val="BodyText2"/>
              <w:jc w:val="center"/>
              <w:rPr>
                <w:rFonts w:ascii="Calibri" w:hAnsi="Calibri"/>
              </w:rPr>
            </w:pPr>
          </w:p>
        </w:tc>
      </w:tr>
    </w:tbl>
    <w:p w:rsidR="00635929" w:rsidRPr="00B0588C" w:rsidRDefault="00635929" w:rsidP="002315A5">
      <w:pPr>
        <w:pStyle w:val="BodyText2"/>
        <w:rPr>
          <w:rFonts w:ascii="Calibri" w:hAnsi="Calibr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2547CF" w:rsidRPr="00B0588C" w:rsidTr="00A16F22">
        <w:tc>
          <w:tcPr>
            <w:tcW w:w="14176" w:type="dxa"/>
          </w:tcPr>
          <w:p w:rsidR="002547CF" w:rsidRPr="00B0588C" w:rsidRDefault="002547CF" w:rsidP="005E0C05">
            <w:pPr>
              <w:pStyle w:val="BodyText2"/>
              <w:rPr>
                <w:rFonts w:ascii="Calibri" w:hAnsi="Calibri"/>
                <w:b/>
                <w:lang w:val="en-GB"/>
              </w:rPr>
            </w:pPr>
            <w:r w:rsidRPr="00B0588C">
              <w:rPr>
                <w:rFonts w:ascii="Calibri" w:hAnsi="Calibri"/>
                <w:b/>
                <w:lang w:val="en-GB"/>
              </w:rPr>
              <w:t xml:space="preserve">Data sources:  (please indicate the main sources from which data were obtained for this report.) </w:t>
            </w:r>
          </w:p>
        </w:tc>
      </w:tr>
      <w:tr w:rsidR="00B64ACA" w:rsidRPr="00B0588C" w:rsidTr="00A16F22">
        <w:tc>
          <w:tcPr>
            <w:tcW w:w="14176" w:type="dxa"/>
          </w:tcPr>
          <w:p w:rsidR="00B64ACA" w:rsidRPr="00B0588C" w:rsidRDefault="004247DC" w:rsidP="004247DC">
            <w:pPr>
              <w:pStyle w:val="BodyText2"/>
              <w:numPr>
                <w:ilvl w:val="0"/>
                <w:numId w:val="24"/>
              </w:numPr>
              <w:rPr>
                <w:rFonts w:ascii="Calibri" w:hAnsi="Calibri"/>
                <w:lang w:val="en-GB"/>
              </w:rPr>
            </w:pPr>
            <w:r w:rsidRPr="00B0588C">
              <w:rPr>
                <w:rFonts w:ascii="Calibri" w:hAnsi="Calibri"/>
                <w:lang w:val="en-GB"/>
              </w:rPr>
              <w:t>Country Programme Document 2013 – 2016</w:t>
            </w:r>
          </w:p>
          <w:p w:rsidR="004247DC" w:rsidRPr="00B0588C" w:rsidRDefault="004247DC" w:rsidP="004247DC">
            <w:pPr>
              <w:pStyle w:val="BodyText2"/>
              <w:numPr>
                <w:ilvl w:val="0"/>
                <w:numId w:val="24"/>
              </w:numPr>
              <w:rPr>
                <w:rFonts w:ascii="Calibri" w:hAnsi="Calibri"/>
                <w:lang w:val="en-GB"/>
              </w:rPr>
            </w:pPr>
            <w:r w:rsidRPr="00B0588C">
              <w:rPr>
                <w:rFonts w:ascii="Calibri" w:hAnsi="Calibri"/>
                <w:lang w:val="en-GB"/>
              </w:rPr>
              <w:t>Results Oriented Annual Report, ( 2013, 2014 and 2015)</w:t>
            </w:r>
          </w:p>
          <w:p w:rsidR="004247DC" w:rsidRPr="00B0588C" w:rsidRDefault="004247DC" w:rsidP="004247DC">
            <w:pPr>
              <w:pStyle w:val="BodyText2"/>
              <w:numPr>
                <w:ilvl w:val="0"/>
                <w:numId w:val="24"/>
              </w:numPr>
              <w:rPr>
                <w:rFonts w:ascii="Calibri" w:hAnsi="Calibri"/>
                <w:lang w:val="en-GB"/>
              </w:rPr>
            </w:pPr>
            <w:r w:rsidRPr="00B0588C">
              <w:rPr>
                <w:rFonts w:ascii="Calibri" w:hAnsi="Calibri"/>
                <w:lang w:val="en-GB"/>
              </w:rPr>
              <w:t>Terminal Evaluation of the Sustainable Management of Persistent Organic Pollutants in Mauritius</w:t>
            </w:r>
          </w:p>
          <w:p w:rsidR="004247DC" w:rsidRPr="00B0588C" w:rsidRDefault="004247DC" w:rsidP="004247DC">
            <w:pPr>
              <w:pStyle w:val="BodyText2"/>
              <w:numPr>
                <w:ilvl w:val="0"/>
                <w:numId w:val="24"/>
              </w:numPr>
              <w:rPr>
                <w:rFonts w:ascii="Calibri" w:hAnsi="Calibri"/>
                <w:lang w:val="en-GB"/>
              </w:rPr>
            </w:pPr>
            <w:r w:rsidRPr="00B0588C">
              <w:rPr>
                <w:rFonts w:ascii="Calibri" w:hAnsi="Calibri"/>
                <w:lang w:val="en-GB"/>
              </w:rPr>
              <w:t xml:space="preserve">Mid-Term Evaluation of the UNDP/GEF Project of Removal of Barriers to Solar PV Power Generations in Mauritius , Rodrigues and the Other Island </w:t>
            </w:r>
          </w:p>
          <w:p w:rsidR="004247DC" w:rsidRPr="00B0588C" w:rsidRDefault="004247DC" w:rsidP="004247DC">
            <w:pPr>
              <w:pStyle w:val="BodyText2"/>
              <w:numPr>
                <w:ilvl w:val="0"/>
                <w:numId w:val="24"/>
              </w:numPr>
              <w:rPr>
                <w:rFonts w:ascii="Calibri" w:hAnsi="Calibri"/>
                <w:lang w:val="en-GB"/>
              </w:rPr>
            </w:pPr>
            <w:r w:rsidRPr="00B0588C">
              <w:rPr>
                <w:rFonts w:ascii="Calibri" w:hAnsi="Calibri"/>
                <w:lang w:val="en-GB"/>
              </w:rPr>
              <w:t>Mid-term Evaluation of the Climate Change Adaptation in the Coastal Zone of Mauritius Project</w:t>
            </w:r>
          </w:p>
          <w:p w:rsidR="004247DC" w:rsidRPr="00B0588C" w:rsidRDefault="004247DC" w:rsidP="00BF6D2A">
            <w:pPr>
              <w:pStyle w:val="Default"/>
              <w:numPr>
                <w:ilvl w:val="0"/>
                <w:numId w:val="24"/>
              </w:numPr>
              <w:rPr>
                <w:rFonts w:ascii="Calibri" w:hAnsi="Calibri"/>
                <w:sz w:val="20"/>
                <w:szCs w:val="20"/>
                <w:lang w:val="en-GB"/>
              </w:rPr>
            </w:pPr>
            <w:r w:rsidRPr="00B0588C">
              <w:rPr>
                <w:rFonts w:ascii="Calibri" w:hAnsi="Calibri"/>
                <w:bCs/>
                <w:sz w:val="20"/>
                <w:szCs w:val="20"/>
                <w:lang w:val="en-GB"/>
              </w:rPr>
              <w:t xml:space="preserve">Mid-term Evaluation on Expanding Coverage and Strengthening Management Effectiveness </w:t>
            </w:r>
          </w:p>
          <w:p w:rsidR="004247DC" w:rsidRPr="00B0588C" w:rsidRDefault="004247DC" w:rsidP="004247DC">
            <w:pPr>
              <w:pStyle w:val="BodyText2"/>
              <w:ind w:left="720"/>
              <w:rPr>
                <w:rFonts w:ascii="Calibri" w:hAnsi="Calibri"/>
                <w:lang w:val="en-GB"/>
              </w:rPr>
            </w:pPr>
            <w:r w:rsidRPr="00B0588C">
              <w:rPr>
                <w:rFonts w:ascii="Calibri" w:hAnsi="Calibri"/>
                <w:bCs/>
                <w:lang w:val="en-GB"/>
              </w:rPr>
              <w:t>of the Protected Area Network on the Island of Mauritius</w:t>
            </w:r>
            <w:r w:rsidRPr="00B0588C">
              <w:rPr>
                <w:rFonts w:ascii="Calibri" w:hAnsi="Calibri"/>
                <w:lang w:val="en-GB"/>
              </w:rPr>
              <w:t xml:space="preserve"> </w:t>
            </w:r>
          </w:p>
          <w:p w:rsidR="008D791F" w:rsidRPr="00B0588C" w:rsidRDefault="009A7B87" w:rsidP="00BF6D2A">
            <w:pPr>
              <w:pStyle w:val="BodyText2"/>
              <w:numPr>
                <w:ilvl w:val="0"/>
                <w:numId w:val="24"/>
              </w:numPr>
              <w:rPr>
                <w:rFonts w:ascii="Calibri" w:hAnsi="Calibri"/>
                <w:b/>
                <w:lang w:val="en-GB"/>
              </w:rPr>
            </w:pPr>
            <w:r w:rsidRPr="00B0588C">
              <w:rPr>
                <w:rFonts w:ascii="Calibri" w:hAnsi="Calibri"/>
                <w:lang w:val="en-GB"/>
              </w:rPr>
              <w:t>Terminal Evaluation for the Removal of Barriers to Energy Efficiency in Buildings in Mauritius</w:t>
            </w:r>
          </w:p>
          <w:p w:rsidR="008D791F" w:rsidRPr="00B0588C" w:rsidRDefault="008D791F" w:rsidP="002315A5">
            <w:pPr>
              <w:pStyle w:val="BodyText2"/>
              <w:rPr>
                <w:rFonts w:ascii="Calibri" w:hAnsi="Calibri"/>
                <w:b/>
                <w:lang w:val="en-GB"/>
              </w:rPr>
            </w:pPr>
          </w:p>
        </w:tc>
      </w:tr>
    </w:tbl>
    <w:p w:rsidR="00635929" w:rsidRPr="00B0588C" w:rsidRDefault="00635929" w:rsidP="005E0C05">
      <w:pPr>
        <w:pStyle w:val="BodyText2"/>
        <w:rPr>
          <w:rFonts w:ascii="Times New Roman" w:hAnsi="Times New Roman"/>
          <w:sz w:val="24"/>
          <w:lang w:val="en-GB"/>
        </w:rPr>
      </w:pPr>
    </w:p>
    <w:sectPr w:rsidR="00635929" w:rsidRPr="00B0588C"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26" w:rsidRDefault="007E4E26">
      <w:r>
        <w:separator/>
      </w:r>
    </w:p>
  </w:endnote>
  <w:endnote w:type="continuationSeparator" w:id="0">
    <w:p w:rsidR="007E4E26" w:rsidRDefault="007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CD" w:rsidRDefault="00C576D1">
    <w:pPr>
      <w:pStyle w:val="Footer"/>
      <w:jc w:val="center"/>
    </w:pPr>
    <w:r>
      <w:fldChar w:fldCharType="begin"/>
    </w:r>
    <w:r>
      <w:instrText xml:space="preserve"> PAGE   \* MERGEFORMAT </w:instrText>
    </w:r>
    <w:r>
      <w:fldChar w:fldCharType="separate"/>
    </w:r>
    <w:r w:rsidR="00DE7490">
      <w:rPr>
        <w:noProof/>
      </w:rPr>
      <w:t>1</w:t>
    </w:r>
    <w:r>
      <w:fldChar w:fldCharType="end"/>
    </w:r>
  </w:p>
  <w:p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26" w:rsidRDefault="007E4E26">
      <w:r>
        <w:separator/>
      </w:r>
    </w:p>
  </w:footnote>
  <w:footnote w:type="continuationSeparator" w:id="0">
    <w:p w:rsidR="007E4E26" w:rsidRDefault="007E4E26">
      <w:r>
        <w:continuationSeparator/>
      </w:r>
    </w:p>
  </w:footnote>
  <w:footnote w:id="1">
    <w:p w:rsidR="001F3524" w:rsidRPr="0064746F" w:rsidRDefault="001F3524">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w:t>
      </w:r>
      <w:r w:rsidR="0064746F" w:rsidRPr="0064746F">
        <w:rPr>
          <w:rFonts w:ascii="Calibri" w:hAnsi="Calibri"/>
        </w:rPr>
        <w:t xml:space="preserve"> prepared</w:t>
      </w:r>
      <w:r w:rsidRPr="0064746F">
        <w:rPr>
          <w:rFonts w:ascii="Calibri" w:hAnsi="Calibri"/>
        </w:rPr>
        <w:t xml:space="preserve">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97741"/>
    <w:multiLevelType w:val="hybridMultilevel"/>
    <w:tmpl w:val="98B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33B89"/>
    <w:multiLevelType w:val="hybridMultilevel"/>
    <w:tmpl w:val="93C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011C3"/>
    <w:multiLevelType w:val="multilevel"/>
    <w:tmpl w:val="CADAB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607DB"/>
    <w:multiLevelType w:val="hybridMultilevel"/>
    <w:tmpl w:val="1C0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2E87"/>
    <w:multiLevelType w:val="multilevel"/>
    <w:tmpl w:val="FCEE004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1464D"/>
    <w:multiLevelType w:val="hybridMultilevel"/>
    <w:tmpl w:val="250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D91196"/>
    <w:multiLevelType w:val="hybridMultilevel"/>
    <w:tmpl w:val="14C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9C4AE4"/>
    <w:multiLevelType w:val="hybridMultilevel"/>
    <w:tmpl w:val="AD1E0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
  </w:num>
  <w:num w:numId="3">
    <w:abstractNumId w:val="10"/>
  </w:num>
  <w:num w:numId="4">
    <w:abstractNumId w:val="6"/>
  </w:num>
  <w:num w:numId="5">
    <w:abstractNumId w:val="18"/>
  </w:num>
  <w:num w:numId="6">
    <w:abstractNumId w:val="20"/>
  </w:num>
  <w:num w:numId="7">
    <w:abstractNumId w:val="3"/>
  </w:num>
  <w:num w:numId="8">
    <w:abstractNumId w:val="19"/>
  </w:num>
  <w:num w:numId="9">
    <w:abstractNumId w:val="7"/>
  </w:num>
  <w:num w:numId="10">
    <w:abstractNumId w:val="13"/>
  </w:num>
  <w:num w:numId="11">
    <w:abstractNumId w:val="24"/>
  </w:num>
  <w:num w:numId="12">
    <w:abstractNumId w:val="15"/>
  </w:num>
  <w:num w:numId="13">
    <w:abstractNumId w:val="16"/>
  </w:num>
  <w:num w:numId="14">
    <w:abstractNumId w:val="11"/>
  </w:num>
  <w:num w:numId="15">
    <w:abstractNumId w:val="0"/>
  </w:num>
  <w:num w:numId="16">
    <w:abstractNumId w:val="23"/>
  </w:num>
  <w:num w:numId="17">
    <w:abstractNumId w:val="21"/>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5"/>
  </w:num>
  <w:num w:numId="23">
    <w:abstractNumId w:val="8"/>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243"/>
    <w:rsid w:val="00005920"/>
    <w:rsid w:val="00007461"/>
    <w:rsid w:val="000079CC"/>
    <w:rsid w:val="00011A63"/>
    <w:rsid w:val="00012DC3"/>
    <w:rsid w:val="00015AE3"/>
    <w:rsid w:val="000168D0"/>
    <w:rsid w:val="00022871"/>
    <w:rsid w:val="00037752"/>
    <w:rsid w:val="000502AD"/>
    <w:rsid w:val="00057C55"/>
    <w:rsid w:val="0006541E"/>
    <w:rsid w:val="000768F5"/>
    <w:rsid w:val="000823AC"/>
    <w:rsid w:val="00096090"/>
    <w:rsid w:val="000A049E"/>
    <w:rsid w:val="000A3092"/>
    <w:rsid w:val="000B7C13"/>
    <w:rsid w:val="000C09B4"/>
    <w:rsid w:val="000C4457"/>
    <w:rsid w:val="000C584F"/>
    <w:rsid w:val="000D6DE5"/>
    <w:rsid w:val="000E381B"/>
    <w:rsid w:val="000F030B"/>
    <w:rsid w:val="000F3E5C"/>
    <w:rsid w:val="000F4A1E"/>
    <w:rsid w:val="000F77FD"/>
    <w:rsid w:val="00115F7B"/>
    <w:rsid w:val="00143EB4"/>
    <w:rsid w:val="0015409F"/>
    <w:rsid w:val="00155A0E"/>
    <w:rsid w:val="00157815"/>
    <w:rsid w:val="00161FC8"/>
    <w:rsid w:val="00162F64"/>
    <w:rsid w:val="00163196"/>
    <w:rsid w:val="0016576C"/>
    <w:rsid w:val="001663A4"/>
    <w:rsid w:val="00167DA9"/>
    <w:rsid w:val="0017263C"/>
    <w:rsid w:val="00176076"/>
    <w:rsid w:val="00183A5D"/>
    <w:rsid w:val="00183D4C"/>
    <w:rsid w:val="001861A1"/>
    <w:rsid w:val="00186A73"/>
    <w:rsid w:val="0019368D"/>
    <w:rsid w:val="001956C7"/>
    <w:rsid w:val="00195C5D"/>
    <w:rsid w:val="001A4D75"/>
    <w:rsid w:val="001A5FDE"/>
    <w:rsid w:val="001B1BAB"/>
    <w:rsid w:val="001B721D"/>
    <w:rsid w:val="001D0BA2"/>
    <w:rsid w:val="001D2B71"/>
    <w:rsid w:val="001E338C"/>
    <w:rsid w:val="001F3524"/>
    <w:rsid w:val="002000BD"/>
    <w:rsid w:val="002225D6"/>
    <w:rsid w:val="00223CC6"/>
    <w:rsid w:val="00227F53"/>
    <w:rsid w:val="00230A0E"/>
    <w:rsid w:val="002315A5"/>
    <w:rsid w:val="00231BF6"/>
    <w:rsid w:val="00232597"/>
    <w:rsid w:val="00237906"/>
    <w:rsid w:val="0024749F"/>
    <w:rsid w:val="002547CF"/>
    <w:rsid w:val="00262B3D"/>
    <w:rsid w:val="00262FB6"/>
    <w:rsid w:val="0026321D"/>
    <w:rsid w:val="00271ED8"/>
    <w:rsid w:val="00280294"/>
    <w:rsid w:val="002868C9"/>
    <w:rsid w:val="00291B53"/>
    <w:rsid w:val="00291ED0"/>
    <w:rsid w:val="00291F96"/>
    <w:rsid w:val="00294D6C"/>
    <w:rsid w:val="002B0B50"/>
    <w:rsid w:val="002C4B80"/>
    <w:rsid w:val="002D511A"/>
    <w:rsid w:val="002D7760"/>
    <w:rsid w:val="002D776E"/>
    <w:rsid w:val="002E7FD2"/>
    <w:rsid w:val="002F7E65"/>
    <w:rsid w:val="00314861"/>
    <w:rsid w:val="0032175A"/>
    <w:rsid w:val="00322DEA"/>
    <w:rsid w:val="003308B4"/>
    <w:rsid w:val="003323CC"/>
    <w:rsid w:val="00334603"/>
    <w:rsid w:val="003378F0"/>
    <w:rsid w:val="00342FA8"/>
    <w:rsid w:val="0034355C"/>
    <w:rsid w:val="00346615"/>
    <w:rsid w:val="00354CB5"/>
    <w:rsid w:val="00357B0E"/>
    <w:rsid w:val="00363EC5"/>
    <w:rsid w:val="00366AD1"/>
    <w:rsid w:val="0037523B"/>
    <w:rsid w:val="00380C16"/>
    <w:rsid w:val="00393982"/>
    <w:rsid w:val="003A6739"/>
    <w:rsid w:val="003A6F0C"/>
    <w:rsid w:val="003B037A"/>
    <w:rsid w:val="003B3DB8"/>
    <w:rsid w:val="003B422F"/>
    <w:rsid w:val="003D14A1"/>
    <w:rsid w:val="003D653B"/>
    <w:rsid w:val="003E0107"/>
    <w:rsid w:val="003F4E24"/>
    <w:rsid w:val="004004FC"/>
    <w:rsid w:val="00411132"/>
    <w:rsid w:val="00417008"/>
    <w:rsid w:val="004247DC"/>
    <w:rsid w:val="00424E4F"/>
    <w:rsid w:val="00427335"/>
    <w:rsid w:val="00431C34"/>
    <w:rsid w:val="0046070B"/>
    <w:rsid w:val="00461D62"/>
    <w:rsid w:val="004905B9"/>
    <w:rsid w:val="00492A04"/>
    <w:rsid w:val="0049330A"/>
    <w:rsid w:val="00497A06"/>
    <w:rsid w:val="004A35DC"/>
    <w:rsid w:val="004B3911"/>
    <w:rsid w:val="004C0399"/>
    <w:rsid w:val="004C0639"/>
    <w:rsid w:val="004C10F5"/>
    <w:rsid w:val="004C595C"/>
    <w:rsid w:val="004C6820"/>
    <w:rsid w:val="004D088E"/>
    <w:rsid w:val="004D245D"/>
    <w:rsid w:val="004D3DBE"/>
    <w:rsid w:val="005031BD"/>
    <w:rsid w:val="00516AC8"/>
    <w:rsid w:val="00517955"/>
    <w:rsid w:val="00522F29"/>
    <w:rsid w:val="00530FDE"/>
    <w:rsid w:val="005474ED"/>
    <w:rsid w:val="00552C41"/>
    <w:rsid w:val="0055468C"/>
    <w:rsid w:val="005638CB"/>
    <w:rsid w:val="005651E9"/>
    <w:rsid w:val="00567E9E"/>
    <w:rsid w:val="00572AD4"/>
    <w:rsid w:val="005733EA"/>
    <w:rsid w:val="0057589D"/>
    <w:rsid w:val="00582C59"/>
    <w:rsid w:val="005874BE"/>
    <w:rsid w:val="005918D9"/>
    <w:rsid w:val="005A7B65"/>
    <w:rsid w:val="005B126A"/>
    <w:rsid w:val="005C6168"/>
    <w:rsid w:val="005D7A51"/>
    <w:rsid w:val="005E0237"/>
    <w:rsid w:val="005E0C05"/>
    <w:rsid w:val="005E6593"/>
    <w:rsid w:val="005F2E08"/>
    <w:rsid w:val="005F6261"/>
    <w:rsid w:val="0060155F"/>
    <w:rsid w:val="00603696"/>
    <w:rsid w:val="00607CA0"/>
    <w:rsid w:val="0061007D"/>
    <w:rsid w:val="00612159"/>
    <w:rsid w:val="0061231C"/>
    <w:rsid w:val="00614B40"/>
    <w:rsid w:val="00616616"/>
    <w:rsid w:val="00635929"/>
    <w:rsid w:val="0064746F"/>
    <w:rsid w:val="00671660"/>
    <w:rsid w:val="00673710"/>
    <w:rsid w:val="006746D7"/>
    <w:rsid w:val="00674B1A"/>
    <w:rsid w:val="00684B78"/>
    <w:rsid w:val="00685ACB"/>
    <w:rsid w:val="006900E8"/>
    <w:rsid w:val="006900FE"/>
    <w:rsid w:val="00696F14"/>
    <w:rsid w:val="00697396"/>
    <w:rsid w:val="006A4666"/>
    <w:rsid w:val="006A7068"/>
    <w:rsid w:val="006B51AC"/>
    <w:rsid w:val="006E02F8"/>
    <w:rsid w:val="006E166E"/>
    <w:rsid w:val="006E57B0"/>
    <w:rsid w:val="00700521"/>
    <w:rsid w:val="00704406"/>
    <w:rsid w:val="007051EE"/>
    <w:rsid w:val="0071420D"/>
    <w:rsid w:val="00716447"/>
    <w:rsid w:val="00717304"/>
    <w:rsid w:val="0072655F"/>
    <w:rsid w:val="00730883"/>
    <w:rsid w:val="007310F0"/>
    <w:rsid w:val="007400FA"/>
    <w:rsid w:val="00741019"/>
    <w:rsid w:val="0076045B"/>
    <w:rsid w:val="00760E32"/>
    <w:rsid w:val="00764E41"/>
    <w:rsid w:val="00770901"/>
    <w:rsid w:val="00771515"/>
    <w:rsid w:val="00775E76"/>
    <w:rsid w:val="00776056"/>
    <w:rsid w:val="00790C12"/>
    <w:rsid w:val="0079590B"/>
    <w:rsid w:val="007C076C"/>
    <w:rsid w:val="007C1627"/>
    <w:rsid w:val="007C1B15"/>
    <w:rsid w:val="007D3B75"/>
    <w:rsid w:val="007D6483"/>
    <w:rsid w:val="007E1663"/>
    <w:rsid w:val="007E2D92"/>
    <w:rsid w:val="007E4E26"/>
    <w:rsid w:val="007F021A"/>
    <w:rsid w:val="007F4698"/>
    <w:rsid w:val="007F751A"/>
    <w:rsid w:val="008018C5"/>
    <w:rsid w:val="00801DDF"/>
    <w:rsid w:val="00804163"/>
    <w:rsid w:val="00806B7B"/>
    <w:rsid w:val="00813F1E"/>
    <w:rsid w:val="0081403B"/>
    <w:rsid w:val="008151E7"/>
    <w:rsid w:val="00822749"/>
    <w:rsid w:val="00824195"/>
    <w:rsid w:val="00837C4B"/>
    <w:rsid w:val="008421DE"/>
    <w:rsid w:val="00842737"/>
    <w:rsid w:val="00843006"/>
    <w:rsid w:val="008440D9"/>
    <w:rsid w:val="008444E3"/>
    <w:rsid w:val="00845340"/>
    <w:rsid w:val="00857007"/>
    <w:rsid w:val="0086342E"/>
    <w:rsid w:val="00867AAC"/>
    <w:rsid w:val="00872000"/>
    <w:rsid w:val="00872A11"/>
    <w:rsid w:val="00872F52"/>
    <w:rsid w:val="008732AF"/>
    <w:rsid w:val="00882ECA"/>
    <w:rsid w:val="00883252"/>
    <w:rsid w:val="008834D6"/>
    <w:rsid w:val="00890212"/>
    <w:rsid w:val="0089028E"/>
    <w:rsid w:val="008A0283"/>
    <w:rsid w:val="008B06DD"/>
    <w:rsid w:val="008B2014"/>
    <w:rsid w:val="008C2F5A"/>
    <w:rsid w:val="008C5F57"/>
    <w:rsid w:val="008D4556"/>
    <w:rsid w:val="008D791F"/>
    <w:rsid w:val="008E12A0"/>
    <w:rsid w:val="008E42B3"/>
    <w:rsid w:val="008F0A97"/>
    <w:rsid w:val="008F6969"/>
    <w:rsid w:val="0090226B"/>
    <w:rsid w:val="00907D5C"/>
    <w:rsid w:val="00911D33"/>
    <w:rsid w:val="00915883"/>
    <w:rsid w:val="00920DBC"/>
    <w:rsid w:val="00923DDB"/>
    <w:rsid w:val="009353D7"/>
    <w:rsid w:val="00942B3B"/>
    <w:rsid w:val="009459BC"/>
    <w:rsid w:val="009630A8"/>
    <w:rsid w:val="0097197E"/>
    <w:rsid w:val="00975566"/>
    <w:rsid w:val="00980878"/>
    <w:rsid w:val="00990CED"/>
    <w:rsid w:val="00992512"/>
    <w:rsid w:val="009A1BED"/>
    <w:rsid w:val="009A7B87"/>
    <w:rsid w:val="009B76A1"/>
    <w:rsid w:val="009C7E3E"/>
    <w:rsid w:val="009E234A"/>
    <w:rsid w:val="009E7526"/>
    <w:rsid w:val="009F21FD"/>
    <w:rsid w:val="009F611C"/>
    <w:rsid w:val="00A0001A"/>
    <w:rsid w:val="00A04A73"/>
    <w:rsid w:val="00A11A7C"/>
    <w:rsid w:val="00A16F22"/>
    <w:rsid w:val="00A176E4"/>
    <w:rsid w:val="00A1786A"/>
    <w:rsid w:val="00A210CD"/>
    <w:rsid w:val="00A22180"/>
    <w:rsid w:val="00A23B8D"/>
    <w:rsid w:val="00A30EBB"/>
    <w:rsid w:val="00A40130"/>
    <w:rsid w:val="00A44F24"/>
    <w:rsid w:val="00A45528"/>
    <w:rsid w:val="00A556D9"/>
    <w:rsid w:val="00A56D1F"/>
    <w:rsid w:val="00A57912"/>
    <w:rsid w:val="00A6518C"/>
    <w:rsid w:val="00A74149"/>
    <w:rsid w:val="00A75511"/>
    <w:rsid w:val="00A85E34"/>
    <w:rsid w:val="00A93F27"/>
    <w:rsid w:val="00A947E5"/>
    <w:rsid w:val="00AA5932"/>
    <w:rsid w:val="00AB4AC5"/>
    <w:rsid w:val="00AB6BE4"/>
    <w:rsid w:val="00AC2A09"/>
    <w:rsid w:val="00AD4509"/>
    <w:rsid w:val="00AE47E0"/>
    <w:rsid w:val="00B00E5C"/>
    <w:rsid w:val="00B027F4"/>
    <w:rsid w:val="00B053BE"/>
    <w:rsid w:val="00B0588C"/>
    <w:rsid w:val="00B1217F"/>
    <w:rsid w:val="00B16176"/>
    <w:rsid w:val="00B2050D"/>
    <w:rsid w:val="00B25B8C"/>
    <w:rsid w:val="00B25EF6"/>
    <w:rsid w:val="00B32ADA"/>
    <w:rsid w:val="00B40BDB"/>
    <w:rsid w:val="00B43BB4"/>
    <w:rsid w:val="00B50A32"/>
    <w:rsid w:val="00B5453A"/>
    <w:rsid w:val="00B5570A"/>
    <w:rsid w:val="00B56AB1"/>
    <w:rsid w:val="00B60CDF"/>
    <w:rsid w:val="00B62537"/>
    <w:rsid w:val="00B62D50"/>
    <w:rsid w:val="00B64ACA"/>
    <w:rsid w:val="00B74295"/>
    <w:rsid w:val="00BB6708"/>
    <w:rsid w:val="00BC38E0"/>
    <w:rsid w:val="00BC3D27"/>
    <w:rsid w:val="00BD2EDC"/>
    <w:rsid w:val="00BE2925"/>
    <w:rsid w:val="00BF30C1"/>
    <w:rsid w:val="00BF6D2A"/>
    <w:rsid w:val="00C01B34"/>
    <w:rsid w:val="00C04CF2"/>
    <w:rsid w:val="00C06C24"/>
    <w:rsid w:val="00C11BF6"/>
    <w:rsid w:val="00C20118"/>
    <w:rsid w:val="00C2089E"/>
    <w:rsid w:val="00C31A12"/>
    <w:rsid w:val="00C54892"/>
    <w:rsid w:val="00C576D1"/>
    <w:rsid w:val="00C66AF8"/>
    <w:rsid w:val="00C66DE1"/>
    <w:rsid w:val="00C678FE"/>
    <w:rsid w:val="00C91271"/>
    <w:rsid w:val="00C97E31"/>
    <w:rsid w:val="00CA60FF"/>
    <w:rsid w:val="00CA7881"/>
    <w:rsid w:val="00CB2A38"/>
    <w:rsid w:val="00CB626A"/>
    <w:rsid w:val="00CB647D"/>
    <w:rsid w:val="00CB7134"/>
    <w:rsid w:val="00CB7EE0"/>
    <w:rsid w:val="00CC149F"/>
    <w:rsid w:val="00CD2CFF"/>
    <w:rsid w:val="00CE4270"/>
    <w:rsid w:val="00CF60EC"/>
    <w:rsid w:val="00D0770F"/>
    <w:rsid w:val="00D30BE3"/>
    <w:rsid w:val="00D34C73"/>
    <w:rsid w:val="00D51D16"/>
    <w:rsid w:val="00D62E09"/>
    <w:rsid w:val="00D7448D"/>
    <w:rsid w:val="00D758E3"/>
    <w:rsid w:val="00D76FEC"/>
    <w:rsid w:val="00D80A4F"/>
    <w:rsid w:val="00D9192E"/>
    <w:rsid w:val="00DC1BA1"/>
    <w:rsid w:val="00DC4D86"/>
    <w:rsid w:val="00DC7354"/>
    <w:rsid w:val="00DD405B"/>
    <w:rsid w:val="00DD4368"/>
    <w:rsid w:val="00DD74F3"/>
    <w:rsid w:val="00DE012B"/>
    <w:rsid w:val="00DE3B33"/>
    <w:rsid w:val="00DE7490"/>
    <w:rsid w:val="00DF0357"/>
    <w:rsid w:val="00E06A4E"/>
    <w:rsid w:val="00E14009"/>
    <w:rsid w:val="00E1547F"/>
    <w:rsid w:val="00E1778C"/>
    <w:rsid w:val="00E215E5"/>
    <w:rsid w:val="00E307A9"/>
    <w:rsid w:val="00E318CF"/>
    <w:rsid w:val="00E327C3"/>
    <w:rsid w:val="00E32ACA"/>
    <w:rsid w:val="00E34EA7"/>
    <w:rsid w:val="00E37E7A"/>
    <w:rsid w:val="00E404C4"/>
    <w:rsid w:val="00E45324"/>
    <w:rsid w:val="00E634E6"/>
    <w:rsid w:val="00E770DC"/>
    <w:rsid w:val="00E8225D"/>
    <w:rsid w:val="00E849EA"/>
    <w:rsid w:val="00E91FA7"/>
    <w:rsid w:val="00EA4739"/>
    <w:rsid w:val="00EA7566"/>
    <w:rsid w:val="00EA7740"/>
    <w:rsid w:val="00EB0819"/>
    <w:rsid w:val="00EB3419"/>
    <w:rsid w:val="00EB5E43"/>
    <w:rsid w:val="00EB6D21"/>
    <w:rsid w:val="00EC1EB4"/>
    <w:rsid w:val="00EC1F97"/>
    <w:rsid w:val="00EC6515"/>
    <w:rsid w:val="00EC6AE0"/>
    <w:rsid w:val="00EC7BBC"/>
    <w:rsid w:val="00EE1D60"/>
    <w:rsid w:val="00EE340E"/>
    <w:rsid w:val="00EE6BF9"/>
    <w:rsid w:val="00EE7C7F"/>
    <w:rsid w:val="00F01FDE"/>
    <w:rsid w:val="00F12462"/>
    <w:rsid w:val="00F125FC"/>
    <w:rsid w:val="00F16195"/>
    <w:rsid w:val="00F2190D"/>
    <w:rsid w:val="00F31949"/>
    <w:rsid w:val="00F322FE"/>
    <w:rsid w:val="00F369E7"/>
    <w:rsid w:val="00F37FA7"/>
    <w:rsid w:val="00F43B89"/>
    <w:rsid w:val="00F4629A"/>
    <w:rsid w:val="00F5267A"/>
    <w:rsid w:val="00F528E4"/>
    <w:rsid w:val="00F62300"/>
    <w:rsid w:val="00F63EB0"/>
    <w:rsid w:val="00F71BE1"/>
    <w:rsid w:val="00F81EB4"/>
    <w:rsid w:val="00F826EC"/>
    <w:rsid w:val="00F84BEC"/>
    <w:rsid w:val="00F84FD4"/>
    <w:rsid w:val="00F93F3F"/>
    <w:rsid w:val="00F9598F"/>
    <w:rsid w:val="00FA21BA"/>
    <w:rsid w:val="00FA4052"/>
    <w:rsid w:val="00FB2C4C"/>
    <w:rsid w:val="00FB3DB2"/>
    <w:rsid w:val="00FB524D"/>
    <w:rsid w:val="00FE3711"/>
    <w:rsid w:val="00FE42B7"/>
    <w:rsid w:val="00FF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604E6-3542-4BD1-AE38-7BDC656B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lang w:val="en-US" w:eastAsia="en-US"/>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character" w:styleId="CommentReference">
    <w:name w:val="annotation reference"/>
    <w:rsid w:val="004C0639"/>
    <w:rPr>
      <w:sz w:val="16"/>
      <w:szCs w:val="16"/>
    </w:rPr>
  </w:style>
  <w:style w:type="paragraph" w:styleId="CommentText">
    <w:name w:val="annotation text"/>
    <w:basedOn w:val="Normal"/>
    <w:link w:val="CommentTextChar"/>
    <w:rsid w:val="004C0639"/>
    <w:rPr>
      <w:sz w:val="20"/>
    </w:rPr>
  </w:style>
  <w:style w:type="character" w:customStyle="1" w:styleId="CommentTextChar">
    <w:name w:val="Comment Text Char"/>
    <w:basedOn w:val="DefaultParagraphFont"/>
    <w:link w:val="CommentText"/>
    <w:rsid w:val="004C0639"/>
  </w:style>
  <w:style w:type="paragraph" w:styleId="CommentSubject">
    <w:name w:val="annotation subject"/>
    <w:basedOn w:val="CommentText"/>
    <w:next w:val="CommentText"/>
    <w:link w:val="CommentSubjectChar"/>
    <w:rsid w:val="004C0639"/>
    <w:rPr>
      <w:b/>
      <w:bCs/>
    </w:rPr>
  </w:style>
  <w:style w:type="character" w:customStyle="1" w:styleId="CommentSubjectChar">
    <w:name w:val="Comment Subject Char"/>
    <w:link w:val="CommentSubject"/>
    <w:rsid w:val="004C0639"/>
    <w:rPr>
      <w:b/>
      <w:bCs/>
    </w:rPr>
  </w:style>
  <w:style w:type="paragraph" w:styleId="BalloonText">
    <w:name w:val="Balloon Text"/>
    <w:basedOn w:val="Normal"/>
    <w:link w:val="BalloonTextChar"/>
    <w:rsid w:val="004C0639"/>
    <w:rPr>
      <w:rFonts w:ascii="Segoe UI" w:hAnsi="Segoe UI" w:cs="Segoe UI"/>
      <w:sz w:val="18"/>
      <w:szCs w:val="18"/>
    </w:rPr>
  </w:style>
  <w:style w:type="character" w:customStyle="1" w:styleId="BalloonTextChar">
    <w:name w:val="Balloon Text Char"/>
    <w:link w:val="BalloonText"/>
    <w:rsid w:val="004C0639"/>
    <w:rPr>
      <w:rFonts w:ascii="Segoe UI" w:hAnsi="Segoe UI" w:cs="Segoe UI"/>
      <w:sz w:val="18"/>
      <w:szCs w:val="18"/>
    </w:rPr>
  </w:style>
  <w:style w:type="paragraph" w:styleId="NoSpacing">
    <w:name w:val="No Spacing"/>
    <w:link w:val="NoSpacingChar"/>
    <w:uiPriority w:val="1"/>
    <w:qFormat/>
    <w:rsid w:val="001861A1"/>
    <w:rPr>
      <w:rFonts w:ascii="Calibri" w:eastAsia="Calibri" w:hAnsi="Calibri"/>
      <w:sz w:val="22"/>
      <w:szCs w:val="22"/>
      <w:lang w:val="en-CA" w:eastAsia="en-US"/>
    </w:rPr>
  </w:style>
  <w:style w:type="character" w:customStyle="1" w:styleId="NoSpacingChar">
    <w:name w:val="No Spacing Char"/>
    <w:link w:val="NoSpacing"/>
    <w:uiPriority w:val="1"/>
    <w:rsid w:val="001861A1"/>
    <w:rPr>
      <w:rFonts w:ascii="Calibri" w:eastAsia="Calibri" w:hAnsi="Calibri"/>
      <w:sz w:val="22"/>
      <w:szCs w:val="22"/>
      <w:lang w:val="en-CA"/>
    </w:rPr>
  </w:style>
  <w:style w:type="paragraph" w:customStyle="1" w:styleId="Heading51">
    <w:name w:val="Heading 51"/>
    <w:basedOn w:val="Normal"/>
    <w:next w:val="Normal"/>
    <w:uiPriority w:val="9"/>
    <w:unhideWhenUsed/>
    <w:qFormat/>
    <w:rsid w:val="001861A1"/>
    <w:pPr>
      <w:widowControl/>
      <w:pBdr>
        <w:bottom w:val="single" w:sz="6" w:space="1" w:color="4F81BD"/>
      </w:pBdr>
      <w:spacing w:before="300" w:line="276" w:lineRule="auto"/>
      <w:outlineLvl w:val="4"/>
    </w:pPr>
    <w:rPr>
      <w:rFonts w:ascii="Calibri" w:hAnsi="Calibri"/>
      <w:b/>
      <w:caps/>
      <w:spacing w:val="10"/>
      <w:sz w:val="22"/>
      <w:szCs w:val="22"/>
      <w:lang w:bidi="en-US"/>
    </w:rPr>
  </w:style>
  <w:style w:type="paragraph" w:customStyle="1" w:styleId="yiv3008498503msonospacing">
    <w:name w:val="yiv3008498503msonospacing"/>
    <w:basedOn w:val="Normal"/>
    <w:rsid w:val="001861A1"/>
    <w:pPr>
      <w:widowControl/>
      <w:spacing w:before="100" w:beforeAutospacing="1" w:after="100" w:afterAutospacing="1"/>
    </w:pPr>
    <w:rPr>
      <w:szCs w:val="24"/>
    </w:rPr>
  </w:style>
  <w:style w:type="paragraph" w:customStyle="1" w:styleId="Default">
    <w:name w:val="Default"/>
    <w:rsid w:val="004247DC"/>
    <w:pPr>
      <w:autoSpaceDE w:val="0"/>
      <w:autoSpaceDN w:val="0"/>
      <w:adjustRightInd w:val="0"/>
    </w:pPr>
    <w:rPr>
      <w:color w:val="000000"/>
      <w:sz w:val="24"/>
      <w:szCs w:val="24"/>
      <w:lang w:val="en-US" w:eastAsia="en-US"/>
    </w:rPr>
  </w:style>
  <w:style w:type="character" w:styleId="Hyperlink">
    <w:name w:val="Hyperlink"/>
    <w:rsid w:val="00872A11"/>
    <w:rPr>
      <w:color w:val="0563C1"/>
      <w:u w:val="single"/>
    </w:rPr>
  </w:style>
  <w:style w:type="paragraph" w:styleId="PlainText">
    <w:name w:val="Plain Text"/>
    <w:basedOn w:val="Normal"/>
    <w:link w:val="PlainTextChar"/>
    <w:uiPriority w:val="99"/>
    <w:unhideWhenUsed/>
    <w:rsid w:val="00F62300"/>
    <w:pPr>
      <w:widowControl/>
    </w:pPr>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F6230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D080-6918-4F35-9F46-F4C3385C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2</cp:revision>
  <cp:lastPrinted>2016-02-02T12:45:00Z</cp:lastPrinted>
  <dcterms:created xsi:type="dcterms:W3CDTF">2016-02-29T17:14:00Z</dcterms:created>
  <dcterms:modified xsi:type="dcterms:W3CDTF">2016-02-29T17:14:00Z</dcterms:modified>
</cp:coreProperties>
</file>