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592F9" w14:textId="7AA48BAE" w:rsidR="00ED7FBC" w:rsidRPr="005E1CFA" w:rsidRDefault="00ED7FBC" w:rsidP="00ED7FBC">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5E1CFA">
        <w:rPr>
          <w:b/>
          <w:color w:val="000000"/>
          <w:lang w:val="en-GB"/>
        </w:rPr>
        <w:t>Annual session 2016</w:t>
      </w:r>
    </w:p>
    <w:p w14:paraId="3E2416A0" w14:textId="3A716AED" w:rsidR="00ED7FBC" w:rsidRPr="005E1CFA" w:rsidRDefault="00ED7FBC" w:rsidP="00ED7FBC">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5E1CFA">
        <w:rPr>
          <w:color w:val="000000"/>
          <w:lang w:val="en-GB"/>
        </w:rPr>
        <w:t>6-10 June 2016, New York</w:t>
      </w:r>
    </w:p>
    <w:p w14:paraId="0984CC7F" w14:textId="77A18829" w:rsidR="00ED7FBC" w:rsidRPr="005E1CFA" w:rsidRDefault="00ED7FBC" w:rsidP="00ED7FBC">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5E1CFA">
        <w:rPr>
          <w:color w:val="000000"/>
          <w:lang w:val="en-GB"/>
        </w:rPr>
        <w:t xml:space="preserve">Item </w:t>
      </w:r>
      <w:r w:rsidR="00884763" w:rsidRPr="005E1CFA">
        <w:rPr>
          <w:color w:val="000000"/>
          <w:lang w:val="en-GB"/>
        </w:rPr>
        <w:t>6</w:t>
      </w:r>
      <w:r w:rsidRPr="005E1CFA">
        <w:rPr>
          <w:color w:val="000000"/>
          <w:lang w:val="en-GB"/>
        </w:rPr>
        <w:t xml:space="preserve"> of the provisional agenda</w:t>
      </w:r>
    </w:p>
    <w:p w14:paraId="46A5EBD8" w14:textId="77777777" w:rsidR="00ED7FBC" w:rsidRPr="005E1CFA" w:rsidRDefault="00ED7FBC" w:rsidP="00ED7FBC">
      <w:pPr>
        <w:tabs>
          <w:tab w:val="left" w:pos="1620"/>
        </w:tabs>
        <w:ind w:right="1260"/>
        <w:rPr>
          <w:b/>
          <w:color w:val="000000"/>
          <w:lang w:val="en-GB"/>
        </w:rPr>
      </w:pPr>
      <w:r w:rsidRPr="005E1CFA">
        <w:rPr>
          <w:b/>
          <w:color w:val="000000"/>
          <w:lang w:val="en-GB"/>
        </w:rPr>
        <w:t>Country programmes and related matters</w:t>
      </w:r>
    </w:p>
    <w:p w14:paraId="665590C9" w14:textId="77777777" w:rsidR="00ED7FBC" w:rsidRPr="005E1CFA" w:rsidRDefault="00ED7FBC" w:rsidP="00ED7FBC">
      <w:pPr>
        <w:tabs>
          <w:tab w:val="left" w:pos="1620"/>
        </w:tabs>
        <w:spacing w:after="160" w:line="259" w:lineRule="auto"/>
        <w:rPr>
          <w:rFonts w:asciiTheme="minorHAnsi" w:eastAsiaTheme="minorHAnsi" w:hAnsiTheme="minorHAnsi" w:cstheme="minorBidi"/>
          <w:b/>
          <w:sz w:val="28"/>
          <w:szCs w:val="28"/>
          <w:lang w:val="en-GB"/>
        </w:rPr>
      </w:pPr>
    </w:p>
    <w:p w14:paraId="54C0B06A" w14:textId="293A29FD" w:rsidR="00ED7FBC" w:rsidRPr="005E1CFA" w:rsidRDefault="00ED7FBC" w:rsidP="00ED7FBC">
      <w:pPr>
        <w:tabs>
          <w:tab w:val="left" w:pos="1620"/>
        </w:tabs>
        <w:spacing w:after="160" w:line="259" w:lineRule="auto"/>
        <w:ind w:right="-360"/>
        <w:rPr>
          <w:rFonts w:eastAsiaTheme="minorHAnsi"/>
          <w:b/>
          <w:sz w:val="32"/>
          <w:szCs w:val="32"/>
          <w:lang w:val="en-GB"/>
        </w:rPr>
      </w:pPr>
      <w:r w:rsidRPr="005E1CFA">
        <w:rPr>
          <w:rFonts w:eastAsiaTheme="minorHAnsi"/>
          <w:b/>
          <w:sz w:val="32"/>
          <w:szCs w:val="32"/>
          <w:lang w:val="en-GB"/>
        </w:rPr>
        <w:t xml:space="preserve">Draft country programme document for </w:t>
      </w:r>
      <w:r w:rsidR="00884763" w:rsidRPr="005E1CFA">
        <w:rPr>
          <w:rFonts w:eastAsiaTheme="minorHAnsi"/>
          <w:b/>
          <w:sz w:val="32"/>
          <w:szCs w:val="32"/>
          <w:lang w:val="en-GB"/>
        </w:rPr>
        <w:t>the Republic of South Sudan</w:t>
      </w:r>
      <w:r w:rsidRPr="005E1CFA">
        <w:rPr>
          <w:rFonts w:eastAsiaTheme="minorHAnsi"/>
          <w:b/>
          <w:sz w:val="32"/>
          <w:szCs w:val="32"/>
          <w:lang w:val="en-GB"/>
        </w:rPr>
        <w:t xml:space="preserve"> (</w:t>
      </w:r>
      <w:r w:rsidR="00884763" w:rsidRPr="005E1CFA">
        <w:rPr>
          <w:rFonts w:eastAsiaTheme="minorHAnsi"/>
          <w:b/>
          <w:sz w:val="32"/>
          <w:szCs w:val="32"/>
          <w:lang w:val="en-GB"/>
        </w:rPr>
        <w:t xml:space="preserve">July </w:t>
      </w:r>
      <w:r w:rsidRPr="005E1CFA">
        <w:rPr>
          <w:rFonts w:eastAsiaTheme="minorHAnsi"/>
          <w:b/>
          <w:sz w:val="32"/>
          <w:szCs w:val="32"/>
          <w:lang w:val="en-GB"/>
        </w:rPr>
        <w:t>2016-</w:t>
      </w:r>
      <w:r w:rsidR="00884763" w:rsidRPr="005E1CFA">
        <w:rPr>
          <w:rFonts w:eastAsiaTheme="minorHAnsi"/>
          <w:b/>
          <w:sz w:val="32"/>
          <w:szCs w:val="32"/>
          <w:lang w:val="en-GB"/>
        </w:rPr>
        <w:t>December 2017</w:t>
      </w:r>
      <w:r w:rsidRPr="005E1CFA">
        <w:rPr>
          <w:rFonts w:eastAsiaTheme="minorHAnsi"/>
          <w:b/>
          <w:sz w:val="32"/>
          <w:szCs w:val="32"/>
          <w:lang w:val="en-GB"/>
        </w:rPr>
        <w:t>)</w:t>
      </w:r>
    </w:p>
    <w:p w14:paraId="54D22DD5" w14:textId="77777777" w:rsidR="00ED7FBC" w:rsidRPr="005E1CFA" w:rsidRDefault="00ED7FBC" w:rsidP="00ED7FBC">
      <w:pPr>
        <w:tabs>
          <w:tab w:val="left" w:pos="1620"/>
        </w:tabs>
        <w:rPr>
          <w:lang w:val="en-GB"/>
        </w:rPr>
      </w:pPr>
    </w:p>
    <w:p w14:paraId="1E352437" w14:textId="77777777" w:rsidR="00ED7FBC" w:rsidRPr="005E1CFA" w:rsidRDefault="00ED7FBC" w:rsidP="00ED7FB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5E1CFA">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D7FBC" w:rsidRPr="005E1CFA" w14:paraId="5E20AFCE" w14:textId="77777777" w:rsidTr="003046F5">
        <w:tc>
          <w:tcPr>
            <w:tcW w:w="1060" w:type="dxa"/>
            <w:shd w:val="clear" w:color="auto" w:fill="auto"/>
          </w:tcPr>
          <w:p w14:paraId="77BB11AB" w14:textId="77777777" w:rsidR="00ED7FBC" w:rsidRPr="005E1CFA" w:rsidRDefault="00ED7FBC" w:rsidP="00ED7FBC">
            <w:pPr>
              <w:tabs>
                <w:tab w:val="left" w:pos="1620"/>
              </w:tabs>
              <w:suppressAutoHyphens/>
              <w:spacing w:after="120"/>
              <w:jc w:val="right"/>
              <w:rPr>
                <w:i/>
                <w:spacing w:val="4"/>
                <w:w w:val="103"/>
                <w:kern w:val="14"/>
                <w:sz w:val="14"/>
                <w:lang w:val="en-GB"/>
              </w:rPr>
            </w:pPr>
          </w:p>
        </w:tc>
        <w:tc>
          <w:tcPr>
            <w:tcW w:w="7315" w:type="dxa"/>
            <w:shd w:val="clear" w:color="auto" w:fill="auto"/>
          </w:tcPr>
          <w:p w14:paraId="5EA1B618" w14:textId="77777777" w:rsidR="00ED7FBC" w:rsidRPr="005E1CFA" w:rsidRDefault="00ED7FBC" w:rsidP="00ED7FBC">
            <w:pPr>
              <w:tabs>
                <w:tab w:val="left" w:pos="1620"/>
              </w:tabs>
              <w:suppressAutoHyphens/>
              <w:spacing w:after="120"/>
              <w:rPr>
                <w:i/>
                <w:spacing w:val="4"/>
                <w:w w:val="103"/>
                <w:kern w:val="14"/>
                <w:sz w:val="14"/>
                <w:lang w:val="en-GB"/>
              </w:rPr>
            </w:pPr>
          </w:p>
        </w:tc>
        <w:tc>
          <w:tcPr>
            <w:tcW w:w="1527" w:type="dxa"/>
            <w:gridSpan w:val="2"/>
            <w:shd w:val="clear" w:color="auto" w:fill="auto"/>
          </w:tcPr>
          <w:p w14:paraId="7CD3A2FD" w14:textId="77777777" w:rsidR="00ED7FBC" w:rsidRPr="005E1CFA" w:rsidRDefault="00ED7FBC" w:rsidP="00ED7FBC">
            <w:pPr>
              <w:tabs>
                <w:tab w:val="left" w:pos="1620"/>
              </w:tabs>
              <w:suppressAutoHyphens/>
              <w:spacing w:after="120"/>
              <w:jc w:val="right"/>
              <w:rPr>
                <w:i/>
                <w:spacing w:val="4"/>
                <w:w w:val="103"/>
                <w:kern w:val="14"/>
                <w:sz w:val="14"/>
                <w:lang w:val="en-GB"/>
              </w:rPr>
            </w:pPr>
            <w:r w:rsidRPr="005E1CFA">
              <w:rPr>
                <w:i/>
                <w:spacing w:val="4"/>
                <w:w w:val="103"/>
                <w:kern w:val="14"/>
                <w:sz w:val="14"/>
                <w:lang w:val="en-GB"/>
              </w:rPr>
              <w:t>Page</w:t>
            </w:r>
          </w:p>
        </w:tc>
      </w:tr>
      <w:tr w:rsidR="00ED7FBC" w:rsidRPr="005E1CFA" w14:paraId="6DD81860" w14:textId="77777777" w:rsidTr="003046F5">
        <w:tc>
          <w:tcPr>
            <w:tcW w:w="8375" w:type="dxa"/>
            <w:gridSpan w:val="2"/>
            <w:shd w:val="clear" w:color="auto" w:fill="auto"/>
          </w:tcPr>
          <w:p w14:paraId="27056142" w14:textId="77777777" w:rsidR="00ED7FBC" w:rsidRPr="005E1CFA" w:rsidRDefault="00ED7FBC" w:rsidP="00ED7FBC">
            <w:pPr>
              <w:numPr>
                <w:ilvl w:val="0"/>
                <w:numId w:val="5"/>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5E1CFA">
              <w:rPr>
                <w:spacing w:val="4"/>
                <w:w w:val="103"/>
                <w:kern w:val="14"/>
                <w:lang w:val="en-GB"/>
              </w:rPr>
              <w:tab/>
              <w:t>Programme rationale</w:t>
            </w:r>
            <w:r w:rsidRPr="005E1CFA">
              <w:rPr>
                <w:spacing w:val="60"/>
                <w:w w:val="103"/>
                <w:kern w:val="14"/>
                <w:sz w:val="17"/>
                <w:lang w:val="en-GB"/>
              </w:rPr>
              <w:tab/>
            </w:r>
          </w:p>
        </w:tc>
        <w:tc>
          <w:tcPr>
            <w:tcW w:w="1527" w:type="dxa"/>
            <w:gridSpan w:val="2"/>
            <w:vMerge w:val="restart"/>
            <w:shd w:val="clear" w:color="auto" w:fill="auto"/>
            <w:vAlign w:val="bottom"/>
          </w:tcPr>
          <w:p w14:paraId="1470D847" w14:textId="77777777" w:rsidR="00ED7FBC" w:rsidRPr="005E1CFA" w:rsidRDefault="00ED7FBC" w:rsidP="00ED7FBC">
            <w:pPr>
              <w:tabs>
                <w:tab w:val="left" w:pos="1620"/>
              </w:tabs>
              <w:suppressAutoHyphens/>
              <w:spacing w:after="120" w:line="240" w:lineRule="exact"/>
              <w:jc w:val="right"/>
              <w:rPr>
                <w:spacing w:val="4"/>
                <w:w w:val="103"/>
                <w:kern w:val="14"/>
                <w:lang w:val="en-GB"/>
              </w:rPr>
            </w:pPr>
            <w:r w:rsidRPr="005E1CFA">
              <w:rPr>
                <w:spacing w:val="4"/>
                <w:w w:val="103"/>
                <w:kern w:val="14"/>
                <w:lang w:val="en-GB"/>
              </w:rPr>
              <w:t>2</w:t>
            </w:r>
          </w:p>
          <w:p w14:paraId="4825D137" w14:textId="1D23E7B7" w:rsidR="00ED7FBC" w:rsidRPr="005E1CFA" w:rsidRDefault="006F6343" w:rsidP="00ED7FBC">
            <w:pPr>
              <w:tabs>
                <w:tab w:val="left" w:pos="1620"/>
              </w:tabs>
              <w:suppressAutoHyphens/>
              <w:spacing w:after="120" w:line="240" w:lineRule="exact"/>
              <w:jc w:val="right"/>
              <w:rPr>
                <w:spacing w:val="4"/>
                <w:w w:val="103"/>
                <w:kern w:val="14"/>
                <w:lang w:val="en-GB"/>
              </w:rPr>
            </w:pPr>
            <w:r w:rsidRPr="005E1CFA">
              <w:rPr>
                <w:spacing w:val="4"/>
                <w:w w:val="103"/>
                <w:kern w:val="14"/>
                <w:lang w:val="en-GB"/>
              </w:rPr>
              <w:t>4</w:t>
            </w:r>
          </w:p>
        </w:tc>
      </w:tr>
      <w:tr w:rsidR="00ED7FBC" w:rsidRPr="005E1CFA" w14:paraId="6D10087E" w14:textId="77777777" w:rsidTr="003046F5">
        <w:tc>
          <w:tcPr>
            <w:tcW w:w="8375" w:type="dxa"/>
            <w:gridSpan w:val="2"/>
            <w:shd w:val="clear" w:color="auto" w:fill="auto"/>
          </w:tcPr>
          <w:p w14:paraId="162BFC36" w14:textId="77777777" w:rsidR="00ED7FBC" w:rsidRPr="005E1CFA" w:rsidRDefault="00ED7FBC" w:rsidP="00ED7FBC">
            <w:pPr>
              <w:numPr>
                <w:ilvl w:val="0"/>
                <w:numId w:val="5"/>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5E1CFA">
              <w:rPr>
                <w:spacing w:val="4"/>
                <w:w w:val="103"/>
                <w:kern w:val="14"/>
                <w:lang w:val="en-GB"/>
              </w:rPr>
              <w:tab/>
              <w:t>Programme priorities and partnerships</w:t>
            </w:r>
            <w:r w:rsidRPr="005E1CFA">
              <w:rPr>
                <w:spacing w:val="60"/>
                <w:w w:val="103"/>
                <w:kern w:val="14"/>
                <w:sz w:val="17"/>
                <w:lang w:val="en-GB"/>
              </w:rPr>
              <w:tab/>
            </w:r>
          </w:p>
        </w:tc>
        <w:tc>
          <w:tcPr>
            <w:tcW w:w="1527" w:type="dxa"/>
            <w:gridSpan w:val="2"/>
            <w:vMerge/>
            <w:shd w:val="clear" w:color="auto" w:fill="auto"/>
            <w:vAlign w:val="bottom"/>
          </w:tcPr>
          <w:p w14:paraId="3077554C" w14:textId="77777777" w:rsidR="00ED7FBC" w:rsidRPr="005E1CFA" w:rsidRDefault="00ED7FBC" w:rsidP="00ED7FBC">
            <w:pPr>
              <w:tabs>
                <w:tab w:val="left" w:pos="1620"/>
              </w:tabs>
              <w:suppressAutoHyphens/>
              <w:spacing w:after="120" w:line="240" w:lineRule="exact"/>
              <w:jc w:val="right"/>
              <w:rPr>
                <w:spacing w:val="4"/>
                <w:w w:val="103"/>
                <w:kern w:val="14"/>
                <w:lang w:val="en-GB"/>
              </w:rPr>
            </w:pPr>
          </w:p>
        </w:tc>
      </w:tr>
      <w:tr w:rsidR="00ED7FBC" w:rsidRPr="005E1CFA" w14:paraId="4ECD5A5C" w14:textId="77777777" w:rsidTr="003046F5">
        <w:tc>
          <w:tcPr>
            <w:tcW w:w="8375" w:type="dxa"/>
            <w:gridSpan w:val="2"/>
            <w:shd w:val="clear" w:color="auto" w:fill="auto"/>
          </w:tcPr>
          <w:p w14:paraId="1B22B958" w14:textId="77777777" w:rsidR="00ED7FBC" w:rsidRPr="005E1CFA" w:rsidRDefault="00ED7FBC" w:rsidP="00ED7FBC">
            <w:pPr>
              <w:numPr>
                <w:ilvl w:val="0"/>
                <w:numId w:val="5"/>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5E1CFA">
              <w:rPr>
                <w:spacing w:val="4"/>
                <w:w w:val="103"/>
                <w:kern w:val="14"/>
                <w:lang w:val="en-GB"/>
              </w:rPr>
              <w:tab/>
              <w:t>Programme and risk management</w:t>
            </w:r>
            <w:r w:rsidRPr="005E1CFA">
              <w:rPr>
                <w:spacing w:val="60"/>
                <w:w w:val="103"/>
                <w:kern w:val="14"/>
                <w:sz w:val="17"/>
                <w:lang w:val="en-GB"/>
              </w:rPr>
              <w:tab/>
            </w:r>
          </w:p>
        </w:tc>
        <w:tc>
          <w:tcPr>
            <w:tcW w:w="1527" w:type="dxa"/>
            <w:gridSpan w:val="2"/>
            <w:vMerge w:val="restart"/>
            <w:shd w:val="clear" w:color="auto" w:fill="auto"/>
            <w:vAlign w:val="bottom"/>
          </w:tcPr>
          <w:p w14:paraId="1E2D2A48" w14:textId="2876520D" w:rsidR="00ED7FBC" w:rsidRPr="005E1CFA" w:rsidRDefault="006F6343" w:rsidP="00ED7FBC">
            <w:pPr>
              <w:tabs>
                <w:tab w:val="left" w:pos="1620"/>
              </w:tabs>
              <w:suppressAutoHyphens/>
              <w:spacing w:after="120" w:line="240" w:lineRule="exact"/>
              <w:jc w:val="right"/>
              <w:rPr>
                <w:spacing w:val="4"/>
                <w:w w:val="103"/>
                <w:kern w:val="14"/>
                <w:lang w:val="en-GB"/>
              </w:rPr>
            </w:pPr>
            <w:r w:rsidRPr="005E1CFA">
              <w:rPr>
                <w:spacing w:val="4"/>
                <w:w w:val="103"/>
                <w:kern w:val="14"/>
                <w:lang w:val="en-GB"/>
              </w:rPr>
              <w:t>6</w:t>
            </w:r>
          </w:p>
          <w:p w14:paraId="45BBC04E" w14:textId="6A1EFED3" w:rsidR="00ED7FBC" w:rsidRPr="005E1CFA" w:rsidRDefault="006F6343" w:rsidP="00ED7FBC">
            <w:pPr>
              <w:tabs>
                <w:tab w:val="left" w:pos="1620"/>
              </w:tabs>
              <w:suppressAutoHyphens/>
              <w:spacing w:after="120" w:line="240" w:lineRule="exact"/>
              <w:jc w:val="right"/>
              <w:rPr>
                <w:spacing w:val="4"/>
                <w:w w:val="103"/>
                <w:kern w:val="14"/>
                <w:lang w:val="en-GB"/>
              </w:rPr>
            </w:pPr>
            <w:r w:rsidRPr="005E1CFA">
              <w:rPr>
                <w:spacing w:val="4"/>
                <w:w w:val="103"/>
                <w:kern w:val="14"/>
                <w:lang w:val="en-GB"/>
              </w:rPr>
              <w:t>8</w:t>
            </w:r>
          </w:p>
        </w:tc>
      </w:tr>
      <w:tr w:rsidR="00ED7FBC" w:rsidRPr="005E1CFA" w14:paraId="499D8247" w14:textId="77777777" w:rsidTr="003046F5">
        <w:tc>
          <w:tcPr>
            <w:tcW w:w="8375" w:type="dxa"/>
            <w:gridSpan w:val="2"/>
            <w:shd w:val="clear" w:color="auto" w:fill="auto"/>
          </w:tcPr>
          <w:p w14:paraId="37105616" w14:textId="77777777" w:rsidR="00ED7FBC" w:rsidRPr="005E1CFA" w:rsidRDefault="00ED7FBC" w:rsidP="00ED7FBC">
            <w:pPr>
              <w:numPr>
                <w:ilvl w:val="0"/>
                <w:numId w:val="5"/>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5E1CFA">
              <w:rPr>
                <w:spacing w:val="4"/>
                <w:w w:val="103"/>
                <w:kern w:val="14"/>
                <w:lang w:val="en-GB"/>
              </w:rPr>
              <w:tab/>
              <w:t>Monitoring and evaluation</w:t>
            </w:r>
            <w:r w:rsidRPr="005E1CFA">
              <w:rPr>
                <w:spacing w:val="60"/>
                <w:w w:val="103"/>
                <w:kern w:val="14"/>
                <w:sz w:val="17"/>
                <w:lang w:val="en-GB"/>
              </w:rPr>
              <w:tab/>
            </w:r>
          </w:p>
        </w:tc>
        <w:tc>
          <w:tcPr>
            <w:tcW w:w="1527" w:type="dxa"/>
            <w:gridSpan w:val="2"/>
            <w:vMerge/>
            <w:shd w:val="clear" w:color="auto" w:fill="auto"/>
            <w:vAlign w:val="bottom"/>
          </w:tcPr>
          <w:p w14:paraId="08C35B98" w14:textId="77777777" w:rsidR="00ED7FBC" w:rsidRPr="005E1CFA" w:rsidRDefault="00ED7FBC" w:rsidP="00ED7FBC">
            <w:pPr>
              <w:tabs>
                <w:tab w:val="left" w:pos="1620"/>
              </w:tabs>
              <w:suppressAutoHyphens/>
              <w:spacing w:after="120" w:line="240" w:lineRule="exact"/>
              <w:jc w:val="right"/>
              <w:rPr>
                <w:spacing w:val="4"/>
                <w:w w:val="103"/>
                <w:kern w:val="14"/>
                <w:lang w:val="en-GB"/>
              </w:rPr>
            </w:pPr>
          </w:p>
        </w:tc>
      </w:tr>
      <w:tr w:rsidR="00ED7FBC" w:rsidRPr="005E1CFA" w14:paraId="6906F800" w14:textId="77777777" w:rsidTr="003046F5">
        <w:tc>
          <w:tcPr>
            <w:tcW w:w="9369" w:type="dxa"/>
            <w:gridSpan w:val="3"/>
            <w:shd w:val="clear" w:color="auto" w:fill="auto"/>
          </w:tcPr>
          <w:p w14:paraId="3A9BB024" w14:textId="77777777" w:rsidR="00ED7FBC" w:rsidRPr="005E1CFA" w:rsidRDefault="00ED7FBC" w:rsidP="00ED7FBC">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5E1CFA">
              <w:rPr>
                <w:spacing w:val="4"/>
                <w:w w:val="103"/>
                <w:kern w:val="14"/>
                <w:lang w:val="en-GB"/>
              </w:rPr>
              <w:t xml:space="preserve">     Annex</w:t>
            </w:r>
          </w:p>
        </w:tc>
        <w:tc>
          <w:tcPr>
            <w:tcW w:w="533" w:type="dxa"/>
            <w:shd w:val="clear" w:color="auto" w:fill="auto"/>
            <w:vAlign w:val="bottom"/>
          </w:tcPr>
          <w:p w14:paraId="01C12076" w14:textId="77777777" w:rsidR="00ED7FBC" w:rsidRPr="005E1CFA" w:rsidRDefault="00ED7FBC" w:rsidP="00ED7FBC">
            <w:pPr>
              <w:tabs>
                <w:tab w:val="left" w:pos="1620"/>
              </w:tabs>
              <w:suppressAutoHyphens/>
              <w:spacing w:after="120" w:line="240" w:lineRule="exact"/>
              <w:jc w:val="right"/>
              <w:rPr>
                <w:spacing w:val="4"/>
                <w:w w:val="103"/>
                <w:kern w:val="14"/>
                <w:lang w:val="en-GB"/>
              </w:rPr>
            </w:pPr>
          </w:p>
        </w:tc>
      </w:tr>
      <w:tr w:rsidR="00ED7FBC" w:rsidRPr="005E1CFA" w14:paraId="27FC43A3" w14:textId="77777777" w:rsidTr="003046F5">
        <w:tc>
          <w:tcPr>
            <w:tcW w:w="9369" w:type="dxa"/>
            <w:gridSpan w:val="3"/>
            <w:shd w:val="clear" w:color="auto" w:fill="auto"/>
          </w:tcPr>
          <w:p w14:paraId="4222DFAF" w14:textId="77777777" w:rsidR="006F6343" w:rsidRPr="005E1CFA" w:rsidRDefault="00ED7FBC" w:rsidP="006F6343">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ind w:left="1296"/>
              <w:rPr>
                <w:spacing w:val="4"/>
                <w:w w:val="103"/>
                <w:kern w:val="14"/>
                <w:lang w:val="en-GB"/>
              </w:rPr>
            </w:pPr>
            <w:r w:rsidRPr="005E1CFA">
              <w:rPr>
                <w:spacing w:val="4"/>
                <w:w w:val="103"/>
                <w:kern w:val="14"/>
                <w:lang w:val="en-GB"/>
              </w:rPr>
              <w:t xml:space="preserve">Results and resources framework for </w:t>
            </w:r>
            <w:r w:rsidR="003D15A8" w:rsidRPr="005E1CFA">
              <w:rPr>
                <w:spacing w:val="4"/>
                <w:w w:val="103"/>
                <w:kern w:val="14"/>
                <w:lang w:val="en-GB"/>
              </w:rPr>
              <w:t>the Republic of South Sudan</w:t>
            </w:r>
            <w:r w:rsidRPr="005E1CFA">
              <w:rPr>
                <w:spacing w:val="4"/>
                <w:w w:val="103"/>
                <w:kern w:val="14"/>
                <w:lang w:val="en-GB"/>
              </w:rPr>
              <w:t xml:space="preserve"> </w:t>
            </w:r>
          </w:p>
          <w:p w14:paraId="4B650D7D" w14:textId="56193CAB" w:rsidR="00ED7FBC" w:rsidRPr="005E1CFA" w:rsidRDefault="00ED7FBC" w:rsidP="003D15A8">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5E1CFA">
              <w:rPr>
                <w:spacing w:val="4"/>
                <w:w w:val="103"/>
                <w:kern w:val="14"/>
                <w:lang w:val="en-GB"/>
              </w:rPr>
              <w:t>(</w:t>
            </w:r>
            <w:r w:rsidR="003D15A8" w:rsidRPr="005E1CFA">
              <w:rPr>
                <w:spacing w:val="4"/>
                <w:w w:val="103"/>
                <w:kern w:val="14"/>
                <w:lang w:val="en-GB"/>
              </w:rPr>
              <w:t xml:space="preserve">July </w:t>
            </w:r>
            <w:r w:rsidRPr="005E1CFA">
              <w:rPr>
                <w:spacing w:val="4"/>
                <w:w w:val="103"/>
                <w:kern w:val="14"/>
                <w:lang w:val="en-GB"/>
              </w:rPr>
              <w:t>2016-</w:t>
            </w:r>
            <w:r w:rsidR="003D15A8" w:rsidRPr="005E1CFA">
              <w:rPr>
                <w:spacing w:val="4"/>
                <w:w w:val="103"/>
                <w:kern w:val="14"/>
                <w:lang w:val="en-GB"/>
              </w:rPr>
              <w:t xml:space="preserve">December </w:t>
            </w:r>
            <w:r w:rsidRPr="005E1CFA">
              <w:rPr>
                <w:spacing w:val="4"/>
                <w:w w:val="103"/>
                <w:kern w:val="14"/>
                <w:lang w:val="en-GB"/>
              </w:rPr>
              <w:t>20</w:t>
            </w:r>
            <w:r w:rsidR="003D15A8" w:rsidRPr="005E1CFA">
              <w:rPr>
                <w:spacing w:val="4"/>
                <w:w w:val="103"/>
                <w:kern w:val="14"/>
                <w:lang w:val="en-GB"/>
              </w:rPr>
              <w:t>17</w:t>
            </w:r>
            <w:r w:rsidRPr="005E1CFA">
              <w:rPr>
                <w:spacing w:val="4"/>
                <w:w w:val="103"/>
                <w:kern w:val="14"/>
                <w:lang w:val="en-GB"/>
              </w:rPr>
              <w:t>)</w:t>
            </w:r>
          </w:p>
        </w:tc>
        <w:tc>
          <w:tcPr>
            <w:tcW w:w="533" w:type="dxa"/>
            <w:shd w:val="clear" w:color="auto" w:fill="auto"/>
            <w:vAlign w:val="bottom"/>
          </w:tcPr>
          <w:p w14:paraId="7EC35E0E" w14:textId="77777777" w:rsidR="00ED7FBC" w:rsidRPr="005E1CFA" w:rsidRDefault="00ED7FBC" w:rsidP="00ED7FBC">
            <w:pPr>
              <w:tabs>
                <w:tab w:val="left" w:pos="1620"/>
              </w:tabs>
              <w:suppressAutoHyphens/>
              <w:spacing w:after="120" w:line="240" w:lineRule="exact"/>
              <w:jc w:val="right"/>
              <w:rPr>
                <w:spacing w:val="4"/>
                <w:w w:val="103"/>
                <w:kern w:val="14"/>
                <w:lang w:val="en-GB"/>
              </w:rPr>
            </w:pPr>
            <w:r w:rsidRPr="005E1CFA">
              <w:rPr>
                <w:spacing w:val="4"/>
                <w:w w:val="103"/>
                <w:kern w:val="14"/>
                <w:lang w:val="en-GB"/>
              </w:rPr>
              <w:t>9</w:t>
            </w:r>
          </w:p>
        </w:tc>
      </w:tr>
    </w:tbl>
    <w:p w14:paraId="68F4FBF0" w14:textId="77777777" w:rsidR="00F62913" w:rsidRPr="005E1CFA" w:rsidRDefault="00F62913" w:rsidP="00F62913">
      <w:pPr>
        <w:jc w:val="both"/>
        <w:rPr>
          <w:sz w:val="22"/>
          <w:szCs w:val="22"/>
          <w:lang w:val="en-GB"/>
        </w:rPr>
        <w:sectPr w:rsidR="00F62913" w:rsidRPr="005E1CFA" w:rsidSect="004436E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1972129D" w14:textId="0DF1A55B" w:rsidR="00F62913" w:rsidRPr="005E1CFA" w:rsidRDefault="00F62913" w:rsidP="00D71C01">
      <w:pPr>
        <w:pStyle w:val="Heading2"/>
        <w:tabs>
          <w:tab w:val="left" w:pos="360"/>
        </w:tabs>
        <w:spacing w:after="120"/>
        <w:ind w:right="1267"/>
        <w:jc w:val="both"/>
        <w:rPr>
          <w:rFonts w:ascii="Times New Roman" w:hAnsi="Times New Roman"/>
          <w:bCs/>
          <w:szCs w:val="28"/>
          <w:lang w:val="en-GB"/>
        </w:rPr>
      </w:pPr>
      <w:r w:rsidRPr="005E1CFA">
        <w:rPr>
          <w:rFonts w:ascii="Times New Roman" w:hAnsi="Times New Roman"/>
          <w:bCs/>
          <w:szCs w:val="28"/>
          <w:lang w:val="en-GB"/>
        </w:rPr>
        <w:lastRenderedPageBreak/>
        <w:t xml:space="preserve">I. </w:t>
      </w:r>
      <w:r w:rsidR="00D71C01" w:rsidRPr="005E1CFA">
        <w:rPr>
          <w:rFonts w:ascii="Times New Roman" w:hAnsi="Times New Roman"/>
          <w:bCs/>
          <w:szCs w:val="28"/>
          <w:lang w:val="en-GB"/>
        </w:rPr>
        <w:tab/>
      </w:r>
      <w:r w:rsidRPr="005E1CFA">
        <w:rPr>
          <w:rFonts w:ascii="Times New Roman" w:hAnsi="Times New Roman"/>
          <w:bCs/>
          <w:szCs w:val="28"/>
          <w:lang w:val="en-GB"/>
        </w:rPr>
        <w:t xml:space="preserve">Programme </w:t>
      </w:r>
      <w:r w:rsidR="005003E4" w:rsidRPr="005E1CFA">
        <w:rPr>
          <w:rFonts w:ascii="Times New Roman" w:hAnsi="Times New Roman"/>
          <w:bCs/>
          <w:szCs w:val="28"/>
          <w:lang w:val="en-GB"/>
        </w:rPr>
        <w:t>r</w:t>
      </w:r>
      <w:r w:rsidRPr="005E1CFA">
        <w:rPr>
          <w:rFonts w:ascii="Times New Roman" w:hAnsi="Times New Roman"/>
          <w:bCs/>
          <w:szCs w:val="28"/>
          <w:lang w:val="en-GB"/>
        </w:rPr>
        <w:t xml:space="preserve">ationale </w:t>
      </w:r>
    </w:p>
    <w:p w14:paraId="4840BE24" w14:textId="779F6E5E" w:rsidR="00F62913" w:rsidRPr="005E1CFA" w:rsidRDefault="00F62913" w:rsidP="005003E4">
      <w:pPr>
        <w:pStyle w:val="ListParagraph"/>
        <w:numPr>
          <w:ilvl w:val="0"/>
          <w:numId w:val="3"/>
        </w:numPr>
        <w:tabs>
          <w:tab w:val="left" w:pos="360"/>
        </w:tabs>
        <w:spacing w:after="120"/>
        <w:ind w:left="360" w:right="1210" w:firstLine="0"/>
        <w:jc w:val="both"/>
        <w:rPr>
          <w:lang w:val="en-GB"/>
        </w:rPr>
      </w:pPr>
      <w:r w:rsidRPr="005E1CFA">
        <w:rPr>
          <w:lang w:val="en-GB"/>
        </w:rPr>
        <w:t xml:space="preserve">On </w:t>
      </w:r>
      <w:r w:rsidRPr="005E1CFA">
        <w:rPr>
          <w:rFonts w:eastAsia="Batang"/>
          <w:lang w:val="en-GB"/>
        </w:rPr>
        <w:t>15</w:t>
      </w:r>
      <w:r w:rsidRPr="005E1CFA">
        <w:rPr>
          <w:lang w:val="en-GB"/>
        </w:rPr>
        <w:t xml:space="preserve"> December 2013, a violent conflict erupted over access to power and resources</w:t>
      </w:r>
      <w:r w:rsidR="00540165" w:rsidRPr="005E1CFA">
        <w:rPr>
          <w:lang w:val="en-GB"/>
        </w:rPr>
        <w:t>,</w:t>
      </w:r>
      <w:r w:rsidRPr="005E1CFA">
        <w:rPr>
          <w:lang w:val="en-GB"/>
        </w:rPr>
        <w:t xml:space="preserve"> plunging the country into a deep political, socio-economic, and humanitarian crisis. It resulted in devastating losses of human lives and livelihoods, and ravaged the delivery of basic services and the social fabric in a country with an already fragile social cohesion. </w:t>
      </w:r>
    </w:p>
    <w:p w14:paraId="76CB5240" w14:textId="17DCC05A" w:rsidR="00F62913" w:rsidRPr="005E1CFA" w:rsidRDefault="00F62913" w:rsidP="005003E4">
      <w:pPr>
        <w:pStyle w:val="ListParagraph"/>
        <w:numPr>
          <w:ilvl w:val="0"/>
          <w:numId w:val="3"/>
        </w:numPr>
        <w:tabs>
          <w:tab w:val="left" w:pos="360"/>
        </w:tabs>
        <w:spacing w:after="120"/>
        <w:ind w:left="360" w:right="1210" w:firstLine="0"/>
        <w:jc w:val="both"/>
        <w:rPr>
          <w:rFonts w:eastAsia="Batang"/>
          <w:lang w:val="en-GB"/>
        </w:rPr>
      </w:pPr>
      <w:r w:rsidRPr="005E1CFA">
        <w:rPr>
          <w:lang w:val="en-GB"/>
        </w:rPr>
        <w:t xml:space="preserve">A peace agreement </w:t>
      </w:r>
      <w:r w:rsidR="00540165" w:rsidRPr="005E1CFA">
        <w:rPr>
          <w:rFonts w:eastAsia="Batang"/>
          <w:lang w:val="en-GB"/>
        </w:rPr>
        <w:t xml:space="preserve">mediated by the Intergovernmental Authority for Development (IGAD) </w:t>
      </w:r>
      <w:r w:rsidRPr="005E1CFA">
        <w:rPr>
          <w:lang w:val="en-GB"/>
        </w:rPr>
        <w:t>was signed in August 2015</w:t>
      </w:r>
      <w:r w:rsidRPr="005E1CFA">
        <w:rPr>
          <w:rFonts w:eastAsia="Batang"/>
          <w:lang w:val="en-GB"/>
        </w:rPr>
        <w:t>. It provide</w:t>
      </w:r>
      <w:r w:rsidR="00540165" w:rsidRPr="005E1CFA">
        <w:rPr>
          <w:rFonts w:eastAsia="Batang"/>
          <w:lang w:val="en-GB"/>
        </w:rPr>
        <w:t>d</w:t>
      </w:r>
      <w:r w:rsidRPr="005E1CFA">
        <w:rPr>
          <w:rFonts w:eastAsia="Batang"/>
          <w:lang w:val="en-GB"/>
        </w:rPr>
        <w:t xml:space="preserve"> a framework for the parties to end hostilities and, </w:t>
      </w:r>
      <w:r w:rsidR="00540165" w:rsidRPr="005E1CFA">
        <w:rPr>
          <w:rFonts w:eastAsia="Batang"/>
          <w:lang w:val="en-GB"/>
        </w:rPr>
        <w:t xml:space="preserve">during </w:t>
      </w:r>
      <w:r w:rsidRPr="005E1CFA">
        <w:rPr>
          <w:rFonts w:eastAsia="Batang"/>
          <w:lang w:val="en-GB"/>
        </w:rPr>
        <w:t xml:space="preserve">a 30-month transitional phase, begin key governance reforms designed to put South Sudan back on a path to sustainable peace and recovery. The Transitional Government of National Unity </w:t>
      </w:r>
      <w:r w:rsidR="003046F5" w:rsidRPr="005E1CFA">
        <w:rPr>
          <w:rFonts w:eastAsia="Batang"/>
          <w:lang w:val="en-GB"/>
        </w:rPr>
        <w:t>wa</w:t>
      </w:r>
      <w:r w:rsidRPr="005E1CFA">
        <w:rPr>
          <w:rFonts w:eastAsia="Batang"/>
          <w:lang w:val="en-GB"/>
        </w:rPr>
        <w:t>s tasked with initiating and overseeing a permanent constitution-making process leading to national elections; ensuring justice and accountability for crimes committed during the conflict; implementing institutional reforms related to economic and financial management and devolution of executive powers; facilitating reconstruction</w:t>
      </w:r>
      <w:r w:rsidR="003046F5" w:rsidRPr="005E1CFA">
        <w:rPr>
          <w:rFonts w:eastAsia="Batang"/>
          <w:lang w:val="en-GB"/>
        </w:rPr>
        <w:t>;</w:t>
      </w:r>
      <w:r w:rsidRPr="005E1CFA">
        <w:rPr>
          <w:rFonts w:eastAsia="Batang"/>
          <w:lang w:val="en-GB"/>
        </w:rPr>
        <w:t xml:space="preserve"> and </w:t>
      </w:r>
      <w:r w:rsidR="00F208FA" w:rsidRPr="005E1CFA">
        <w:rPr>
          <w:rFonts w:eastAsia="Batang"/>
          <w:lang w:val="en-GB"/>
        </w:rPr>
        <w:t xml:space="preserve">creating an enabling environment for </w:t>
      </w:r>
      <w:r w:rsidRPr="005E1CFA">
        <w:rPr>
          <w:rFonts w:eastAsia="Batang"/>
          <w:lang w:val="en-GB"/>
        </w:rPr>
        <w:t>the provision of humanitarian assistance (</w:t>
      </w:r>
      <w:r w:rsidR="003046F5" w:rsidRPr="005E1CFA">
        <w:rPr>
          <w:rFonts w:eastAsia="Batang"/>
          <w:lang w:val="en-GB"/>
        </w:rPr>
        <w:t>a</w:t>
      </w:r>
      <w:r w:rsidRPr="005E1CFA">
        <w:rPr>
          <w:rFonts w:eastAsia="Batang"/>
          <w:lang w:val="en-GB"/>
        </w:rPr>
        <w:t xml:space="preserve">greement on the resolution of conflict in South Sudan, 2015). </w:t>
      </w:r>
    </w:p>
    <w:p w14:paraId="711F6605" w14:textId="1BA514E5" w:rsidR="009067F5" w:rsidRPr="005E1CFA" w:rsidRDefault="009067F5" w:rsidP="005003E4">
      <w:pPr>
        <w:pStyle w:val="ListParagraph"/>
        <w:numPr>
          <w:ilvl w:val="0"/>
          <w:numId w:val="3"/>
        </w:numPr>
        <w:spacing w:after="120"/>
        <w:ind w:left="360" w:right="1210" w:firstLine="0"/>
        <w:jc w:val="both"/>
        <w:rPr>
          <w:lang w:val="en-GB"/>
        </w:rPr>
      </w:pPr>
      <w:r w:rsidRPr="005E1CFA">
        <w:rPr>
          <w:rFonts w:eastAsia="Batang"/>
          <w:lang w:val="en-GB"/>
        </w:rPr>
        <w:t>The crisis exerted a severe toll on an already impoverished nation, increasing the vulnerability and insecurity of people and communities, and manifesting in se</w:t>
      </w:r>
      <w:r w:rsidR="00ED0905">
        <w:rPr>
          <w:rFonts w:eastAsia="Batang"/>
          <w:lang w:val="en-GB"/>
        </w:rPr>
        <w:t>veral critical ways. The first wa</w:t>
      </w:r>
      <w:r w:rsidRPr="005E1CFA">
        <w:rPr>
          <w:rFonts w:eastAsia="Batang"/>
          <w:lang w:val="en-GB"/>
        </w:rPr>
        <w:t>s large-scale loss of li</w:t>
      </w:r>
      <w:r w:rsidR="003046F5" w:rsidRPr="005E1CFA">
        <w:rPr>
          <w:rFonts w:eastAsia="Batang"/>
          <w:lang w:val="en-GB"/>
        </w:rPr>
        <w:t>fe and</w:t>
      </w:r>
      <w:r w:rsidRPr="005E1CFA">
        <w:rPr>
          <w:rFonts w:eastAsia="Batang"/>
          <w:lang w:val="en-GB"/>
        </w:rPr>
        <w:t xml:space="preserve"> livelihoods</w:t>
      </w:r>
      <w:r w:rsidR="003046F5" w:rsidRPr="005E1CFA">
        <w:rPr>
          <w:rFonts w:eastAsia="Batang"/>
          <w:lang w:val="en-GB"/>
        </w:rPr>
        <w:t>,</w:t>
      </w:r>
      <w:r w:rsidRPr="005E1CFA">
        <w:rPr>
          <w:rFonts w:eastAsia="Batang"/>
          <w:lang w:val="en-GB"/>
        </w:rPr>
        <w:t xml:space="preserve"> and displacement. </w:t>
      </w:r>
      <w:r w:rsidRPr="005E1CFA">
        <w:rPr>
          <w:lang w:val="en-GB"/>
        </w:rPr>
        <w:t>More than 1.6</w:t>
      </w:r>
      <w:r w:rsidR="00F33CFA" w:rsidRPr="005E1CFA">
        <w:rPr>
          <w:lang w:val="en-GB"/>
        </w:rPr>
        <w:t>6</w:t>
      </w:r>
      <w:r w:rsidRPr="005E1CFA">
        <w:rPr>
          <w:lang w:val="en-GB"/>
        </w:rPr>
        <w:t xml:space="preserve"> million </w:t>
      </w:r>
      <w:r w:rsidR="003046F5" w:rsidRPr="005E1CFA">
        <w:rPr>
          <w:lang w:val="en-GB"/>
        </w:rPr>
        <w:t xml:space="preserve">people </w:t>
      </w:r>
      <w:r w:rsidRPr="005E1CFA">
        <w:rPr>
          <w:lang w:val="en-GB"/>
        </w:rPr>
        <w:t xml:space="preserve">are internally displaced, including over </w:t>
      </w:r>
      <w:r w:rsidR="00F33CFA" w:rsidRPr="005E1CFA">
        <w:rPr>
          <w:lang w:val="en-GB"/>
        </w:rPr>
        <w:t>185</w:t>
      </w:r>
      <w:r w:rsidRPr="005E1CFA">
        <w:rPr>
          <w:lang w:val="en-GB"/>
        </w:rPr>
        <w:t>,000 who sought refuge in Protection of Civilians sites inside U</w:t>
      </w:r>
      <w:r w:rsidR="003046F5" w:rsidRPr="005E1CFA">
        <w:rPr>
          <w:lang w:val="en-GB"/>
        </w:rPr>
        <w:t>nited Nations</w:t>
      </w:r>
      <w:r w:rsidRPr="005E1CFA">
        <w:rPr>
          <w:lang w:val="en-GB"/>
        </w:rPr>
        <w:t xml:space="preserve"> bases; and </w:t>
      </w:r>
      <w:r w:rsidR="00F33CFA" w:rsidRPr="005E1CFA">
        <w:rPr>
          <w:lang w:val="en-GB"/>
        </w:rPr>
        <w:t>645</w:t>
      </w:r>
      <w:r w:rsidRPr="005E1CFA">
        <w:rPr>
          <w:lang w:val="en-GB"/>
        </w:rPr>
        <w:t xml:space="preserve">,000 people fled to neighbouring countries (South Sudan </w:t>
      </w:r>
      <w:r w:rsidR="003046F5" w:rsidRPr="005E1CFA">
        <w:rPr>
          <w:lang w:val="en-GB"/>
        </w:rPr>
        <w:t>c</w:t>
      </w:r>
      <w:r w:rsidRPr="005E1CFA">
        <w:rPr>
          <w:lang w:val="en-GB"/>
        </w:rPr>
        <w:t xml:space="preserve">risis </w:t>
      </w:r>
      <w:r w:rsidR="003046F5" w:rsidRPr="005E1CFA">
        <w:rPr>
          <w:lang w:val="en-GB"/>
        </w:rPr>
        <w:t>r</w:t>
      </w:r>
      <w:r w:rsidRPr="005E1CFA">
        <w:rPr>
          <w:lang w:val="en-GB"/>
        </w:rPr>
        <w:t xml:space="preserve">esponse </w:t>
      </w:r>
      <w:r w:rsidR="003046F5" w:rsidRPr="005E1CFA">
        <w:rPr>
          <w:lang w:val="en-GB"/>
        </w:rPr>
        <w:t>p</w:t>
      </w:r>
      <w:r w:rsidRPr="005E1CFA">
        <w:rPr>
          <w:lang w:val="en-GB"/>
        </w:rPr>
        <w:t xml:space="preserve">lan, </w:t>
      </w:r>
      <w:r w:rsidR="007F7153" w:rsidRPr="005E1CFA">
        <w:rPr>
          <w:lang w:val="en-GB"/>
        </w:rPr>
        <w:t xml:space="preserve">Office for the Coordination of Humanitarian Affairs – </w:t>
      </w:r>
      <w:r w:rsidR="003046F5" w:rsidRPr="005E1CFA">
        <w:rPr>
          <w:lang w:val="en-GB"/>
        </w:rPr>
        <w:t xml:space="preserve">OCHA, </w:t>
      </w:r>
      <w:r w:rsidR="00F33CFA" w:rsidRPr="005E1CFA">
        <w:rPr>
          <w:lang w:val="en-GB"/>
        </w:rPr>
        <w:t>2016</w:t>
      </w:r>
      <w:r w:rsidRPr="005E1CFA">
        <w:rPr>
          <w:lang w:val="en-GB"/>
        </w:rPr>
        <w:t>)</w:t>
      </w:r>
      <w:r w:rsidR="003046F5" w:rsidRPr="005E1CFA">
        <w:rPr>
          <w:lang w:val="en-GB"/>
        </w:rPr>
        <w:t xml:space="preserve">. </w:t>
      </w:r>
      <w:r w:rsidR="00ED0905">
        <w:rPr>
          <w:lang w:val="en-GB"/>
        </w:rPr>
        <w:t>The second wa</w:t>
      </w:r>
      <w:r w:rsidRPr="005E1CFA">
        <w:rPr>
          <w:lang w:val="en-GB"/>
        </w:rPr>
        <w:t xml:space="preserve">s </w:t>
      </w:r>
      <w:r w:rsidRPr="005E1CFA">
        <w:rPr>
          <w:rFonts w:eastAsia="Batang"/>
          <w:lang w:val="en-GB"/>
        </w:rPr>
        <w:t xml:space="preserve">the pervasive physical insecurity in conflict-affected states and the impact of </w:t>
      </w:r>
      <w:r w:rsidR="00690AC1" w:rsidRPr="005E1CFA">
        <w:rPr>
          <w:rFonts w:eastAsia="Batang"/>
          <w:lang w:val="en-GB"/>
        </w:rPr>
        <w:t xml:space="preserve">internally displaced persons </w:t>
      </w:r>
      <w:r w:rsidRPr="005E1CFA">
        <w:rPr>
          <w:rFonts w:eastAsia="Batang"/>
          <w:lang w:val="en-GB"/>
        </w:rPr>
        <w:t xml:space="preserve">in neighbouring states and the capital. </w:t>
      </w:r>
      <w:r w:rsidRPr="005E1CFA">
        <w:rPr>
          <w:lang w:val="en-GB"/>
        </w:rPr>
        <w:t xml:space="preserve">Uncontrolled proliferation of arms during the recent conflict led to </w:t>
      </w:r>
      <w:r w:rsidR="00690AC1" w:rsidRPr="005E1CFA">
        <w:rPr>
          <w:lang w:val="en-GB"/>
        </w:rPr>
        <w:t xml:space="preserve">the </w:t>
      </w:r>
      <w:r w:rsidR="007F7153" w:rsidRPr="005E1CFA">
        <w:rPr>
          <w:lang w:val="en-GB"/>
        </w:rPr>
        <w:t>re</w:t>
      </w:r>
      <w:r w:rsidRPr="005E1CFA">
        <w:rPr>
          <w:lang w:val="en-GB"/>
        </w:rPr>
        <w:t xml:space="preserve">armament of many communities, undermining </w:t>
      </w:r>
      <w:r w:rsidR="005E1CFA" w:rsidRPr="005E1CFA">
        <w:rPr>
          <w:lang w:val="en-GB"/>
        </w:rPr>
        <w:t>traditional</w:t>
      </w:r>
      <w:r w:rsidRPr="005E1CFA">
        <w:rPr>
          <w:lang w:val="en-GB"/>
        </w:rPr>
        <w:t xml:space="preserve"> systems of governance that had maintained a level of peace and security. The conflict also affected the traditional gender roles, with women assuming the role of head</w:t>
      </w:r>
      <w:r w:rsidR="00690AC1" w:rsidRPr="005E1CFA">
        <w:rPr>
          <w:lang w:val="en-GB"/>
        </w:rPr>
        <w:t>-</w:t>
      </w:r>
      <w:r w:rsidRPr="005E1CFA">
        <w:rPr>
          <w:lang w:val="en-GB"/>
        </w:rPr>
        <w:t>of</w:t>
      </w:r>
      <w:r w:rsidR="00690AC1" w:rsidRPr="005E1CFA">
        <w:rPr>
          <w:lang w:val="en-GB"/>
        </w:rPr>
        <w:t>-</w:t>
      </w:r>
      <w:r w:rsidRPr="005E1CFA">
        <w:rPr>
          <w:lang w:val="en-GB"/>
        </w:rPr>
        <w:t xml:space="preserve">household in a society </w:t>
      </w:r>
      <w:r w:rsidR="00690AC1" w:rsidRPr="005E1CFA">
        <w:rPr>
          <w:lang w:val="en-GB"/>
        </w:rPr>
        <w:t>where</w:t>
      </w:r>
      <w:r w:rsidRPr="005E1CFA">
        <w:rPr>
          <w:lang w:val="en-GB"/>
        </w:rPr>
        <w:t xml:space="preserve"> women have less opportunity to generate income.</w:t>
      </w:r>
      <w:r w:rsidRPr="005E1CFA">
        <w:rPr>
          <w:rStyle w:val="FootnoteReference"/>
          <w:lang w:val="en-GB"/>
        </w:rPr>
        <w:footnoteReference w:id="1"/>
      </w:r>
      <w:r w:rsidRPr="005E1CFA">
        <w:rPr>
          <w:lang w:val="en-GB"/>
        </w:rPr>
        <w:t xml:space="preserve"> Women </w:t>
      </w:r>
      <w:r w:rsidR="00690AC1" w:rsidRPr="005E1CFA">
        <w:rPr>
          <w:lang w:val="en-GB"/>
        </w:rPr>
        <w:t>we</w:t>
      </w:r>
      <w:r w:rsidRPr="005E1CFA">
        <w:rPr>
          <w:lang w:val="en-GB"/>
        </w:rPr>
        <w:t xml:space="preserve">re often forced to flee their villages and care for their children </w:t>
      </w:r>
      <w:r w:rsidR="00690AC1" w:rsidRPr="005E1CFA">
        <w:rPr>
          <w:lang w:val="en-GB"/>
        </w:rPr>
        <w:t xml:space="preserve">as </w:t>
      </w:r>
      <w:r w:rsidRPr="005E1CFA">
        <w:rPr>
          <w:lang w:val="en-GB"/>
        </w:rPr>
        <w:t xml:space="preserve">the males in their families </w:t>
      </w:r>
      <w:r w:rsidR="00690AC1" w:rsidRPr="005E1CFA">
        <w:rPr>
          <w:lang w:val="en-GB"/>
        </w:rPr>
        <w:t xml:space="preserve">were </w:t>
      </w:r>
      <w:r w:rsidRPr="005E1CFA">
        <w:rPr>
          <w:lang w:val="en-GB"/>
        </w:rPr>
        <w:t xml:space="preserve">killed or recruited. </w:t>
      </w:r>
      <w:r w:rsidRPr="005E1CFA">
        <w:rPr>
          <w:rFonts w:eastAsia="Batang"/>
          <w:lang w:val="en-GB"/>
        </w:rPr>
        <w:t>The conflict triggered psychological trauma, and continued violence affected large parts of the population, particularly women and children.</w:t>
      </w:r>
      <w:r w:rsidRPr="005E1CFA">
        <w:rPr>
          <w:lang w:val="en-GB"/>
        </w:rPr>
        <w:t xml:space="preserve"> Wome</w:t>
      </w:r>
      <w:r w:rsidR="00FC41AC" w:rsidRPr="005E1CFA">
        <w:rPr>
          <w:lang w:val="en-GB"/>
        </w:rPr>
        <w:t>n and girls who experience</w:t>
      </w:r>
      <w:r w:rsidR="00690AC1" w:rsidRPr="005E1CFA">
        <w:rPr>
          <w:lang w:val="en-GB"/>
        </w:rPr>
        <w:t>d</w:t>
      </w:r>
      <w:r w:rsidRPr="005E1CFA">
        <w:rPr>
          <w:lang w:val="en-GB"/>
        </w:rPr>
        <w:t xml:space="preserve"> </w:t>
      </w:r>
      <w:r w:rsidR="00690AC1" w:rsidRPr="005E1CFA">
        <w:rPr>
          <w:lang w:val="en-GB"/>
        </w:rPr>
        <w:t>sexual and gender-based violence we</w:t>
      </w:r>
      <w:r w:rsidR="00FC41AC" w:rsidRPr="005E1CFA">
        <w:rPr>
          <w:lang w:val="en-GB"/>
        </w:rPr>
        <w:t>re</w:t>
      </w:r>
      <w:r w:rsidRPr="005E1CFA">
        <w:rPr>
          <w:lang w:val="en-GB"/>
        </w:rPr>
        <w:t xml:space="preserve"> further disadvantaged if they tr</w:t>
      </w:r>
      <w:r w:rsidR="00690AC1" w:rsidRPr="005E1CFA">
        <w:rPr>
          <w:lang w:val="en-GB"/>
        </w:rPr>
        <w:t>ied</w:t>
      </w:r>
      <w:r w:rsidRPr="005E1CFA">
        <w:rPr>
          <w:lang w:val="en-GB"/>
        </w:rPr>
        <w:t xml:space="preserve"> to seek justice, due to the prevalent application of customary law, the gender inequality in traditional settings, and the </w:t>
      </w:r>
      <w:r w:rsidR="007F7153" w:rsidRPr="005E1CFA">
        <w:rPr>
          <w:lang w:val="en-GB"/>
        </w:rPr>
        <w:t>under</w:t>
      </w:r>
      <w:r w:rsidRPr="005E1CFA">
        <w:rPr>
          <w:lang w:val="en-GB"/>
        </w:rPr>
        <w:t>representation of women as community leaders and adjudicators.</w:t>
      </w:r>
    </w:p>
    <w:p w14:paraId="5C99C8EC" w14:textId="77AEF1DA" w:rsidR="00F62913" w:rsidRPr="005E1CFA" w:rsidRDefault="008D05D9" w:rsidP="005003E4">
      <w:pPr>
        <w:pStyle w:val="ListParagraph"/>
        <w:numPr>
          <w:ilvl w:val="0"/>
          <w:numId w:val="3"/>
        </w:numPr>
        <w:tabs>
          <w:tab w:val="left" w:pos="360"/>
        </w:tabs>
        <w:spacing w:after="120"/>
        <w:ind w:left="360" w:right="1210" w:firstLine="0"/>
        <w:jc w:val="both"/>
        <w:rPr>
          <w:lang w:val="en-GB"/>
        </w:rPr>
      </w:pPr>
      <w:r w:rsidRPr="005E1CFA">
        <w:rPr>
          <w:rFonts w:eastAsia="Batang"/>
          <w:lang w:val="en-GB"/>
        </w:rPr>
        <w:t>T</w:t>
      </w:r>
      <w:r w:rsidR="00F62913" w:rsidRPr="005E1CFA">
        <w:rPr>
          <w:rFonts w:eastAsia="Batang"/>
          <w:lang w:val="en-GB"/>
        </w:rPr>
        <w:t>he crisis resulted in soci</w:t>
      </w:r>
      <w:r w:rsidR="00AC7166" w:rsidRPr="005E1CFA">
        <w:rPr>
          <w:rFonts w:eastAsia="Batang"/>
          <w:lang w:val="en-GB"/>
        </w:rPr>
        <w:t>o</w:t>
      </w:r>
      <w:r w:rsidR="00F62913" w:rsidRPr="005E1CFA">
        <w:rPr>
          <w:rFonts w:eastAsia="Batang"/>
          <w:lang w:val="en-GB"/>
        </w:rPr>
        <w:t>-economic losses estimated at some 15</w:t>
      </w:r>
      <w:r w:rsidR="00690AC1" w:rsidRPr="005E1CFA">
        <w:rPr>
          <w:rFonts w:eastAsia="Batang"/>
          <w:lang w:val="en-GB"/>
        </w:rPr>
        <w:t xml:space="preserve"> per cent</w:t>
      </w:r>
      <w:r w:rsidR="00F62913" w:rsidRPr="005E1CFA">
        <w:rPr>
          <w:rFonts w:eastAsia="Batang"/>
          <w:lang w:val="en-GB"/>
        </w:rPr>
        <w:t xml:space="preserve"> of potential </w:t>
      </w:r>
      <w:r w:rsidR="00690AC1" w:rsidRPr="005E1CFA">
        <w:rPr>
          <w:rFonts w:eastAsia="Batang"/>
          <w:lang w:val="en-GB"/>
        </w:rPr>
        <w:t xml:space="preserve">gross domestic product </w:t>
      </w:r>
      <w:r w:rsidR="00F62913" w:rsidRPr="005E1CFA">
        <w:rPr>
          <w:rFonts w:eastAsia="Batang"/>
          <w:lang w:val="en-GB"/>
        </w:rPr>
        <w:t>in 2014. Oil production, traditionally accounting for 60</w:t>
      </w:r>
      <w:r w:rsidR="00690AC1" w:rsidRPr="005E1CFA">
        <w:rPr>
          <w:rFonts w:eastAsia="Batang"/>
          <w:lang w:val="en-GB"/>
        </w:rPr>
        <w:t xml:space="preserve"> per cent</w:t>
      </w:r>
      <w:r w:rsidR="00F62913" w:rsidRPr="005E1CFA">
        <w:rPr>
          <w:rFonts w:eastAsia="Batang"/>
          <w:lang w:val="en-GB"/>
        </w:rPr>
        <w:t xml:space="preserve"> of </w:t>
      </w:r>
      <w:r w:rsidR="000529C7" w:rsidRPr="005E1CFA">
        <w:rPr>
          <w:rFonts w:eastAsia="Batang"/>
          <w:lang w:val="en-GB"/>
        </w:rPr>
        <w:t>gross domestic product</w:t>
      </w:r>
      <w:r w:rsidR="00F62913" w:rsidRPr="005E1CFA">
        <w:rPr>
          <w:rFonts w:eastAsia="Batang"/>
          <w:lang w:val="en-GB"/>
        </w:rPr>
        <w:t xml:space="preserve"> and 98</w:t>
      </w:r>
      <w:r w:rsidR="00690AC1" w:rsidRPr="005E1CFA">
        <w:rPr>
          <w:rFonts w:eastAsia="Batang"/>
          <w:lang w:val="en-GB"/>
        </w:rPr>
        <w:t xml:space="preserve"> per cent</w:t>
      </w:r>
      <w:r w:rsidR="00F62913" w:rsidRPr="005E1CFA">
        <w:rPr>
          <w:rFonts w:eastAsia="Batang"/>
          <w:lang w:val="en-GB"/>
        </w:rPr>
        <w:t xml:space="preserve"> of </w:t>
      </w:r>
      <w:r w:rsidR="005332D7" w:rsidRPr="005E1CFA">
        <w:rPr>
          <w:rFonts w:eastAsia="Batang"/>
          <w:lang w:val="en-GB"/>
        </w:rPr>
        <w:t xml:space="preserve">government </w:t>
      </w:r>
      <w:r w:rsidRPr="005E1CFA">
        <w:rPr>
          <w:rFonts w:eastAsia="Batang"/>
          <w:lang w:val="en-GB"/>
        </w:rPr>
        <w:t>revenues</w:t>
      </w:r>
      <w:r w:rsidR="000529C7" w:rsidRPr="005E1CFA">
        <w:rPr>
          <w:rFonts w:eastAsia="Batang"/>
          <w:lang w:val="en-GB"/>
        </w:rPr>
        <w:t>,</w:t>
      </w:r>
      <w:r w:rsidRPr="005E1CFA">
        <w:rPr>
          <w:rFonts w:eastAsia="Batang"/>
          <w:lang w:val="en-GB"/>
        </w:rPr>
        <w:t xml:space="preserve"> fell</w:t>
      </w:r>
      <w:r w:rsidR="00F62913" w:rsidRPr="005E1CFA">
        <w:rPr>
          <w:rFonts w:eastAsia="Batang"/>
          <w:lang w:val="en-GB"/>
        </w:rPr>
        <w:t xml:space="preserve"> by </w:t>
      </w:r>
      <w:r w:rsidR="000529C7" w:rsidRPr="005E1CFA">
        <w:rPr>
          <w:rFonts w:eastAsia="Batang"/>
          <w:lang w:val="en-GB"/>
        </w:rPr>
        <w:t xml:space="preserve">about </w:t>
      </w:r>
      <w:r w:rsidR="005332D7" w:rsidRPr="005E1CFA">
        <w:rPr>
          <w:rFonts w:eastAsia="Batang"/>
          <w:lang w:val="en-GB"/>
        </w:rPr>
        <w:t>42</w:t>
      </w:r>
      <w:r w:rsidR="00690AC1" w:rsidRPr="005E1CFA">
        <w:rPr>
          <w:rFonts w:eastAsia="Batang"/>
          <w:lang w:val="en-GB"/>
        </w:rPr>
        <w:t xml:space="preserve"> per cent</w:t>
      </w:r>
      <w:r w:rsidR="00F62913" w:rsidRPr="005E1CFA">
        <w:rPr>
          <w:rFonts w:eastAsia="Batang"/>
          <w:lang w:val="en-GB"/>
        </w:rPr>
        <w:t xml:space="preserve"> due to the conflict</w:t>
      </w:r>
      <w:r w:rsidR="005332D7" w:rsidRPr="005E1CFA">
        <w:rPr>
          <w:rStyle w:val="FootnoteReference"/>
          <w:rFonts w:eastAsia="Batang"/>
          <w:lang w:val="en-GB"/>
        </w:rPr>
        <w:footnoteReference w:id="2"/>
      </w:r>
      <w:r w:rsidR="00F62913" w:rsidRPr="005E1CFA">
        <w:rPr>
          <w:rFonts w:eastAsia="Batang"/>
          <w:lang w:val="en-GB"/>
        </w:rPr>
        <w:t xml:space="preserve">. The halving of oil prices aggravated the </w:t>
      </w:r>
      <w:r w:rsidR="000529C7" w:rsidRPr="005E1CFA">
        <w:rPr>
          <w:rFonts w:eastAsia="Batang"/>
          <w:lang w:val="en-GB"/>
        </w:rPr>
        <w:t>reduction in</w:t>
      </w:r>
      <w:r w:rsidR="00F62913" w:rsidRPr="005E1CFA">
        <w:rPr>
          <w:rFonts w:eastAsia="Batang"/>
          <w:lang w:val="en-GB"/>
        </w:rPr>
        <w:t xml:space="preserve"> oil revenue, exacerbating the economic hardship and requiring fiscal adjustments (</w:t>
      </w:r>
      <w:r w:rsidR="007F7153" w:rsidRPr="005E1CFA">
        <w:rPr>
          <w:rFonts w:eastAsia="Batang"/>
          <w:lang w:val="en-GB"/>
        </w:rPr>
        <w:t>South Sudan e</w:t>
      </w:r>
      <w:r w:rsidR="00F62913" w:rsidRPr="005E1CFA">
        <w:rPr>
          <w:rFonts w:eastAsia="Batang"/>
          <w:lang w:val="en-GB"/>
        </w:rPr>
        <w:t xml:space="preserve">conomic </w:t>
      </w:r>
      <w:r w:rsidR="007F7153" w:rsidRPr="005E1CFA">
        <w:rPr>
          <w:rFonts w:eastAsia="Batang"/>
          <w:lang w:val="en-GB"/>
        </w:rPr>
        <w:t>o</w:t>
      </w:r>
      <w:r w:rsidR="00F62913" w:rsidRPr="005E1CFA">
        <w:rPr>
          <w:rFonts w:eastAsia="Batang"/>
          <w:lang w:val="en-GB"/>
        </w:rPr>
        <w:t>verview</w:t>
      </w:r>
      <w:r w:rsidR="007F7153" w:rsidRPr="005E1CFA">
        <w:rPr>
          <w:rFonts w:eastAsia="Batang"/>
          <w:lang w:val="en-GB"/>
        </w:rPr>
        <w:t>, World Bank</w:t>
      </w:r>
      <w:r w:rsidR="00F62913" w:rsidRPr="005E1CFA">
        <w:rPr>
          <w:rFonts w:eastAsia="Batang"/>
          <w:lang w:val="en-GB"/>
        </w:rPr>
        <w:t xml:space="preserve">, 2015). </w:t>
      </w:r>
      <w:r w:rsidR="005332D7" w:rsidRPr="005E1CFA">
        <w:rPr>
          <w:rFonts w:eastAsia="Batang"/>
          <w:lang w:val="en-GB"/>
        </w:rPr>
        <w:t>At the same</w:t>
      </w:r>
      <w:r w:rsidR="000E60D6" w:rsidRPr="005E1CFA">
        <w:rPr>
          <w:rFonts w:eastAsia="Batang"/>
          <w:lang w:val="en-GB"/>
        </w:rPr>
        <w:t xml:space="preserve"> time</w:t>
      </w:r>
      <w:r w:rsidR="005332D7" w:rsidRPr="005E1CFA">
        <w:rPr>
          <w:rFonts w:eastAsia="Batang"/>
          <w:lang w:val="en-GB"/>
        </w:rPr>
        <w:t xml:space="preserve">, security sector expenditures </w:t>
      </w:r>
      <w:r w:rsidR="000529C7" w:rsidRPr="005E1CFA">
        <w:rPr>
          <w:rFonts w:eastAsia="Batang"/>
          <w:lang w:val="en-GB"/>
        </w:rPr>
        <w:t xml:space="preserve">rose </w:t>
      </w:r>
      <w:r w:rsidR="005332D7" w:rsidRPr="005E1CFA">
        <w:rPr>
          <w:rFonts w:eastAsia="Batang"/>
          <w:lang w:val="en-GB"/>
        </w:rPr>
        <w:t>to 4</w:t>
      </w:r>
      <w:r w:rsidR="000E60D6" w:rsidRPr="005E1CFA">
        <w:rPr>
          <w:rFonts w:eastAsia="Batang"/>
          <w:lang w:val="en-GB"/>
        </w:rPr>
        <w:t>4</w:t>
      </w:r>
      <w:r w:rsidR="00690AC1" w:rsidRPr="005E1CFA">
        <w:rPr>
          <w:rFonts w:eastAsia="Batang"/>
          <w:lang w:val="en-GB"/>
        </w:rPr>
        <w:t xml:space="preserve"> per cent</w:t>
      </w:r>
      <w:r w:rsidR="005332D7" w:rsidRPr="005E1CFA">
        <w:rPr>
          <w:rFonts w:eastAsia="Batang"/>
          <w:lang w:val="en-GB"/>
        </w:rPr>
        <w:t xml:space="preserve"> of the national budget in 2014</w:t>
      </w:r>
      <w:r w:rsidR="000529C7" w:rsidRPr="005E1CFA">
        <w:rPr>
          <w:rFonts w:eastAsia="Batang"/>
          <w:lang w:val="en-GB"/>
        </w:rPr>
        <w:t>-</w:t>
      </w:r>
      <w:r w:rsidR="005332D7" w:rsidRPr="005E1CFA">
        <w:rPr>
          <w:rFonts w:eastAsia="Batang"/>
          <w:lang w:val="en-GB"/>
        </w:rPr>
        <w:t>2015</w:t>
      </w:r>
      <w:r w:rsidR="005332D7" w:rsidRPr="005E1CFA">
        <w:rPr>
          <w:rStyle w:val="FootnoteReference"/>
          <w:rFonts w:eastAsia="Batang"/>
          <w:lang w:val="en-GB"/>
        </w:rPr>
        <w:footnoteReference w:id="3"/>
      </w:r>
      <w:r w:rsidR="005332D7" w:rsidRPr="005E1CFA">
        <w:rPr>
          <w:rFonts w:eastAsia="Batang"/>
          <w:lang w:val="en-GB"/>
        </w:rPr>
        <w:t xml:space="preserve">. </w:t>
      </w:r>
      <w:r w:rsidR="00F62913" w:rsidRPr="005E1CFA">
        <w:rPr>
          <w:rFonts w:eastAsia="Batang"/>
          <w:lang w:val="en-GB"/>
        </w:rPr>
        <w:t xml:space="preserve">A floating currency regime was adopted in December 2015, devaluing the </w:t>
      </w:r>
      <w:r w:rsidR="007F7153" w:rsidRPr="005E1CFA">
        <w:rPr>
          <w:rFonts w:eastAsia="Batang"/>
          <w:lang w:val="en-GB"/>
        </w:rPr>
        <w:t xml:space="preserve">South Sudanese pound </w:t>
      </w:r>
      <w:r w:rsidR="00F62913" w:rsidRPr="005E1CFA">
        <w:rPr>
          <w:rFonts w:eastAsia="Batang"/>
          <w:lang w:val="en-GB"/>
        </w:rPr>
        <w:t xml:space="preserve">to one-sixth </w:t>
      </w:r>
      <w:r w:rsidR="000529C7" w:rsidRPr="005E1CFA">
        <w:rPr>
          <w:rFonts w:eastAsia="Batang"/>
          <w:lang w:val="en-GB"/>
        </w:rPr>
        <w:t xml:space="preserve">of </w:t>
      </w:r>
      <w:r w:rsidR="00F62913" w:rsidRPr="005E1CFA">
        <w:rPr>
          <w:rFonts w:eastAsia="Batang"/>
          <w:lang w:val="en-GB"/>
        </w:rPr>
        <w:t xml:space="preserve">its previous fixed rate. </w:t>
      </w:r>
      <w:r w:rsidR="000529C7" w:rsidRPr="005E1CFA">
        <w:rPr>
          <w:rFonts w:eastAsia="Batang"/>
          <w:lang w:val="en-GB"/>
        </w:rPr>
        <w:t>P</w:t>
      </w:r>
      <w:r w:rsidR="00F62913" w:rsidRPr="005E1CFA">
        <w:rPr>
          <w:lang w:val="en-GB"/>
        </w:rPr>
        <w:t xml:space="preserve">overty </w:t>
      </w:r>
      <w:r w:rsidR="000529C7" w:rsidRPr="005E1CFA">
        <w:rPr>
          <w:lang w:val="en-GB"/>
        </w:rPr>
        <w:t xml:space="preserve">increased </w:t>
      </w:r>
      <w:r w:rsidR="00F62913" w:rsidRPr="005E1CFA">
        <w:rPr>
          <w:lang w:val="en-GB"/>
        </w:rPr>
        <w:t>from 44.7</w:t>
      </w:r>
      <w:r w:rsidR="00690AC1" w:rsidRPr="005E1CFA">
        <w:rPr>
          <w:lang w:val="en-GB"/>
        </w:rPr>
        <w:t xml:space="preserve"> per cent</w:t>
      </w:r>
      <w:r w:rsidR="00F62913" w:rsidRPr="005E1CFA">
        <w:rPr>
          <w:lang w:val="en-GB"/>
        </w:rPr>
        <w:t xml:space="preserve"> in 2011 </w:t>
      </w:r>
      <w:r w:rsidR="000529C7" w:rsidRPr="005E1CFA">
        <w:rPr>
          <w:lang w:val="en-GB"/>
        </w:rPr>
        <w:t>over</w:t>
      </w:r>
      <w:r w:rsidR="00F62913" w:rsidRPr="005E1CFA">
        <w:rPr>
          <w:lang w:val="en-GB"/>
        </w:rPr>
        <w:t xml:space="preserve"> 57.2</w:t>
      </w:r>
      <w:r w:rsidR="000529C7" w:rsidRPr="005E1CFA">
        <w:rPr>
          <w:lang w:val="en-GB"/>
        </w:rPr>
        <w:t> per </w:t>
      </w:r>
      <w:r w:rsidR="00690AC1" w:rsidRPr="005E1CFA">
        <w:rPr>
          <w:lang w:val="en-GB"/>
        </w:rPr>
        <w:t>cent</w:t>
      </w:r>
      <w:r w:rsidR="00F62913" w:rsidRPr="005E1CFA">
        <w:rPr>
          <w:lang w:val="en-GB"/>
        </w:rPr>
        <w:t xml:space="preserve"> in 2015, with a corresponding increase in </w:t>
      </w:r>
      <w:r w:rsidR="000529C7" w:rsidRPr="005E1CFA">
        <w:rPr>
          <w:lang w:val="en-GB"/>
        </w:rPr>
        <w:t>degrees</w:t>
      </w:r>
      <w:r w:rsidR="00F62913" w:rsidRPr="005E1CFA">
        <w:rPr>
          <w:lang w:val="en-GB"/>
        </w:rPr>
        <w:t xml:space="preserve"> of poverty</w:t>
      </w:r>
      <w:r w:rsidR="005E3777" w:rsidRPr="005E1CFA">
        <w:rPr>
          <w:rStyle w:val="FootnoteReference"/>
          <w:lang w:val="en-GB"/>
        </w:rPr>
        <w:footnoteReference w:id="4"/>
      </w:r>
      <w:r w:rsidR="00F62913" w:rsidRPr="005E1CFA">
        <w:rPr>
          <w:lang w:val="en-GB"/>
        </w:rPr>
        <w:t>.</w:t>
      </w:r>
      <w:r w:rsidR="00F62913" w:rsidRPr="005E1CFA">
        <w:rPr>
          <w:rFonts w:eastAsia="Batang"/>
          <w:lang w:val="en-GB"/>
        </w:rPr>
        <w:t xml:space="preserve"> The conflict</w:t>
      </w:r>
      <w:r w:rsidR="004E2CA7" w:rsidRPr="005E1CFA">
        <w:rPr>
          <w:rFonts w:eastAsia="Batang"/>
          <w:lang w:val="en-GB"/>
        </w:rPr>
        <w:t xml:space="preserve"> also</w:t>
      </w:r>
      <w:r w:rsidR="00F62913" w:rsidRPr="005E1CFA">
        <w:rPr>
          <w:rFonts w:eastAsia="Batang"/>
          <w:lang w:val="en-GB"/>
        </w:rPr>
        <w:t xml:space="preserve"> exacerbated </w:t>
      </w:r>
      <w:r w:rsidR="004E2CA7" w:rsidRPr="005E1CFA">
        <w:rPr>
          <w:rFonts w:eastAsia="Batang"/>
          <w:lang w:val="en-GB"/>
        </w:rPr>
        <w:t>widespread</w:t>
      </w:r>
      <w:r w:rsidR="00F62913" w:rsidRPr="005E1CFA">
        <w:rPr>
          <w:rFonts w:eastAsia="Batang"/>
          <w:lang w:val="en-GB"/>
        </w:rPr>
        <w:t xml:space="preserve"> corruption, further weakening economic performance</w:t>
      </w:r>
      <w:r w:rsidR="005E3777" w:rsidRPr="005E1CFA">
        <w:rPr>
          <w:rStyle w:val="FootnoteReference"/>
          <w:rFonts w:eastAsia="Batang"/>
          <w:lang w:val="en-GB"/>
        </w:rPr>
        <w:footnoteReference w:id="5"/>
      </w:r>
      <w:r w:rsidR="005E3777" w:rsidRPr="005E1CFA">
        <w:rPr>
          <w:lang w:val="en-GB"/>
        </w:rPr>
        <w:t xml:space="preserve"> </w:t>
      </w:r>
      <w:r w:rsidR="00F62913" w:rsidRPr="005E1CFA">
        <w:rPr>
          <w:lang w:val="en-GB"/>
        </w:rPr>
        <w:t xml:space="preserve">. </w:t>
      </w:r>
    </w:p>
    <w:p w14:paraId="12BDF05C" w14:textId="280FD521" w:rsidR="00F62913" w:rsidRPr="005E1CFA" w:rsidRDefault="005F540D" w:rsidP="005003E4">
      <w:pPr>
        <w:pStyle w:val="ListParagraph"/>
        <w:numPr>
          <w:ilvl w:val="0"/>
          <w:numId w:val="3"/>
        </w:numPr>
        <w:tabs>
          <w:tab w:val="left" w:pos="360"/>
        </w:tabs>
        <w:spacing w:after="120"/>
        <w:ind w:left="360" w:right="1210" w:firstLine="0"/>
        <w:jc w:val="both"/>
        <w:rPr>
          <w:rFonts w:eastAsia="Batang"/>
          <w:lang w:val="en-GB"/>
        </w:rPr>
      </w:pPr>
      <w:r w:rsidRPr="005E1CFA">
        <w:rPr>
          <w:rFonts w:eastAsia="Batang"/>
          <w:lang w:val="en-GB"/>
        </w:rPr>
        <w:t xml:space="preserve">Service delivery in critical sectors </w:t>
      </w:r>
      <w:r w:rsidR="000529C7" w:rsidRPr="005E1CFA">
        <w:rPr>
          <w:rFonts w:eastAsia="Batang"/>
          <w:lang w:val="en-GB"/>
        </w:rPr>
        <w:t xml:space="preserve">such as </w:t>
      </w:r>
      <w:r w:rsidRPr="005E1CFA">
        <w:rPr>
          <w:rFonts w:eastAsia="Batang"/>
          <w:lang w:val="en-GB"/>
        </w:rPr>
        <w:t>health</w:t>
      </w:r>
      <w:r w:rsidR="000529C7" w:rsidRPr="005E1CFA">
        <w:rPr>
          <w:rFonts w:eastAsia="Batang"/>
          <w:lang w:val="en-GB"/>
        </w:rPr>
        <w:t xml:space="preserve"> care</w:t>
      </w:r>
      <w:r w:rsidRPr="005E1CFA">
        <w:rPr>
          <w:rFonts w:eastAsia="Batang"/>
          <w:lang w:val="en-GB"/>
        </w:rPr>
        <w:t xml:space="preserve"> has been compromised. Most health</w:t>
      </w:r>
      <w:r w:rsidR="000529C7" w:rsidRPr="005E1CFA">
        <w:rPr>
          <w:rFonts w:eastAsia="Batang"/>
          <w:lang w:val="en-GB"/>
        </w:rPr>
        <w:t>-care</w:t>
      </w:r>
      <w:r w:rsidRPr="005E1CFA">
        <w:rPr>
          <w:rFonts w:eastAsia="Batang"/>
          <w:lang w:val="en-GB"/>
        </w:rPr>
        <w:t xml:space="preserve"> infrastructures are dilapidated</w:t>
      </w:r>
      <w:r w:rsidR="000529C7" w:rsidRPr="005E1CFA">
        <w:rPr>
          <w:rFonts w:eastAsia="Batang"/>
          <w:lang w:val="en-GB"/>
        </w:rPr>
        <w:t>,</w:t>
      </w:r>
      <w:r w:rsidR="00BF2C2C" w:rsidRPr="005E1CFA">
        <w:rPr>
          <w:rFonts w:eastAsia="Batang"/>
          <w:lang w:val="en-GB"/>
        </w:rPr>
        <w:t xml:space="preserve"> and many have been destroyed or damaged in the conflict. E</w:t>
      </w:r>
      <w:r w:rsidRPr="005E1CFA">
        <w:rPr>
          <w:rFonts w:eastAsia="Batang"/>
          <w:lang w:val="en-GB"/>
        </w:rPr>
        <w:t xml:space="preserve">ssential medical and surgical equipment </w:t>
      </w:r>
      <w:r w:rsidR="00BF2C2C" w:rsidRPr="005E1CFA">
        <w:rPr>
          <w:rFonts w:eastAsia="Batang"/>
          <w:lang w:val="en-GB"/>
        </w:rPr>
        <w:t xml:space="preserve">is </w:t>
      </w:r>
      <w:r w:rsidRPr="005E1CFA">
        <w:rPr>
          <w:rFonts w:eastAsia="Batang"/>
          <w:lang w:val="en-GB"/>
        </w:rPr>
        <w:t>outdated or lacking</w:t>
      </w:r>
      <w:r w:rsidR="000529C7" w:rsidRPr="005E1CFA">
        <w:rPr>
          <w:rFonts w:eastAsia="Batang"/>
          <w:lang w:val="en-GB"/>
        </w:rPr>
        <w:t>,</w:t>
      </w:r>
      <w:r w:rsidRPr="005E1CFA">
        <w:rPr>
          <w:rFonts w:eastAsia="Batang"/>
          <w:lang w:val="en-GB"/>
        </w:rPr>
        <w:t xml:space="preserve"> whil</w:t>
      </w:r>
      <w:r w:rsidR="000529C7" w:rsidRPr="005E1CFA">
        <w:rPr>
          <w:rFonts w:eastAsia="Batang"/>
          <w:lang w:val="en-GB"/>
        </w:rPr>
        <w:t>e</w:t>
      </w:r>
      <w:r w:rsidRPr="005E1CFA">
        <w:rPr>
          <w:rFonts w:eastAsia="Batang"/>
          <w:lang w:val="en-GB"/>
        </w:rPr>
        <w:t xml:space="preserve"> management and human </w:t>
      </w:r>
      <w:r w:rsidRPr="005E1CFA">
        <w:rPr>
          <w:rFonts w:eastAsia="Batang"/>
          <w:lang w:val="en-GB"/>
        </w:rPr>
        <w:lastRenderedPageBreak/>
        <w:t>resource capacity is still developing</w:t>
      </w:r>
      <w:r w:rsidRPr="005E1CFA">
        <w:rPr>
          <w:rStyle w:val="FootnoteReference"/>
          <w:rFonts w:eastAsia="Batang"/>
          <w:lang w:val="en-GB"/>
        </w:rPr>
        <w:footnoteReference w:id="6"/>
      </w:r>
      <w:r w:rsidRPr="005E1CFA">
        <w:rPr>
          <w:rFonts w:eastAsia="Batang"/>
          <w:lang w:val="en-GB"/>
        </w:rPr>
        <w:t xml:space="preserve">. </w:t>
      </w:r>
      <w:r w:rsidR="00F62913" w:rsidRPr="005E1CFA">
        <w:rPr>
          <w:rFonts w:eastAsia="Batang"/>
          <w:lang w:val="en-GB"/>
        </w:rPr>
        <w:t xml:space="preserve">In conflict-affected areas </w:t>
      </w:r>
      <w:r w:rsidR="008B107F" w:rsidRPr="005E1CFA">
        <w:rPr>
          <w:rFonts w:eastAsia="Batang"/>
          <w:lang w:val="en-GB"/>
        </w:rPr>
        <w:t>and</w:t>
      </w:r>
      <w:r w:rsidR="00F62913" w:rsidRPr="005E1CFA">
        <w:rPr>
          <w:rFonts w:eastAsia="Batang"/>
          <w:lang w:val="en-GB"/>
        </w:rPr>
        <w:t xml:space="preserve"> locations with high concentrations of displaced people, basic services</w:t>
      </w:r>
      <w:r w:rsidR="00F30718" w:rsidRPr="005E1CFA">
        <w:rPr>
          <w:rFonts w:eastAsia="Batang"/>
          <w:lang w:val="en-GB"/>
        </w:rPr>
        <w:t xml:space="preserve"> </w:t>
      </w:r>
      <w:r w:rsidR="008B107F" w:rsidRPr="005E1CFA">
        <w:rPr>
          <w:rFonts w:eastAsia="Batang"/>
          <w:lang w:val="en-GB"/>
        </w:rPr>
        <w:t xml:space="preserve">– </w:t>
      </w:r>
      <w:r w:rsidR="0074214A" w:rsidRPr="005E1CFA">
        <w:rPr>
          <w:rFonts w:eastAsia="Batang"/>
          <w:lang w:val="en-GB"/>
        </w:rPr>
        <w:t>including for HIV and</w:t>
      </w:r>
      <w:r w:rsidR="00A57055" w:rsidRPr="005E1CFA">
        <w:rPr>
          <w:rFonts w:eastAsia="Batang"/>
          <w:lang w:val="en-GB"/>
        </w:rPr>
        <w:t xml:space="preserve"> </w:t>
      </w:r>
      <w:r w:rsidR="00F30718" w:rsidRPr="005E1CFA">
        <w:rPr>
          <w:rFonts w:eastAsia="Batang"/>
          <w:lang w:val="en-GB"/>
        </w:rPr>
        <w:t xml:space="preserve">AIDS and </w:t>
      </w:r>
      <w:r w:rsidR="008B107F" w:rsidRPr="005E1CFA">
        <w:rPr>
          <w:rFonts w:eastAsia="Batang"/>
          <w:lang w:val="en-GB"/>
        </w:rPr>
        <w:t xml:space="preserve">tuberculosis – </w:t>
      </w:r>
      <w:r w:rsidR="00F62913" w:rsidRPr="005E1CFA">
        <w:rPr>
          <w:rFonts w:eastAsia="Batang"/>
          <w:lang w:val="en-GB"/>
        </w:rPr>
        <w:t xml:space="preserve">are </w:t>
      </w:r>
      <w:r w:rsidR="008B107F" w:rsidRPr="005E1CFA">
        <w:rPr>
          <w:rFonts w:eastAsia="Batang"/>
          <w:lang w:val="en-GB"/>
        </w:rPr>
        <w:t xml:space="preserve">provided </w:t>
      </w:r>
      <w:r w:rsidR="00F62913" w:rsidRPr="005E1CFA">
        <w:rPr>
          <w:rFonts w:eastAsia="Batang"/>
          <w:lang w:val="en-GB"/>
        </w:rPr>
        <w:t xml:space="preserve">almost exclusively by humanitarian </w:t>
      </w:r>
      <w:r w:rsidR="008D05D9" w:rsidRPr="005E1CFA">
        <w:rPr>
          <w:rFonts w:eastAsia="Batang"/>
          <w:lang w:val="en-GB"/>
        </w:rPr>
        <w:t xml:space="preserve">and development </w:t>
      </w:r>
      <w:r w:rsidR="00F62913" w:rsidRPr="005E1CFA">
        <w:rPr>
          <w:rFonts w:eastAsia="Batang"/>
          <w:lang w:val="en-GB"/>
        </w:rPr>
        <w:t xml:space="preserve">organizations. Centralized supply of electricity and clean water is </w:t>
      </w:r>
      <w:r w:rsidR="008B107F" w:rsidRPr="005E1CFA">
        <w:rPr>
          <w:rFonts w:eastAsia="Batang"/>
          <w:lang w:val="en-GB"/>
        </w:rPr>
        <w:t xml:space="preserve">practically </w:t>
      </w:r>
      <w:r w:rsidR="00F62913" w:rsidRPr="005E1CFA">
        <w:rPr>
          <w:rFonts w:eastAsia="Batang"/>
          <w:lang w:val="en-GB"/>
        </w:rPr>
        <w:t>non-existent</w:t>
      </w:r>
      <w:r w:rsidR="008B107F" w:rsidRPr="005E1CFA">
        <w:rPr>
          <w:rFonts w:eastAsia="Batang"/>
          <w:lang w:val="en-GB"/>
        </w:rPr>
        <w:t>,</w:t>
      </w:r>
      <w:r w:rsidR="00F62913" w:rsidRPr="005E1CFA">
        <w:rPr>
          <w:rFonts w:eastAsia="Batang"/>
          <w:lang w:val="en-GB"/>
        </w:rPr>
        <w:t xml:space="preserve"> and most roads are impassable during the rainy season. Insufficient </w:t>
      </w:r>
      <w:r w:rsidR="00F62913" w:rsidRPr="005E1CFA">
        <w:rPr>
          <w:lang w:val="en-GB"/>
        </w:rPr>
        <w:t>access to</w:t>
      </w:r>
      <w:r w:rsidR="00F62913" w:rsidRPr="005E1CFA">
        <w:rPr>
          <w:rFonts w:eastAsia="Batang"/>
          <w:lang w:val="en-GB"/>
        </w:rPr>
        <w:t xml:space="preserve"> justice and weakened law and order institutions have </w:t>
      </w:r>
      <w:r w:rsidR="008B107F" w:rsidRPr="005E1CFA">
        <w:rPr>
          <w:rFonts w:eastAsia="Batang"/>
          <w:lang w:val="en-GB"/>
        </w:rPr>
        <w:t>fomented</w:t>
      </w:r>
      <w:r w:rsidR="00F62913" w:rsidRPr="005E1CFA">
        <w:rPr>
          <w:rFonts w:eastAsia="Batang"/>
          <w:lang w:val="en-GB"/>
        </w:rPr>
        <w:t xml:space="preserve"> a culture of violence and lawlessness. National and local capacit</w:t>
      </w:r>
      <w:r w:rsidR="008B107F" w:rsidRPr="005E1CFA">
        <w:rPr>
          <w:rFonts w:eastAsia="Batang"/>
          <w:lang w:val="en-GB"/>
        </w:rPr>
        <w:t>ies</w:t>
      </w:r>
      <w:r w:rsidR="00F62913" w:rsidRPr="005E1CFA">
        <w:rPr>
          <w:rFonts w:eastAsia="Batang"/>
          <w:lang w:val="en-GB"/>
        </w:rPr>
        <w:t xml:space="preserve"> to plan, finance, develop and deliver basic services</w:t>
      </w:r>
      <w:r w:rsidR="008B107F" w:rsidRPr="005E1CFA">
        <w:rPr>
          <w:rFonts w:eastAsia="Batang"/>
          <w:lang w:val="en-GB"/>
        </w:rPr>
        <w:t>,</w:t>
      </w:r>
      <w:r w:rsidR="00F62913" w:rsidRPr="005E1CFA">
        <w:rPr>
          <w:rFonts w:eastAsia="Batang"/>
          <w:lang w:val="en-GB"/>
        </w:rPr>
        <w:t xml:space="preserve"> and invest in development infrastructure</w:t>
      </w:r>
      <w:r w:rsidR="008B107F" w:rsidRPr="005E1CFA">
        <w:rPr>
          <w:rFonts w:eastAsia="Batang"/>
          <w:lang w:val="en-GB"/>
        </w:rPr>
        <w:t>,</w:t>
      </w:r>
      <w:r w:rsidR="00F62913" w:rsidRPr="005E1CFA">
        <w:rPr>
          <w:rFonts w:eastAsia="Batang"/>
          <w:lang w:val="en-GB"/>
        </w:rPr>
        <w:t xml:space="preserve"> </w:t>
      </w:r>
      <w:r w:rsidR="008B107F" w:rsidRPr="005E1CFA">
        <w:rPr>
          <w:rFonts w:eastAsia="Batang"/>
          <w:lang w:val="en-GB"/>
        </w:rPr>
        <w:t xml:space="preserve">are </w:t>
      </w:r>
      <w:r w:rsidR="00F62913" w:rsidRPr="005E1CFA">
        <w:rPr>
          <w:rFonts w:eastAsia="Batang"/>
          <w:lang w:val="en-GB"/>
        </w:rPr>
        <w:t>severely constrained. All this intensifie</w:t>
      </w:r>
      <w:r w:rsidR="008B107F" w:rsidRPr="005E1CFA">
        <w:rPr>
          <w:rFonts w:eastAsia="Batang"/>
          <w:lang w:val="en-GB"/>
        </w:rPr>
        <w:t>s</w:t>
      </w:r>
      <w:r w:rsidR="00F62913" w:rsidRPr="005E1CFA">
        <w:rPr>
          <w:rFonts w:eastAsia="Batang"/>
          <w:lang w:val="en-GB"/>
        </w:rPr>
        <w:t xml:space="preserve"> the socio-economic deprivation of the </w:t>
      </w:r>
      <w:r w:rsidR="00E54869" w:rsidRPr="005E1CFA">
        <w:rPr>
          <w:rFonts w:eastAsia="Batang"/>
          <w:lang w:val="en-GB"/>
        </w:rPr>
        <w:t xml:space="preserve">predominantly youthful </w:t>
      </w:r>
      <w:r w:rsidR="00F62913" w:rsidRPr="005E1CFA">
        <w:rPr>
          <w:rFonts w:eastAsia="Batang"/>
          <w:lang w:val="en-GB"/>
        </w:rPr>
        <w:t>population</w:t>
      </w:r>
      <w:r w:rsidR="00BF2C2C" w:rsidRPr="005E1CFA">
        <w:rPr>
          <w:rFonts w:eastAsia="Batang"/>
          <w:lang w:val="en-GB"/>
        </w:rPr>
        <w:t>,</w:t>
      </w:r>
      <w:r w:rsidR="003D21D4" w:rsidRPr="005E1CFA">
        <w:rPr>
          <w:rStyle w:val="FootnoteReference"/>
          <w:rFonts w:eastAsia="Batang"/>
          <w:lang w:val="en-GB"/>
        </w:rPr>
        <w:footnoteReference w:id="7"/>
      </w:r>
      <w:r w:rsidR="00E54869" w:rsidRPr="005E1CFA">
        <w:rPr>
          <w:rFonts w:eastAsia="Batang"/>
          <w:lang w:val="en-GB"/>
        </w:rPr>
        <w:t xml:space="preserve"> </w:t>
      </w:r>
      <w:r w:rsidR="006521C9" w:rsidRPr="005E1CFA">
        <w:rPr>
          <w:rFonts w:eastAsia="Batang"/>
          <w:lang w:val="en-GB"/>
        </w:rPr>
        <w:t>bearing the risk of increased</w:t>
      </w:r>
      <w:r w:rsidR="00E54869" w:rsidRPr="005E1CFA">
        <w:rPr>
          <w:rFonts w:eastAsia="Batang"/>
          <w:lang w:val="en-GB"/>
        </w:rPr>
        <w:t xml:space="preserve"> social disaffection and conflict</w:t>
      </w:r>
      <w:r w:rsidR="00F62913" w:rsidRPr="005E1CFA">
        <w:rPr>
          <w:rFonts w:eastAsia="Batang"/>
          <w:lang w:val="en-GB"/>
        </w:rPr>
        <w:t>.</w:t>
      </w:r>
    </w:p>
    <w:p w14:paraId="1BBABF1C" w14:textId="6B9C9A58" w:rsidR="00F62913" w:rsidRPr="005E1CFA" w:rsidRDefault="00F62913" w:rsidP="005003E4">
      <w:pPr>
        <w:pStyle w:val="ListParagraph"/>
        <w:numPr>
          <w:ilvl w:val="0"/>
          <w:numId w:val="3"/>
        </w:numPr>
        <w:tabs>
          <w:tab w:val="left" w:pos="360"/>
        </w:tabs>
        <w:spacing w:after="120"/>
        <w:ind w:left="360" w:right="1210" w:firstLine="0"/>
        <w:jc w:val="both"/>
        <w:rPr>
          <w:rFonts w:eastAsia="Batang"/>
          <w:lang w:val="en-GB"/>
        </w:rPr>
      </w:pPr>
      <w:r w:rsidRPr="005E1CFA">
        <w:rPr>
          <w:lang w:val="en-GB"/>
        </w:rPr>
        <w:t>F</w:t>
      </w:r>
      <w:r w:rsidR="00F8792C" w:rsidRPr="005E1CFA">
        <w:rPr>
          <w:lang w:val="en-GB"/>
        </w:rPr>
        <w:t>inally,</w:t>
      </w:r>
      <w:r w:rsidRPr="005E1CFA">
        <w:rPr>
          <w:lang w:val="en-GB"/>
        </w:rPr>
        <w:t xml:space="preserve"> the conflict and displacement have eliminated </w:t>
      </w:r>
      <w:r w:rsidR="008B107F" w:rsidRPr="005E1CFA">
        <w:rPr>
          <w:lang w:val="en-GB"/>
        </w:rPr>
        <w:t xml:space="preserve">the </w:t>
      </w:r>
      <w:r w:rsidRPr="005E1CFA">
        <w:rPr>
          <w:lang w:val="en-GB"/>
        </w:rPr>
        <w:t xml:space="preserve">coping capacity </w:t>
      </w:r>
      <w:r w:rsidR="008B107F" w:rsidRPr="005E1CFA">
        <w:rPr>
          <w:lang w:val="en-GB"/>
        </w:rPr>
        <w:t xml:space="preserve">of many communities </w:t>
      </w:r>
      <w:r w:rsidRPr="005E1CFA">
        <w:rPr>
          <w:lang w:val="en-GB"/>
        </w:rPr>
        <w:t xml:space="preserve">and </w:t>
      </w:r>
      <w:r w:rsidR="008B107F" w:rsidRPr="005E1CFA">
        <w:rPr>
          <w:lang w:val="en-GB"/>
        </w:rPr>
        <w:t xml:space="preserve">their </w:t>
      </w:r>
      <w:r w:rsidRPr="005E1CFA">
        <w:rPr>
          <w:lang w:val="en-GB"/>
        </w:rPr>
        <w:t>ability to deliver basic services, disrupting food and livelihood</w:t>
      </w:r>
      <w:r w:rsidR="008B107F" w:rsidRPr="005E1CFA">
        <w:rPr>
          <w:lang w:val="en-GB"/>
        </w:rPr>
        <w:t>s</w:t>
      </w:r>
      <w:r w:rsidRPr="005E1CFA">
        <w:rPr>
          <w:lang w:val="en-GB"/>
        </w:rPr>
        <w:t xml:space="preserve"> activities and markets. The U</w:t>
      </w:r>
      <w:r w:rsidR="008B107F" w:rsidRPr="005E1CFA">
        <w:rPr>
          <w:lang w:val="en-GB"/>
        </w:rPr>
        <w:t>nited Nations</w:t>
      </w:r>
      <w:r w:rsidRPr="005E1CFA">
        <w:rPr>
          <w:lang w:val="en-GB"/>
        </w:rPr>
        <w:t xml:space="preserve"> estimated that 3.5 million people were food insecure in September 2015 (OCHA, November 2015).</w:t>
      </w:r>
      <w:r w:rsidRPr="005E1CFA">
        <w:rPr>
          <w:rFonts w:eastAsia="Batang"/>
          <w:lang w:val="en-GB"/>
        </w:rPr>
        <w:t xml:space="preserve"> </w:t>
      </w:r>
      <w:r w:rsidRPr="005E1CFA">
        <w:rPr>
          <w:lang w:val="en-GB"/>
        </w:rPr>
        <w:t>Approximately 90</w:t>
      </w:r>
      <w:r w:rsidR="00690AC1" w:rsidRPr="005E1CFA">
        <w:rPr>
          <w:lang w:val="en-GB"/>
        </w:rPr>
        <w:t xml:space="preserve"> per cent</w:t>
      </w:r>
      <w:r w:rsidRPr="005E1CFA">
        <w:rPr>
          <w:lang w:val="en-GB"/>
        </w:rPr>
        <w:t xml:space="preserve"> of South Sudanese households depend on crop farming on hand</w:t>
      </w:r>
      <w:r w:rsidR="008B107F" w:rsidRPr="005E1CFA">
        <w:rPr>
          <w:lang w:val="en-GB"/>
        </w:rPr>
        <w:t>-</w:t>
      </w:r>
      <w:r w:rsidRPr="005E1CFA">
        <w:rPr>
          <w:lang w:val="en-GB"/>
        </w:rPr>
        <w:t>cultivated plots, or animal husbandry, fishing, and forestry for their livelihoods. The heavy dependence on rain-fed agriculture increases the vulnerability of livelihoods and food security to the effects of climate change.</w:t>
      </w:r>
    </w:p>
    <w:p w14:paraId="664245CC" w14:textId="4315BD98" w:rsidR="00F62913" w:rsidRPr="005E1CFA" w:rsidRDefault="00F62913" w:rsidP="005003E4">
      <w:pPr>
        <w:pStyle w:val="ListParagraph"/>
        <w:numPr>
          <w:ilvl w:val="0"/>
          <w:numId w:val="3"/>
        </w:numPr>
        <w:tabs>
          <w:tab w:val="left" w:pos="360"/>
        </w:tabs>
        <w:spacing w:after="120"/>
        <w:ind w:left="360" w:right="1210" w:firstLine="0"/>
        <w:jc w:val="both"/>
        <w:rPr>
          <w:rFonts w:eastAsia="Batang"/>
          <w:color w:val="5B9BD5" w:themeColor="accent1"/>
          <w:lang w:val="en-GB"/>
        </w:rPr>
      </w:pPr>
      <w:r w:rsidRPr="005E1CFA">
        <w:rPr>
          <w:rFonts w:eastAsia="Batang"/>
          <w:lang w:val="en-GB"/>
        </w:rPr>
        <w:t xml:space="preserve">In response to the signed </w:t>
      </w:r>
      <w:r w:rsidR="008B107F" w:rsidRPr="005E1CFA">
        <w:rPr>
          <w:rFonts w:eastAsia="Batang"/>
          <w:lang w:val="en-GB"/>
        </w:rPr>
        <w:t>p</w:t>
      </w:r>
      <w:r w:rsidRPr="005E1CFA">
        <w:rPr>
          <w:rFonts w:eastAsia="Batang"/>
          <w:lang w:val="en-GB"/>
        </w:rPr>
        <w:t xml:space="preserve">eace </w:t>
      </w:r>
      <w:r w:rsidR="008B107F" w:rsidRPr="005E1CFA">
        <w:rPr>
          <w:rFonts w:eastAsia="Batang"/>
          <w:lang w:val="en-GB"/>
        </w:rPr>
        <w:t>a</w:t>
      </w:r>
      <w:r w:rsidRPr="005E1CFA">
        <w:rPr>
          <w:rFonts w:eastAsia="Batang"/>
          <w:lang w:val="en-GB"/>
        </w:rPr>
        <w:t xml:space="preserve">greement, the United Nations organizations </w:t>
      </w:r>
      <w:r w:rsidR="001651FC" w:rsidRPr="005E1CFA">
        <w:rPr>
          <w:rFonts w:eastAsia="Batang"/>
          <w:lang w:val="en-GB"/>
        </w:rPr>
        <w:t xml:space="preserve">temporarily </w:t>
      </w:r>
      <w:r w:rsidRPr="005E1CFA">
        <w:rPr>
          <w:rFonts w:eastAsia="Batang"/>
          <w:lang w:val="en-GB"/>
        </w:rPr>
        <w:t>replaced the United Nations Development Assistance Framework</w:t>
      </w:r>
      <w:r w:rsidR="001651FC" w:rsidRPr="005E1CFA">
        <w:rPr>
          <w:rFonts w:eastAsia="Batang"/>
          <w:lang w:val="en-GB"/>
        </w:rPr>
        <w:t>,</w:t>
      </w:r>
      <w:r w:rsidRPr="005E1CFA">
        <w:rPr>
          <w:rFonts w:eastAsia="Batang"/>
          <w:lang w:val="en-GB"/>
        </w:rPr>
        <w:t xml:space="preserve"> 2012</w:t>
      </w:r>
      <w:r w:rsidR="001651FC" w:rsidRPr="005E1CFA">
        <w:rPr>
          <w:rFonts w:eastAsia="Batang"/>
          <w:lang w:val="en-GB"/>
        </w:rPr>
        <w:t>-</w:t>
      </w:r>
      <w:r w:rsidRPr="005E1CFA">
        <w:rPr>
          <w:rFonts w:eastAsia="Batang"/>
          <w:lang w:val="en-GB"/>
        </w:rPr>
        <w:t>2016</w:t>
      </w:r>
      <w:r w:rsidR="001651FC" w:rsidRPr="005E1CFA">
        <w:rPr>
          <w:rFonts w:eastAsia="Batang"/>
          <w:lang w:val="en-GB"/>
        </w:rPr>
        <w:t>,</w:t>
      </w:r>
      <w:r w:rsidRPr="005E1CFA">
        <w:rPr>
          <w:rFonts w:eastAsia="Batang"/>
          <w:lang w:val="en-GB"/>
        </w:rPr>
        <w:t xml:space="preserve"> with the Interim Cooperation Framework</w:t>
      </w:r>
      <w:r w:rsidR="001651FC" w:rsidRPr="005E1CFA">
        <w:rPr>
          <w:rFonts w:eastAsia="Batang"/>
          <w:lang w:val="en-GB"/>
        </w:rPr>
        <w:t>,</w:t>
      </w:r>
      <w:r w:rsidRPr="005E1CFA">
        <w:rPr>
          <w:rFonts w:eastAsia="Batang"/>
          <w:lang w:val="en-GB"/>
        </w:rPr>
        <w:t xml:space="preserve"> 2016-2018</w:t>
      </w:r>
      <w:r w:rsidR="001651FC" w:rsidRPr="005E1CFA">
        <w:rPr>
          <w:rFonts w:eastAsia="Batang"/>
          <w:lang w:val="en-GB"/>
        </w:rPr>
        <w:t>,</w:t>
      </w:r>
      <w:r w:rsidRPr="005E1CFA">
        <w:rPr>
          <w:rFonts w:eastAsia="Batang"/>
          <w:lang w:val="en-GB"/>
        </w:rPr>
        <w:t xml:space="preserve"> until a new </w:t>
      </w:r>
      <w:r w:rsidR="001651FC" w:rsidRPr="005E1CFA">
        <w:rPr>
          <w:rFonts w:eastAsia="Batang"/>
          <w:lang w:val="en-GB"/>
        </w:rPr>
        <w:t xml:space="preserve">United Nations Development Assistance Framework </w:t>
      </w:r>
      <w:r w:rsidRPr="005E1CFA">
        <w:rPr>
          <w:rFonts w:eastAsia="Batang"/>
          <w:lang w:val="en-GB"/>
        </w:rPr>
        <w:t xml:space="preserve">can be developed based on a new national development framework. UNDP adapted to the </w:t>
      </w:r>
      <w:r w:rsidR="001651FC" w:rsidRPr="005E1CFA">
        <w:rPr>
          <w:rFonts w:eastAsia="Batang"/>
          <w:lang w:val="en-GB"/>
        </w:rPr>
        <w:t xml:space="preserve">new </w:t>
      </w:r>
      <w:r w:rsidRPr="005E1CFA">
        <w:rPr>
          <w:rFonts w:eastAsia="Batang"/>
          <w:lang w:val="en-GB"/>
        </w:rPr>
        <w:t xml:space="preserve">operating context by realigning its programme to </w:t>
      </w:r>
      <w:r w:rsidR="00BF2C2C" w:rsidRPr="005E1CFA">
        <w:rPr>
          <w:rFonts w:eastAsia="Batang"/>
          <w:lang w:val="en-GB"/>
        </w:rPr>
        <w:t xml:space="preserve">the </w:t>
      </w:r>
      <w:r w:rsidR="00ED0905">
        <w:rPr>
          <w:rFonts w:eastAsia="Batang"/>
          <w:lang w:val="en-GB"/>
        </w:rPr>
        <w:t>interim f</w:t>
      </w:r>
      <w:r w:rsidR="00EE603B" w:rsidRPr="005E1CFA">
        <w:rPr>
          <w:rFonts w:eastAsia="Batang"/>
          <w:lang w:val="en-GB"/>
        </w:rPr>
        <w:t>ramework</w:t>
      </w:r>
      <w:r w:rsidR="00BF2C2C" w:rsidRPr="005E1CFA">
        <w:rPr>
          <w:rFonts w:eastAsia="Batang"/>
          <w:lang w:val="en-GB"/>
        </w:rPr>
        <w:t xml:space="preserve"> and </w:t>
      </w:r>
      <w:r w:rsidRPr="005E1CFA">
        <w:rPr>
          <w:rFonts w:eastAsia="Batang"/>
          <w:lang w:val="en-GB"/>
        </w:rPr>
        <w:t xml:space="preserve">the strategic windows of opportunity offered by the </w:t>
      </w:r>
      <w:r w:rsidR="001651FC" w:rsidRPr="005E1CFA">
        <w:rPr>
          <w:rFonts w:eastAsia="Batang"/>
          <w:lang w:val="en-GB"/>
        </w:rPr>
        <w:t>p</w:t>
      </w:r>
      <w:r w:rsidRPr="005E1CFA">
        <w:rPr>
          <w:rFonts w:eastAsia="Batang"/>
          <w:lang w:val="en-GB"/>
        </w:rPr>
        <w:t xml:space="preserve">eace </w:t>
      </w:r>
      <w:r w:rsidR="001651FC" w:rsidRPr="005E1CFA">
        <w:rPr>
          <w:rFonts w:eastAsia="Batang"/>
          <w:lang w:val="en-GB"/>
        </w:rPr>
        <w:t>a</w:t>
      </w:r>
      <w:r w:rsidRPr="005E1CFA">
        <w:rPr>
          <w:rFonts w:eastAsia="Batang"/>
          <w:lang w:val="en-GB"/>
        </w:rPr>
        <w:t>greement</w:t>
      </w:r>
      <w:r w:rsidR="001651FC" w:rsidRPr="005E1CFA">
        <w:rPr>
          <w:rFonts w:eastAsia="Batang"/>
          <w:lang w:val="en-GB"/>
        </w:rPr>
        <w:t>,</w:t>
      </w:r>
      <w:r w:rsidRPr="005E1CFA">
        <w:rPr>
          <w:rFonts w:eastAsia="Batang"/>
          <w:lang w:val="en-GB"/>
        </w:rPr>
        <w:t xml:space="preserve"> in consultation with the United Nations Mission in South Sudan (UNMISS). Since the onset of the crisis, UNDP </w:t>
      </w:r>
      <w:r w:rsidR="001651FC" w:rsidRPr="005E1CFA">
        <w:rPr>
          <w:rFonts w:eastAsia="Batang"/>
          <w:lang w:val="en-GB"/>
        </w:rPr>
        <w:t xml:space="preserve">had </w:t>
      </w:r>
      <w:r w:rsidRPr="005E1CFA">
        <w:rPr>
          <w:rFonts w:eastAsia="Batang"/>
          <w:lang w:val="en-GB"/>
        </w:rPr>
        <w:t xml:space="preserve">assisted vulnerable groups in </w:t>
      </w:r>
      <w:r w:rsidR="003046F5" w:rsidRPr="005E1CFA">
        <w:rPr>
          <w:rFonts w:eastAsia="Batang"/>
          <w:lang w:val="en-GB"/>
        </w:rPr>
        <w:t>Protection of Civilians</w:t>
      </w:r>
      <w:r w:rsidRPr="005E1CFA">
        <w:rPr>
          <w:rFonts w:eastAsia="Batang"/>
          <w:lang w:val="en-GB"/>
        </w:rPr>
        <w:t xml:space="preserve"> and </w:t>
      </w:r>
      <w:r w:rsidR="00690AC1" w:rsidRPr="005E1CFA">
        <w:rPr>
          <w:rFonts w:eastAsia="Batang"/>
          <w:lang w:val="en-GB"/>
        </w:rPr>
        <w:t>internally displaced persons</w:t>
      </w:r>
      <w:r w:rsidRPr="005E1CFA">
        <w:rPr>
          <w:rFonts w:eastAsia="Batang"/>
          <w:lang w:val="en-GB"/>
        </w:rPr>
        <w:t xml:space="preserve"> </w:t>
      </w:r>
      <w:r w:rsidR="00CE42E9" w:rsidRPr="005E1CFA">
        <w:rPr>
          <w:rFonts w:eastAsia="Batang"/>
          <w:lang w:val="en-GB"/>
        </w:rPr>
        <w:t>camps</w:t>
      </w:r>
      <w:r w:rsidRPr="005E1CFA">
        <w:rPr>
          <w:rFonts w:eastAsia="Batang"/>
          <w:lang w:val="en-GB"/>
        </w:rPr>
        <w:t xml:space="preserve"> </w:t>
      </w:r>
      <w:r w:rsidR="001651FC" w:rsidRPr="005E1CFA">
        <w:rPr>
          <w:rFonts w:eastAsia="Batang"/>
          <w:lang w:val="en-GB"/>
        </w:rPr>
        <w:t xml:space="preserve">and </w:t>
      </w:r>
      <w:r w:rsidRPr="005E1CFA">
        <w:rPr>
          <w:rFonts w:eastAsia="Batang"/>
          <w:lang w:val="en-GB"/>
        </w:rPr>
        <w:t>support</w:t>
      </w:r>
      <w:r w:rsidR="001651FC" w:rsidRPr="005E1CFA">
        <w:rPr>
          <w:rFonts w:eastAsia="Batang"/>
          <w:lang w:val="en-GB"/>
        </w:rPr>
        <w:t>ed</w:t>
      </w:r>
      <w:r w:rsidRPr="005E1CFA">
        <w:rPr>
          <w:rFonts w:eastAsia="Batang"/>
          <w:lang w:val="en-GB"/>
        </w:rPr>
        <w:t xml:space="preserve"> coping mechanisms laying the foundation for medium- to longer</w:t>
      </w:r>
      <w:r w:rsidR="001651FC" w:rsidRPr="005E1CFA">
        <w:rPr>
          <w:rFonts w:eastAsia="Batang"/>
          <w:lang w:val="en-GB"/>
        </w:rPr>
        <w:t>-</w:t>
      </w:r>
      <w:r w:rsidRPr="005E1CFA">
        <w:rPr>
          <w:rFonts w:eastAsia="Batang"/>
          <w:lang w:val="en-GB"/>
        </w:rPr>
        <w:t xml:space="preserve">term sustainable, resilience-oriented programmes. </w:t>
      </w:r>
    </w:p>
    <w:p w14:paraId="177C9EE5" w14:textId="3417445D" w:rsidR="008412B3" w:rsidRPr="005E1CFA" w:rsidRDefault="008412B3" w:rsidP="005003E4">
      <w:pPr>
        <w:pStyle w:val="ListParagraph"/>
        <w:numPr>
          <w:ilvl w:val="0"/>
          <w:numId w:val="3"/>
        </w:numPr>
        <w:spacing w:after="120"/>
        <w:ind w:left="360" w:right="1210" w:firstLine="0"/>
        <w:jc w:val="both"/>
        <w:rPr>
          <w:lang w:val="en-GB"/>
        </w:rPr>
      </w:pPr>
      <w:r w:rsidRPr="005E1CFA">
        <w:rPr>
          <w:rFonts w:eastAsia="Batang"/>
          <w:lang w:val="en-GB"/>
        </w:rPr>
        <w:t xml:space="preserve">A key </w:t>
      </w:r>
      <w:r w:rsidR="001651FC" w:rsidRPr="005E1CFA">
        <w:rPr>
          <w:rFonts w:eastAsia="Batang"/>
          <w:lang w:val="en-GB"/>
        </w:rPr>
        <w:t>‘</w:t>
      </w:r>
      <w:r w:rsidRPr="005E1CFA">
        <w:rPr>
          <w:rFonts w:eastAsia="Batang"/>
          <w:lang w:val="en-GB"/>
        </w:rPr>
        <w:t>lesson learned</w:t>
      </w:r>
      <w:r w:rsidR="001651FC" w:rsidRPr="005E1CFA">
        <w:rPr>
          <w:rFonts w:eastAsia="Batang"/>
          <w:lang w:val="en-GB"/>
        </w:rPr>
        <w:t>’</w:t>
      </w:r>
      <w:r w:rsidRPr="005E1CFA">
        <w:rPr>
          <w:rStyle w:val="FootnoteReference"/>
          <w:rFonts w:eastAsia="Batang"/>
          <w:lang w:val="en-GB"/>
        </w:rPr>
        <w:footnoteReference w:id="8"/>
      </w:r>
      <w:r w:rsidRPr="005E1CFA">
        <w:rPr>
          <w:rFonts w:eastAsia="Batang"/>
          <w:lang w:val="en-GB"/>
        </w:rPr>
        <w:t xml:space="preserve"> is that meaningful conflict resolution requires time to establish and must be built on assurances of</w:t>
      </w:r>
      <w:r w:rsidR="001651FC" w:rsidRPr="005E1CFA">
        <w:rPr>
          <w:rFonts w:eastAsia="Batang"/>
          <w:lang w:val="en-GB"/>
        </w:rPr>
        <w:t xml:space="preserve"> </w:t>
      </w:r>
      <w:r w:rsidRPr="005E1CFA">
        <w:rPr>
          <w:rFonts w:eastAsia="Batang"/>
          <w:lang w:val="en-GB"/>
        </w:rPr>
        <w:t xml:space="preserve">mutual security and restored trust. UNDP supports these processes </w:t>
      </w:r>
      <w:r w:rsidR="001651FC" w:rsidRPr="005E1CFA">
        <w:rPr>
          <w:rFonts w:eastAsia="Batang"/>
          <w:lang w:val="en-GB"/>
        </w:rPr>
        <w:t>by facilitating</w:t>
      </w:r>
      <w:r w:rsidRPr="005E1CFA">
        <w:rPr>
          <w:rFonts w:eastAsia="Batang"/>
          <w:lang w:val="en-GB"/>
        </w:rPr>
        <w:t xml:space="preserve"> national dialogue and reconciliation processes, increas</w:t>
      </w:r>
      <w:r w:rsidR="001651FC" w:rsidRPr="005E1CFA">
        <w:rPr>
          <w:rFonts w:eastAsia="Batang"/>
          <w:lang w:val="en-GB"/>
        </w:rPr>
        <w:t>ing</w:t>
      </w:r>
      <w:r w:rsidRPr="005E1CFA">
        <w:rPr>
          <w:rFonts w:eastAsia="Batang"/>
          <w:lang w:val="en-GB"/>
        </w:rPr>
        <w:t xml:space="preserve"> community security, and improv</w:t>
      </w:r>
      <w:r w:rsidR="001651FC" w:rsidRPr="005E1CFA">
        <w:rPr>
          <w:rFonts w:eastAsia="Batang"/>
          <w:lang w:val="en-GB"/>
        </w:rPr>
        <w:t>ing</w:t>
      </w:r>
      <w:r w:rsidRPr="005E1CFA">
        <w:rPr>
          <w:rFonts w:eastAsia="Batang"/>
          <w:lang w:val="en-GB"/>
        </w:rPr>
        <w:t xml:space="preserve"> access to justice. </w:t>
      </w:r>
      <w:r w:rsidR="001651FC" w:rsidRPr="005E1CFA">
        <w:rPr>
          <w:rFonts w:eastAsia="Batang"/>
          <w:lang w:val="en-GB"/>
        </w:rPr>
        <w:t>S</w:t>
      </w:r>
      <w:r w:rsidRPr="005E1CFA">
        <w:rPr>
          <w:rFonts w:eastAsia="Batang"/>
          <w:lang w:val="en-GB"/>
        </w:rPr>
        <w:t xml:space="preserve">ufficient time </w:t>
      </w:r>
      <w:r w:rsidR="001651FC" w:rsidRPr="005E1CFA">
        <w:rPr>
          <w:rFonts w:eastAsia="Batang"/>
          <w:lang w:val="en-GB"/>
        </w:rPr>
        <w:t xml:space="preserve">must be provided </w:t>
      </w:r>
      <w:r w:rsidRPr="005E1CFA">
        <w:rPr>
          <w:rFonts w:eastAsia="Batang"/>
          <w:lang w:val="en-GB"/>
        </w:rPr>
        <w:t xml:space="preserve">for these programmatic responses to take hold </w:t>
      </w:r>
      <w:r w:rsidR="001651FC" w:rsidRPr="005E1CFA">
        <w:rPr>
          <w:rFonts w:eastAsia="Batang"/>
          <w:lang w:val="en-GB"/>
        </w:rPr>
        <w:t>so as</w:t>
      </w:r>
      <w:r w:rsidRPr="005E1CFA">
        <w:rPr>
          <w:rFonts w:eastAsia="Batang"/>
          <w:lang w:val="en-GB"/>
        </w:rPr>
        <w:t xml:space="preserve"> to avoid exacerbating tensions and reigniting the conflict</w:t>
      </w:r>
      <w:r w:rsidRPr="005E1CFA">
        <w:rPr>
          <w:lang w:val="en-GB"/>
        </w:rPr>
        <w:t xml:space="preserve">. </w:t>
      </w:r>
    </w:p>
    <w:p w14:paraId="22E86D5E" w14:textId="26B773AF" w:rsidR="00F62913" w:rsidRPr="005E1CFA" w:rsidRDefault="00F62913" w:rsidP="005003E4">
      <w:pPr>
        <w:pStyle w:val="ListParagraph"/>
        <w:numPr>
          <w:ilvl w:val="0"/>
          <w:numId w:val="3"/>
        </w:numPr>
        <w:spacing w:after="120"/>
        <w:ind w:left="360" w:right="1210" w:firstLine="0"/>
        <w:jc w:val="both"/>
        <w:rPr>
          <w:rFonts w:eastAsia="Batang"/>
          <w:lang w:val="en-GB"/>
        </w:rPr>
      </w:pPr>
      <w:r w:rsidRPr="005E1CFA">
        <w:rPr>
          <w:rFonts w:eastAsia="Batang"/>
          <w:lang w:val="en-GB"/>
        </w:rPr>
        <w:t>A common theme across many evaluations of UNDP recovery programmes was the degree to which development partners underestimated the state-building challenge in South Sudan, and ove</w:t>
      </w:r>
      <w:r w:rsidR="00ED0905">
        <w:rPr>
          <w:rFonts w:eastAsia="Batang"/>
          <w:lang w:val="en-GB"/>
        </w:rPr>
        <w:t>restimated the capacity of the G</w:t>
      </w:r>
      <w:r w:rsidRPr="005E1CFA">
        <w:rPr>
          <w:rFonts w:eastAsia="Batang"/>
          <w:lang w:val="en-GB"/>
        </w:rPr>
        <w:t>overnment and how soon it would be able to take on responsibility for service delivery</w:t>
      </w:r>
      <w:r w:rsidRPr="005E1CFA">
        <w:rPr>
          <w:rStyle w:val="FootnoteReference"/>
          <w:rFonts w:eastAsia="Batang"/>
          <w:lang w:val="en-GB"/>
        </w:rPr>
        <w:footnoteReference w:id="9"/>
      </w:r>
      <w:r w:rsidRPr="005E1CFA">
        <w:rPr>
          <w:rFonts w:eastAsia="Batang"/>
          <w:lang w:val="en-GB"/>
        </w:rPr>
        <w:t>. Another recurrent evaluation finding relate</w:t>
      </w:r>
      <w:r w:rsidR="001651FC" w:rsidRPr="005E1CFA">
        <w:rPr>
          <w:rFonts w:eastAsia="Batang"/>
          <w:lang w:val="en-GB"/>
        </w:rPr>
        <w:t>d</w:t>
      </w:r>
      <w:r w:rsidRPr="005E1CFA">
        <w:rPr>
          <w:rFonts w:eastAsia="Batang"/>
          <w:lang w:val="en-GB"/>
        </w:rPr>
        <w:t xml:space="preserve"> to a failure to fully </w:t>
      </w:r>
      <w:r w:rsidR="001651FC" w:rsidRPr="005E1CFA">
        <w:rPr>
          <w:rFonts w:eastAsia="Batang"/>
          <w:lang w:val="en-GB"/>
        </w:rPr>
        <w:t>consider</w:t>
      </w:r>
      <w:r w:rsidRPr="005E1CFA">
        <w:rPr>
          <w:rFonts w:eastAsia="Batang"/>
          <w:lang w:val="en-GB"/>
        </w:rPr>
        <w:t xml:space="preserve"> the trade-offs between rapid delivery to demonstrate ‘peace dividends’ and efforts to strengthen national ownership and capacity</w:t>
      </w:r>
      <w:r w:rsidRPr="005E1CFA">
        <w:rPr>
          <w:rStyle w:val="FootnoteReference"/>
          <w:rFonts w:eastAsia="Batang"/>
          <w:lang w:val="en-GB"/>
        </w:rPr>
        <w:footnoteReference w:id="10"/>
      </w:r>
      <w:r w:rsidRPr="005E1CFA">
        <w:rPr>
          <w:rFonts w:eastAsia="Batang"/>
          <w:lang w:val="en-GB"/>
        </w:rPr>
        <w:t>.</w:t>
      </w:r>
      <w:r w:rsidRPr="005E1CFA">
        <w:rPr>
          <w:color w:val="7A7A7A"/>
          <w:lang w:val="en-GB" w:eastAsia="en-GB"/>
        </w:rPr>
        <w:t xml:space="preserve"> </w:t>
      </w:r>
      <w:r w:rsidRPr="005E1CFA">
        <w:rPr>
          <w:rFonts w:eastAsia="Batang"/>
          <w:lang w:val="en-GB"/>
        </w:rPr>
        <w:t xml:space="preserve">Building on experience and lessons </w:t>
      </w:r>
      <w:r w:rsidR="00ED0905">
        <w:rPr>
          <w:rFonts w:eastAsia="Batang"/>
          <w:lang w:val="en-GB"/>
        </w:rPr>
        <w:t xml:space="preserve">learned </w:t>
      </w:r>
      <w:r w:rsidRPr="005E1CFA">
        <w:rPr>
          <w:rFonts w:eastAsia="Batang"/>
          <w:lang w:val="en-GB"/>
        </w:rPr>
        <w:t>from th</w:t>
      </w:r>
      <w:r w:rsidR="001651FC" w:rsidRPr="005E1CFA">
        <w:rPr>
          <w:rFonts w:eastAsia="Batang"/>
          <w:lang w:val="en-GB"/>
        </w:rPr>
        <w:t>o</w:t>
      </w:r>
      <w:r w:rsidRPr="005E1CFA">
        <w:rPr>
          <w:rFonts w:eastAsia="Batang"/>
          <w:lang w:val="en-GB"/>
        </w:rPr>
        <w:t xml:space="preserve">se programmes, UNDP sought </w:t>
      </w:r>
      <w:r w:rsidR="0074214A" w:rsidRPr="005E1CFA">
        <w:rPr>
          <w:rFonts w:eastAsia="Batang"/>
          <w:lang w:val="en-GB"/>
        </w:rPr>
        <w:t>to put state-building and peace</w:t>
      </w:r>
      <w:r w:rsidRPr="005E1CFA">
        <w:rPr>
          <w:rFonts w:eastAsia="Batang"/>
          <w:lang w:val="en-GB"/>
        </w:rPr>
        <w:t>building squarely at the forefront of transitional initiatives. It</w:t>
      </w:r>
      <w:r w:rsidR="001651FC" w:rsidRPr="005E1CFA">
        <w:rPr>
          <w:rFonts w:eastAsia="Batang"/>
          <w:lang w:val="en-GB"/>
        </w:rPr>
        <w:t>s</w:t>
      </w:r>
      <w:r w:rsidRPr="005E1CFA">
        <w:rPr>
          <w:rFonts w:eastAsia="Batang"/>
          <w:lang w:val="en-GB"/>
        </w:rPr>
        <w:t xml:space="preserve"> starting point </w:t>
      </w:r>
      <w:r w:rsidR="00ED0905">
        <w:rPr>
          <w:rFonts w:eastAsia="Batang"/>
          <w:lang w:val="en-GB"/>
        </w:rPr>
        <w:t>wa</w:t>
      </w:r>
      <w:r w:rsidR="001651FC" w:rsidRPr="005E1CFA">
        <w:rPr>
          <w:rFonts w:eastAsia="Batang"/>
          <w:lang w:val="en-GB"/>
        </w:rPr>
        <w:t xml:space="preserve">s </w:t>
      </w:r>
      <w:r w:rsidR="00ED0905">
        <w:rPr>
          <w:rFonts w:eastAsia="Batang"/>
          <w:lang w:val="en-GB"/>
        </w:rPr>
        <w:t>that the G</w:t>
      </w:r>
      <w:r w:rsidRPr="005E1CFA">
        <w:rPr>
          <w:rFonts w:eastAsia="Batang"/>
          <w:lang w:val="en-GB"/>
        </w:rPr>
        <w:t>overnment</w:t>
      </w:r>
      <w:r w:rsidR="00897F23" w:rsidRPr="005E1CFA">
        <w:rPr>
          <w:rFonts w:eastAsia="Batang"/>
          <w:lang w:val="en-GB"/>
        </w:rPr>
        <w:t xml:space="preserve"> should be seen to</w:t>
      </w:r>
      <w:r w:rsidRPr="005E1CFA">
        <w:rPr>
          <w:rFonts w:eastAsia="Batang"/>
          <w:lang w:val="en-GB"/>
        </w:rPr>
        <w:t xml:space="preserve"> understand and be responding to community needs </w:t>
      </w:r>
      <w:r w:rsidR="001651FC" w:rsidRPr="005E1CFA">
        <w:rPr>
          <w:rFonts w:eastAsia="Batang"/>
          <w:lang w:val="en-GB"/>
        </w:rPr>
        <w:t xml:space="preserve">concerning </w:t>
      </w:r>
      <w:r w:rsidRPr="005E1CFA">
        <w:rPr>
          <w:rFonts w:eastAsia="Batang"/>
          <w:lang w:val="en-GB"/>
        </w:rPr>
        <w:t xml:space="preserve">insecurity. </w:t>
      </w:r>
      <w:r w:rsidR="006521C9" w:rsidRPr="005E1CFA">
        <w:rPr>
          <w:rFonts w:eastAsia="Batang"/>
          <w:lang w:val="en-GB"/>
        </w:rPr>
        <w:t xml:space="preserve">Based on the results of community consultations, </w:t>
      </w:r>
      <w:r w:rsidRPr="005E1CFA">
        <w:rPr>
          <w:rFonts w:eastAsia="Batang"/>
          <w:lang w:val="en-GB"/>
        </w:rPr>
        <w:t>UNDP provided local governments with resources to implement projects t</w:t>
      </w:r>
      <w:r w:rsidR="00CA2B1B" w:rsidRPr="005E1CFA">
        <w:rPr>
          <w:rFonts w:eastAsia="Batang"/>
          <w:lang w:val="en-GB"/>
        </w:rPr>
        <w:t>hat</w:t>
      </w:r>
      <w:r w:rsidRPr="005E1CFA">
        <w:rPr>
          <w:rFonts w:eastAsia="Batang"/>
          <w:lang w:val="en-GB"/>
        </w:rPr>
        <w:t xml:space="preserve"> address</w:t>
      </w:r>
      <w:r w:rsidR="00CA2B1B" w:rsidRPr="005E1CFA">
        <w:rPr>
          <w:rFonts w:eastAsia="Batang"/>
          <w:lang w:val="en-GB"/>
        </w:rPr>
        <w:t>ed</w:t>
      </w:r>
      <w:r w:rsidRPr="005E1CFA">
        <w:rPr>
          <w:rFonts w:eastAsia="Batang"/>
          <w:lang w:val="en-GB"/>
        </w:rPr>
        <w:t xml:space="preserve"> </w:t>
      </w:r>
      <w:r w:rsidR="00CA2B1B" w:rsidRPr="005E1CFA">
        <w:rPr>
          <w:rFonts w:eastAsia="Batang"/>
          <w:lang w:val="en-GB"/>
        </w:rPr>
        <w:t xml:space="preserve">community-identified </w:t>
      </w:r>
      <w:r w:rsidRPr="005E1CFA">
        <w:rPr>
          <w:rFonts w:eastAsia="Batang"/>
          <w:lang w:val="en-GB"/>
        </w:rPr>
        <w:t>security priorities. An independent evaluation found advantages in this innovative approach</w:t>
      </w:r>
      <w:r w:rsidRPr="005E1CFA">
        <w:rPr>
          <w:rFonts w:eastAsia="Batang"/>
          <w:vertAlign w:val="superscript"/>
          <w:lang w:val="en-GB"/>
        </w:rPr>
        <w:footnoteReference w:id="11"/>
      </w:r>
      <w:r w:rsidRPr="005E1CFA">
        <w:rPr>
          <w:rFonts w:eastAsia="Batang"/>
          <w:lang w:val="en-GB"/>
        </w:rPr>
        <w:t>.</w:t>
      </w:r>
    </w:p>
    <w:p w14:paraId="49B86F23" w14:textId="6C50E7D7" w:rsidR="008412B3" w:rsidRPr="005E1CFA" w:rsidRDefault="008412B3" w:rsidP="005003E4">
      <w:pPr>
        <w:pStyle w:val="ListParagraph"/>
        <w:numPr>
          <w:ilvl w:val="0"/>
          <w:numId w:val="3"/>
        </w:numPr>
        <w:tabs>
          <w:tab w:val="left" w:pos="360"/>
        </w:tabs>
        <w:spacing w:after="120"/>
        <w:ind w:left="360" w:right="1210" w:firstLine="0"/>
        <w:jc w:val="both"/>
        <w:rPr>
          <w:rFonts w:eastAsia="Batang"/>
          <w:lang w:val="en-GB"/>
        </w:rPr>
      </w:pPr>
      <w:r w:rsidRPr="005E1CFA">
        <w:rPr>
          <w:rFonts w:eastAsia="Batang"/>
          <w:lang w:val="en-GB"/>
        </w:rPr>
        <w:t>UNDP learned key lessons relat</w:t>
      </w:r>
      <w:r w:rsidR="00CA2B1B" w:rsidRPr="005E1CFA">
        <w:rPr>
          <w:rFonts w:eastAsia="Batang"/>
          <w:lang w:val="en-GB"/>
        </w:rPr>
        <w:t>ed</w:t>
      </w:r>
      <w:r w:rsidRPr="005E1CFA">
        <w:rPr>
          <w:rFonts w:eastAsia="Batang"/>
          <w:lang w:val="en-GB"/>
        </w:rPr>
        <w:t xml:space="preserve"> to delivering programming in a conflict environment, which can limit the geographic access of programming and interrupt operations. In terms of </w:t>
      </w:r>
      <w:r w:rsidRPr="005E1CFA">
        <w:rPr>
          <w:rFonts w:eastAsia="Batang"/>
          <w:lang w:val="en-GB"/>
        </w:rPr>
        <w:lastRenderedPageBreak/>
        <w:t>programmatic approach, UNDP employs state-based interventions and</w:t>
      </w:r>
      <w:r w:rsidR="00547A10" w:rsidRPr="005E1CFA">
        <w:rPr>
          <w:rFonts w:eastAsia="Batang"/>
          <w:lang w:val="en-GB"/>
        </w:rPr>
        <w:t>,</w:t>
      </w:r>
      <w:r w:rsidRPr="005E1CFA">
        <w:rPr>
          <w:rFonts w:eastAsia="Batang"/>
          <w:lang w:val="en-GB"/>
        </w:rPr>
        <w:t xml:space="preserve"> through partnerships with civil society</w:t>
      </w:r>
      <w:r w:rsidR="00547A10" w:rsidRPr="005E1CFA">
        <w:rPr>
          <w:rFonts w:eastAsia="Batang"/>
          <w:lang w:val="en-GB"/>
        </w:rPr>
        <w:t>,</w:t>
      </w:r>
      <w:r w:rsidRPr="005E1CFA">
        <w:rPr>
          <w:rFonts w:eastAsia="Batang"/>
          <w:lang w:val="en-GB"/>
        </w:rPr>
        <w:t xml:space="preserve"> engage</w:t>
      </w:r>
      <w:r w:rsidR="00547A10" w:rsidRPr="005E1CFA">
        <w:rPr>
          <w:rFonts w:eastAsia="Batang"/>
          <w:lang w:val="en-GB"/>
        </w:rPr>
        <w:t>s</w:t>
      </w:r>
      <w:r w:rsidRPr="005E1CFA">
        <w:rPr>
          <w:rFonts w:eastAsia="Batang"/>
          <w:lang w:val="en-GB"/>
        </w:rPr>
        <w:t xml:space="preserve"> conflict-affected populations. Programming includes components to develop the capacit</w:t>
      </w:r>
      <w:r w:rsidR="002B5A2F" w:rsidRPr="005E1CFA">
        <w:rPr>
          <w:rFonts w:eastAsia="Batang"/>
          <w:lang w:val="en-GB"/>
        </w:rPr>
        <w:t>ies</w:t>
      </w:r>
      <w:r w:rsidRPr="005E1CFA">
        <w:rPr>
          <w:rFonts w:eastAsia="Batang"/>
          <w:lang w:val="en-GB"/>
        </w:rPr>
        <w:t xml:space="preserve"> of local partners to serve as </w:t>
      </w:r>
      <w:r w:rsidR="002B5A2F" w:rsidRPr="005E1CFA">
        <w:rPr>
          <w:rFonts w:eastAsia="Batang"/>
          <w:lang w:val="en-GB"/>
        </w:rPr>
        <w:t xml:space="preserve">mediators and </w:t>
      </w:r>
      <w:r w:rsidRPr="005E1CFA">
        <w:rPr>
          <w:rFonts w:eastAsia="Batang"/>
          <w:lang w:val="en-GB"/>
        </w:rPr>
        <w:t>service providers, contribut</w:t>
      </w:r>
      <w:r w:rsidR="002B5A2F" w:rsidRPr="005E1CFA">
        <w:rPr>
          <w:rFonts w:eastAsia="Batang"/>
          <w:lang w:val="en-GB"/>
        </w:rPr>
        <w:t>ing</w:t>
      </w:r>
      <w:r w:rsidRPr="005E1CFA">
        <w:rPr>
          <w:rFonts w:eastAsia="Batang"/>
          <w:lang w:val="en-GB"/>
        </w:rPr>
        <w:t xml:space="preserve"> to the sustainability of these skills within conflict-affected communities. Through these local partners, UNDP has continued working in the majority of states to </w:t>
      </w:r>
      <w:r w:rsidR="002B5A2F" w:rsidRPr="005E1CFA">
        <w:rPr>
          <w:rFonts w:eastAsia="Batang"/>
          <w:lang w:val="en-GB"/>
        </w:rPr>
        <w:t xml:space="preserve">increase </w:t>
      </w:r>
      <w:r w:rsidRPr="005E1CFA">
        <w:rPr>
          <w:rFonts w:eastAsia="Batang"/>
          <w:lang w:val="en-GB"/>
        </w:rPr>
        <w:t>community resilience and mitigate the impact of displacement.</w:t>
      </w:r>
    </w:p>
    <w:p w14:paraId="438C7033" w14:textId="50BDC139" w:rsidR="00F62913" w:rsidRPr="005E1CFA" w:rsidRDefault="00F62913" w:rsidP="005003E4">
      <w:pPr>
        <w:pStyle w:val="ListParagraph"/>
        <w:numPr>
          <w:ilvl w:val="0"/>
          <w:numId w:val="3"/>
        </w:numPr>
        <w:tabs>
          <w:tab w:val="left" w:pos="360"/>
        </w:tabs>
        <w:spacing w:after="120"/>
        <w:ind w:left="360" w:right="1210" w:firstLine="0"/>
        <w:jc w:val="both"/>
        <w:rPr>
          <w:rFonts w:eastAsia="Batang"/>
          <w:lang w:val="en-GB"/>
        </w:rPr>
      </w:pPr>
      <w:r w:rsidRPr="005E1CFA">
        <w:rPr>
          <w:rFonts w:eastAsia="Batang"/>
          <w:lang w:val="en-GB"/>
        </w:rPr>
        <w:t xml:space="preserve">On the operational side, it became evident that a robust field presence </w:t>
      </w:r>
      <w:r w:rsidR="002B5A2F" w:rsidRPr="005E1CFA">
        <w:rPr>
          <w:rFonts w:eastAsia="Batang"/>
          <w:lang w:val="en-GB"/>
        </w:rPr>
        <w:t>wa</w:t>
      </w:r>
      <w:r w:rsidRPr="005E1CFA">
        <w:rPr>
          <w:rFonts w:eastAsia="Batang"/>
          <w:lang w:val="en-GB"/>
        </w:rPr>
        <w:t>s critical to achiev</w:t>
      </w:r>
      <w:r w:rsidR="002B5A2F" w:rsidRPr="005E1CFA">
        <w:rPr>
          <w:rFonts w:eastAsia="Batang"/>
          <w:lang w:val="en-GB"/>
        </w:rPr>
        <w:t>ing</w:t>
      </w:r>
      <w:r w:rsidRPr="005E1CFA">
        <w:rPr>
          <w:rFonts w:eastAsia="Batang"/>
          <w:lang w:val="en-GB"/>
        </w:rPr>
        <w:t xml:space="preserve"> impact. It </w:t>
      </w:r>
      <w:r w:rsidR="002B5A2F" w:rsidRPr="005E1CFA">
        <w:rPr>
          <w:rFonts w:eastAsia="Batang"/>
          <w:lang w:val="en-GB"/>
        </w:rPr>
        <w:t>was</w:t>
      </w:r>
      <w:r w:rsidRPr="005E1CFA">
        <w:rPr>
          <w:rFonts w:eastAsia="Batang"/>
          <w:lang w:val="en-GB"/>
        </w:rPr>
        <w:t xml:space="preserve"> </w:t>
      </w:r>
      <w:r w:rsidR="002B5A2F" w:rsidRPr="005E1CFA">
        <w:rPr>
          <w:rFonts w:eastAsia="Batang"/>
          <w:lang w:val="en-GB"/>
        </w:rPr>
        <w:t xml:space="preserve">therefore </w:t>
      </w:r>
      <w:r w:rsidRPr="005E1CFA">
        <w:rPr>
          <w:rFonts w:eastAsia="Batang"/>
          <w:lang w:val="en-GB"/>
        </w:rPr>
        <w:t xml:space="preserve">essential for UNDP to </w:t>
      </w:r>
      <w:r w:rsidR="0074214A" w:rsidRPr="005E1CFA">
        <w:rPr>
          <w:rFonts w:eastAsia="Batang"/>
          <w:lang w:val="en-GB"/>
        </w:rPr>
        <w:t>partner</w:t>
      </w:r>
      <w:r w:rsidR="002B5A2F" w:rsidRPr="005E1CFA">
        <w:rPr>
          <w:rFonts w:eastAsia="Batang"/>
          <w:lang w:val="en-GB"/>
        </w:rPr>
        <w:t xml:space="preserve"> </w:t>
      </w:r>
      <w:r w:rsidRPr="005E1CFA">
        <w:rPr>
          <w:rFonts w:eastAsia="Batang"/>
          <w:lang w:val="en-GB"/>
        </w:rPr>
        <w:t xml:space="preserve">with UNMISS and other </w:t>
      </w:r>
      <w:r w:rsidR="002B5A2F" w:rsidRPr="005E1CFA">
        <w:rPr>
          <w:rFonts w:eastAsia="Batang"/>
          <w:lang w:val="en-GB"/>
        </w:rPr>
        <w:t>United Nations partners</w:t>
      </w:r>
      <w:r w:rsidRPr="005E1CFA">
        <w:rPr>
          <w:rFonts w:eastAsia="Batang"/>
          <w:lang w:val="en-GB"/>
        </w:rPr>
        <w:t xml:space="preserve"> to have a</w:t>
      </w:r>
      <w:r w:rsidR="002B5A2F" w:rsidRPr="005E1CFA">
        <w:rPr>
          <w:rFonts w:eastAsia="Batang"/>
          <w:lang w:val="en-GB"/>
        </w:rPr>
        <w:t xml:space="preserve"> secure,</w:t>
      </w:r>
      <w:r w:rsidRPr="005E1CFA">
        <w:rPr>
          <w:rFonts w:eastAsia="Batang"/>
          <w:lang w:val="en-GB"/>
        </w:rPr>
        <w:t xml:space="preserve"> affordable presence at the state level. To th</w:t>
      </w:r>
      <w:r w:rsidR="002B5A2F" w:rsidRPr="005E1CFA">
        <w:rPr>
          <w:rFonts w:eastAsia="Batang"/>
          <w:lang w:val="en-GB"/>
        </w:rPr>
        <w:t>at</w:t>
      </w:r>
      <w:r w:rsidRPr="005E1CFA">
        <w:rPr>
          <w:rFonts w:eastAsia="Batang"/>
          <w:lang w:val="en-GB"/>
        </w:rPr>
        <w:t xml:space="preserve"> end, UNDP negotiated </w:t>
      </w:r>
      <w:r w:rsidR="002B5A2F" w:rsidRPr="005E1CFA">
        <w:rPr>
          <w:rFonts w:eastAsia="Batang"/>
          <w:lang w:val="en-GB"/>
        </w:rPr>
        <w:t>m</w:t>
      </w:r>
      <w:r w:rsidRPr="005E1CFA">
        <w:rPr>
          <w:rFonts w:eastAsia="Batang"/>
          <w:lang w:val="en-GB"/>
        </w:rPr>
        <w:t xml:space="preserve">emoranda of </w:t>
      </w:r>
      <w:r w:rsidR="002B5A2F" w:rsidRPr="005E1CFA">
        <w:rPr>
          <w:rFonts w:eastAsia="Batang"/>
          <w:lang w:val="en-GB"/>
        </w:rPr>
        <w:t>u</w:t>
      </w:r>
      <w:r w:rsidRPr="005E1CFA">
        <w:rPr>
          <w:rFonts w:eastAsia="Batang"/>
          <w:lang w:val="en-GB"/>
        </w:rPr>
        <w:t xml:space="preserve">nderstanding with UNMISS based on cost-recovery to maintain a presence in </w:t>
      </w:r>
      <w:r w:rsidR="00865639" w:rsidRPr="005E1CFA">
        <w:rPr>
          <w:rFonts w:eastAsia="Batang"/>
          <w:lang w:val="en-GB"/>
        </w:rPr>
        <w:t xml:space="preserve">key </w:t>
      </w:r>
      <w:r w:rsidRPr="005E1CFA">
        <w:rPr>
          <w:rFonts w:eastAsia="Batang"/>
          <w:lang w:val="en-GB"/>
        </w:rPr>
        <w:t>states</w:t>
      </w:r>
      <w:r w:rsidR="002C6323" w:rsidRPr="005E1CFA">
        <w:rPr>
          <w:rFonts w:eastAsia="Batang"/>
          <w:lang w:val="en-GB"/>
        </w:rPr>
        <w:t>,</w:t>
      </w:r>
      <w:r w:rsidR="00865639" w:rsidRPr="005E1CFA">
        <w:rPr>
          <w:rFonts w:eastAsia="Batang"/>
          <w:lang w:val="en-GB"/>
        </w:rPr>
        <w:t xml:space="preserve"> with a provision to return to conflict-affected states</w:t>
      </w:r>
      <w:r w:rsidRPr="005E1CFA">
        <w:rPr>
          <w:rFonts w:eastAsia="Batang"/>
          <w:lang w:val="en-GB"/>
        </w:rPr>
        <w:t xml:space="preserve"> as soon as the security situation allows. </w:t>
      </w:r>
    </w:p>
    <w:p w14:paraId="7DB9303C" w14:textId="1DAB21D5" w:rsidR="00FC2852" w:rsidRPr="005E1CFA" w:rsidRDefault="002C6323" w:rsidP="005003E4">
      <w:pPr>
        <w:pStyle w:val="ListParagraph"/>
        <w:numPr>
          <w:ilvl w:val="0"/>
          <w:numId w:val="3"/>
        </w:numPr>
        <w:tabs>
          <w:tab w:val="left" w:pos="360"/>
        </w:tabs>
        <w:spacing w:after="120"/>
        <w:ind w:left="360" w:right="1210" w:firstLine="0"/>
        <w:jc w:val="both"/>
        <w:rPr>
          <w:rFonts w:eastAsia="Batang"/>
          <w:lang w:val="en-GB"/>
        </w:rPr>
      </w:pPr>
      <w:r w:rsidRPr="005E1CFA">
        <w:rPr>
          <w:rFonts w:eastAsia="Batang"/>
          <w:lang w:val="en-GB"/>
        </w:rPr>
        <w:t>On</w:t>
      </w:r>
      <w:r w:rsidR="00FC2852" w:rsidRPr="005E1CFA">
        <w:rPr>
          <w:rFonts w:eastAsia="Batang"/>
          <w:lang w:val="en-GB"/>
        </w:rPr>
        <w:t xml:space="preserve"> partnerships, key lessons learned include</w:t>
      </w:r>
      <w:r w:rsidRPr="005E1CFA">
        <w:rPr>
          <w:rFonts w:eastAsia="Batang"/>
          <w:lang w:val="en-GB"/>
        </w:rPr>
        <w:t>d</w:t>
      </w:r>
      <w:r w:rsidR="00FC2852" w:rsidRPr="005E1CFA">
        <w:rPr>
          <w:rFonts w:eastAsia="Batang"/>
          <w:lang w:val="en-GB"/>
        </w:rPr>
        <w:t xml:space="preserve"> the importance of understanding the political context and funding priorities in donor countries, and remaining flexible to respond strategically as the political situation develops.</w:t>
      </w:r>
    </w:p>
    <w:p w14:paraId="447C7A96" w14:textId="26E277F2" w:rsidR="00175454" w:rsidRPr="005E1CFA" w:rsidRDefault="002C6323" w:rsidP="005003E4">
      <w:pPr>
        <w:pStyle w:val="ListParagraph"/>
        <w:numPr>
          <w:ilvl w:val="0"/>
          <w:numId w:val="3"/>
        </w:numPr>
        <w:spacing w:after="120"/>
        <w:ind w:left="360" w:right="1210" w:firstLine="0"/>
        <w:jc w:val="both"/>
        <w:rPr>
          <w:lang w:val="en-GB"/>
        </w:rPr>
      </w:pPr>
      <w:r w:rsidRPr="005E1CFA">
        <w:rPr>
          <w:lang w:val="en-GB"/>
        </w:rPr>
        <w:t>L</w:t>
      </w:r>
      <w:r w:rsidR="00C56A9E" w:rsidRPr="005E1CFA">
        <w:rPr>
          <w:lang w:val="en-GB"/>
        </w:rPr>
        <w:t xml:space="preserve">ow resilience to external shocks, </w:t>
      </w:r>
      <w:r w:rsidR="00BF0718" w:rsidRPr="005E1CFA">
        <w:rPr>
          <w:rFonts w:eastAsia="Batang"/>
          <w:lang w:val="en-GB"/>
        </w:rPr>
        <w:t>internal</w:t>
      </w:r>
      <w:r w:rsidR="00BF0718" w:rsidRPr="005E1CFA">
        <w:rPr>
          <w:lang w:val="en-GB"/>
        </w:rPr>
        <w:t xml:space="preserve"> political s</w:t>
      </w:r>
      <w:r w:rsidR="00E54869" w:rsidRPr="005E1CFA">
        <w:rPr>
          <w:lang w:val="en-GB"/>
        </w:rPr>
        <w:t>truggle</w:t>
      </w:r>
      <w:r w:rsidRPr="005E1CFA">
        <w:rPr>
          <w:lang w:val="en-GB"/>
        </w:rPr>
        <w:t>s</w:t>
      </w:r>
      <w:r w:rsidR="00E54869" w:rsidRPr="005E1CFA">
        <w:rPr>
          <w:lang w:val="en-GB"/>
        </w:rPr>
        <w:t xml:space="preserve"> over power and resource</w:t>
      </w:r>
      <w:r w:rsidR="00547A10" w:rsidRPr="005E1CFA">
        <w:rPr>
          <w:lang w:val="en-GB"/>
        </w:rPr>
        <w:t>s,</w:t>
      </w:r>
      <w:r w:rsidR="00BF0718" w:rsidRPr="005E1CFA">
        <w:rPr>
          <w:lang w:val="en-GB"/>
        </w:rPr>
        <w:t xml:space="preserve"> weak governance structures and corruptio</w:t>
      </w:r>
      <w:r w:rsidR="00E54869" w:rsidRPr="005E1CFA">
        <w:rPr>
          <w:lang w:val="en-GB"/>
        </w:rPr>
        <w:t>n</w:t>
      </w:r>
      <w:r w:rsidR="00ED0905">
        <w:rPr>
          <w:lang w:val="en-GB"/>
        </w:rPr>
        <w:t xml:space="preserve"> we</w:t>
      </w:r>
      <w:r w:rsidR="00BF0718" w:rsidRPr="005E1CFA">
        <w:rPr>
          <w:lang w:val="en-GB"/>
        </w:rPr>
        <w:t xml:space="preserve">re the main </w:t>
      </w:r>
      <w:r w:rsidR="006521C9" w:rsidRPr="005E1CFA">
        <w:rPr>
          <w:lang w:val="en-GB"/>
        </w:rPr>
        <w:t xml:space="preserve">structural </w:t>
      </w:r>
      <w:r w:rsidR="00BF0718" w:rsidRPr="005E1CFA">
        <w:rPr>
          <w:lang w:val="en-GB"/>
        </w:rPr>
        <w:t xml:space="preserve">causes </w:t>
      </w:r>
      <w:r w:rsidR="00814B92" w:rsidRPr="005E1CFA">
        <w:rPr>
          <w:lang w:val="en-GB"/>
        </w:rPr>
        <w:t>of</w:t>
      </w:r>
      <w:r w:rsidR="00BF0718" w:rsidRPr="005E1CFA">
        <w:rPr>
          <w:lang w:val="en-GB"/>
        </w:rPr>
        <w:t xml:space="preserve"> </w:t>
      </w:r>
      <w:r w:rsidR="00ED0905">
        <w:rPr>
          <w:lang w:val="en-GB"/>
        </w:rPr>
        <w:t>the</w:t>
      </w:r>
      <w:r w:rsidR="00814B92" w:rsidRPr="005E1CFA">
        <w:rPr>
          <w:lang w:val="en-GB"/>
        </w:rPr>
        <w:t xml:space="preserve"> </w:t>
      </w:r>
      <w:r w:rsidR="00BF0718" w:rsidRPr="005E1CFA">
        <w:rPr>
          <w:lang w:val="en-GB"/>
        </w:rPr>
        <w:t>crisis</w:t>
      </w:r>
      <w:r w:rsidR="00814B92" w:rsidRPr="005E1CFA">
        <w:rPr>
          <w:lang w:val="en-GB"/>
        </w:rPr>
        <w:t>.</w:t>
      </w:r>
      <w:r w:rsidR="00BF0718" w:rsidRPr="005E1CFA">
        <w:rPr>
          <w:lang w:val="en-GB"/>
        </w:rPr>
        <w:t xml:space="preserve"> </w:t>
      </w:r>
      <w:r w:rsidR="00814B92" w:rsidRPr="005E1CFA">
        <w:rPr>
          <w:lang w:val="en-GB"/>
        </w:rPr>
        <w:t xml:space="preserve">The </w:t>
      </w:r>
      <w:r w:rsidR="00607833" w:rsidRPr="005E1CFA">
        <w:rPr>
          <w:lang w:val="en-GB"/>
        </w:rPr>
        <w:t>conflict and its devastating effects on the economy and the population</w:t>
      </w:r>
      <w:r w:rsidR="00814B92" w:rsidRPr="005E1CFA">
        <w:rPr>
          <w:lang w:val="en-GB"/>
        </w:rPr>
        <w:t xml:space="preserve"> a</w:t>
      </w:r>
      <w:r w:rsidR="00607833" w:rsidRPr="005E1CFA">
        <w:rPr>
          <w:lang w:val="en-GB"/>
        </w:rPr>
        <w:t>re direct</w:t>
      </w:r>
      <w:r w:rsidR="00814B92" w:rsidRPr="005E1CFA">
        <w:rPr>
          <w:lang w:val="en-GB"/>
        </w:rPr>
        <w:t xml:space="preserve"> manifestations</w:t>
      </w:r>
      <w:r w:rsidR="00ED0905">
        <w:rPr>
          <w:lang w:val="en-GB"/>
        </w:rPr>
        <w:t xml:space="preserve"> of tho</w:t>
      </w:r>
      <w:r w:rsidR="00607833" w:rsidRPr="005E1CFA">
        <w:rPr>
          <w:lang w:val="en-GB"/>
        </w:rPr>
        <w:t xml:space="preserve">se </w:t>
      </w:r>
      <w:r w:rsidR="005332D7" w:rsidRPr="005E1CFA">
        <w:rPr>
          <w:lang w:val="en-GB"/>
        </w:rPr>
        <w:t>causes</w:t>
      </w:r>
      <w:r w:rsidR="003046F5" w:rsidRPr="005E1CFA">
        <w:rPr>
          <w:lang w:val="en-GB"/>
        </w:rPr>
        <w:t xml:space="preserve">. </w:t>
      </w:r>
      <w:r w:rsidR="00ED0905">
        <w:rPr>
          <w:lang w:val="en-GB"/>
        </w:rPr>
        <w:t>That</w:t>
      </w:r>
      <w:r w:rsidR="00AA6AF3" w:rsidRPr="005E1CFA">
        <w:rPr>
          <w:lang w:val="en-GB"/>
        </w:rPr>
        <w:t xml:space="preserve"> analysis</w:t>
      </w:r>
      <w:r w:rsidRPr="005E1CFA">
        <w:rPr>
          <w:lang w:val="en-GB"/>
        </w:rPr>
        <w:t>,</w:t>
      </w:r>
      <w:r w:rsidR="00AA6AF3" w:rsidRPr="005E1CFA">
        <w:rPr>
          <w:lang w:val="en-GB"/>
        </w:rPr>
        <w:t xml:space="preserve"> </w:t>
      </w:r>
      <w:r w:rsidR="00814B92" w:rsidRPr="005E1CFA">
        <w:rPr>
          <w:lang w:val="en-GB"/>
        </w:rPr>
        <w:t>supported by the lessons learned</w:t>
      </w:r>
      <w:r w:rsidRPr="005E1CFA">
        <w:rPr>
          <w:lang w:val="en-GB"/>
        </w:rPr>
        <w:t>,</w:t>
      </w:r>
      <w:r w:rsidR="00814B92" w:rsidRPr="005E1CFA">
        <w:rPr>
          <w:lang w:val="en-GB"/>
        </w:rPr>
        <w:t xml:space="preserve"> </w:t>
      </w:r>
      <w:r w:rsidRPr="005E1CFA">
        <w:rPr>
          <w:lang w:val="en-GB"/>
        </w:rPr>
        <w:t xml:space="preserve">opens </w:t>
      </w:r>
      <w:r w:rsidR="003F6D76" w:rsidRPr="005E1CFA">
        <w:rPr>
          <w:lang w:val="en-GB"/>
        </w:rPr>
        <w:t xml:space="preserve">two viable pathways that </w:t>
      </w:r>
      <w:r w:rsidR="00DF31D2" w:rsidRPr="005E1CFA">
        <w:rPr>
          <w:lang w:val="en-GB"/>
        </w:rPr>
        <w:t xml:space="preserve">UNDP </w:t>
      </w:r>
      <w:r w:rsidR="003E5F27" w:rsidRPr="005E1CFA">
        <w:rPr>
          <w:lang w:val="en-GB"/>
        </w:rPr>
        <w:t xml:space="preserve">could pursue to </w:t>
      </w:r>
      <w:r w:rsidR="000B5945" w:rsidRPr="005E1CFA">
        <w:rPr>
          <w:lang w:val="en-GB"/>
        </w:rPr>
        <w:t>e</w:t>
      </w:r>
      <w:r w:rsidR="003F6D76" w:rsidRPr="005E1CFA">
        <w:rPr>
          <w:lang w:val="en-GB"/>
        </w:rPr>
        <w:t>ffect positive change</w:t>
      </w:r>
      <w:r w:rsidR="00F33CFA" w:rsidRPr="005E1CFA">
        <w:rPr>
          <w:lang w:val="en-GB"/>
        </w:rPr>
        <w:t xml:space="preserve"> in its areas of comparative advantage</w:t>
      </w:r>
      <w:r w:rsidR="003F6D76" w:rsidRPr="005E1CFA">
        <w:rPr>
          <w:lang w:val="en-GB"/>
        </w:rPr>
        <w:t xml:space="preserve">. First, </w:t>
      </w:r>
      <w:r w:rsidR="00E54869" w:rsidRPr="005E1CFA">
        <w:rPr>
          <w:lang w:val="en-GB"/>
        </w:rPr>
        <w:t xml:space="preserve">the </w:t>
      </w:r>
      <w:r w:rsidRPr="005E1CFA">
        <w:rPr>
          <w:lang w:val="en-GB"/>
        </w:rPr>
        <w:t xml:space="preserve">uncertainty and volatility of the </w:t>
      </w:r>
      <w:r w:rsidR="00E54869" w:rsidRPr="005E1CFA">
        <w:rPr>
          <w:lang w:val="en-GB"/>
        </w:rPr>
        <w:t>current situation suggests that UNDP should prioritize build</w:t>
      </w:r>
      <w:r w:rsidRPr="005E1CFA">
        <w:rPr>
          <w:lang w:val="en-GB"/>
        </w:rPr>
        <w:t>ing</w:t>
      </w:r>
      <w:r w:rsidR="00E54869" w:rsidRPr="005E1CFA">
        <w:rPr>
          <w:lang w:val="en-GB"/>
        </w:rPr>
        <w:t xml:space="preserve"> local</w:t>
      </w:r>
      <w:r w:rsidRPr="005E1CFA">
        <w:rPr>
          <w:lang w:val="en-GB"/>
        </w:rPr>
        <w:t>-</w:t>
      </w:r>
      <w:r w:rsidR="00E54869" w:rsidRPr="005E1CFA">
        <w:rPr>
          <w:lang w:val="en-GB"/>
        </w:rPr>
        <w:t>level resilience to protect and improve the development status of the population</w:t>
      </w:r>
      <w:r w:rsidRPr="005E1CFA">
        <w:rPr>
          <w:lang w:val="en-GB"/>
        </w:rPr>
        <w:t>,</w:t>
      </w:r>
      <w:r w:rsidR="00E54869" w:rsidRPr="005E1CFA">
        <w:rPr>
          <w:lang w:val="en-GB"/>
        </w:rPr>
        <w:t xml:space="preserve"> complementing the ongoing humanitarian response. This include</w:t>
      </w:r>
      <w:r w:rsidR="00547A10" w:rsidRPr="005E1CFA">
        <w:rPr>
          <w:lang w:val="en-GB"/>
        </w:rPr>
        <w:t>s</w:t>
      </w:r>
      <w:r w:rsidR="00E54869" w:rsidRPr="005E1CFA">
        <w:rPr>
          <w:lang w:val="en-GB"/>
        </w:rPr>
        <w:t xml:space="preserve"> restoration of community livelihoods for socio-economic recovery, disaster risk reduction</w:t>
      </w:r>
      <w:r w:rsidR="00547A10" w:rsidRPr="005E1CFA">
        <w:rPr>
          <w:lang w:val="en-GB"/>
        </w:rPr>
        <w:t xml:space="preserve">, </w:t>
      </w:r>
      <w:r w:rsidRPr="005E1CFA">
        <w:rPr>
          <w:lang w:val="en-GB"/>
        </w:rPr>
        <w:t xml:space="preserve">and </w:t>
      </w:r>
      <w:r w:rsidR="00547A10" w:rsidRPr="005E1CFA">
        <w:rPr>
          <w:lang w:val="en-GB"/>
        </w:rPr>
        <w:t>raising</w:t>
      </w:r>
      <w:r w:rsidR="00E54869" w:rsidRPr="005E1CFA">
        <w:rPr>
          <w:lang w:val="en-GB"/>
        </w:rPr>
        <w:t xml:space="preserve"> social cohesion in areas where stabilization is possible, </w:t>
      </w:r>
      <w:r w:rsidR="00547A10" w:rsidRPr="005E1CFA">
        <w:rPr>
          <w:lang w:val="en-GB"/>
        </w:rPr>
        <w:t xml:space="preserve">as well as </w:t>
      </w:r>
      <w:r w:rsidR="00E54869" w:rsidRPr="005E1CFA">
        <w:rPr>
          <w:lang w:val="en-GB"/>
        </w:rPr>
        <w:t>mitigating and reducing displacement emanating from insecurity</w:t>
      </w:r>
      <w:r w:rsidRPr="005E1CFA">
        <w:rPr>
          <w:lang w:val="en-GB"/>
        </w:rPr>
        <w:t xml:space="preserve"> and </w:t>
      </w:r>
      <w:r w:rsidR="00E54869" w:rsidRPr="005E1CFA">
        <w:rPr>
          <w:lang w:val="en-GB"/>
        </w:rPr>
        <w:t xml:space="preserve">lack of services </w:t>
      </w:r>
      <w:r w:rsidRPr="005E1CFA">
        <w:rPr>
          <w:lang w:val="en-GB"/>
        </w:rPr>
        <w:t xml:space="preserve">or </w:t>
      </w:r>
      <w:r w:rsidR="00E54869" w:rsidRPr="005E1CFA">
        <w:rPr>
          <w:lang w:val="en-GB"/>
        </w:rPr>
        <w:t xml:space="preserve">economic opportunities. </w:t>
      </w:r>
      <w:r w:rsidR="00F14D38" w:rsidRPr="005E1CFA">
        <w:rPr>
          <w:lang w:val="en-GB"/>
        </w:rPr>
        <w:t xml:space="preserve">Second, </w:t>
      </w:r>
      <w:r w:rsidR="00E54869" w:rsidRPr="005E1CFA">
        <w:rPr>
          <w:lang w:val="en-GB"/>
        </w:rPr>
        <w:t>UNDP will foster enabling conditions for peace, security and stability to achieve longer</w:t>
      </w:r>
      <w:r w:rsidRPr="005E1CFA">
        <w:rPr>
          <w:lang w:val="en-GB"/>
        </w:rPr>
        <w:t>-</w:t>
      </w:r>
      <w:r w:rsidR="00E54869" w:rsidRPr="005E1CFA">
        <w:rPr>
          <w:lang w:val="en-GB"/>
        </w:rPr>
        <w:t xml:space="preserve">term progress by helping the State rebuild greater legitimacy, inclusion, transparency and accountability in partnership with UNMISS and </w:t>
      </w:r>
      <w:r w:rsidRPr="005E1CFA">
        <w:rPr>
          <w:lang w:val="en-GB"/>
        </w:rPr>
        <w:t>other United Nations partners</w:t>
      </w:r>
      <w:r w:rsidR="00E54869" w:rsidRPr="005E1CFA">
        <w:rPr>
          <w:lang w:val="en-GB"/>
        </w:rPr>
        <w:t>. Th</w:t>
      </w:r>
      <w:r w:rsidRPr="005E1CFA">
        <w:rPr>
          <w:lang w:val="en-GB"/>
        </w:rPr>
        <w:t>is</w:t>
      </w:r>
      <w:r w:rsidR="00E54869" w:rsidRPr="005E1CFA">
        <w:rPr>
          <w:lang w:val="en-GB"/>
        </w:rPr>
        <w:t xml:space="preserve"> will be </w:t>
      </w:r>
      <w:r w:rsidRPr="005E1CFA">
        <w:rPr>
          <w:lang w:val="en-GB"/>
        </w:rPr>
        <w:t xml:space="preserve">achieved </w:t>
      </w:r>
      <w:r w:rsidR="00E54869" w:rsidRPr="005E1CFA">
        <w:rPr>
          <w:lang w:val="en-GB"/>
        </w:rPr>
        <w:t>through support to constitution</w:t>
      </w:r>
      <w:r w:rsidRPr="005E1CFA">
        <w:rPr>
          <w:lang w:val="en-GB"/>
        </w:rPr>
        <w:t>-</w:t>
      </w:r>
      <w:r w:rsidR="00E54869" w:rsidRPr="005E1CFA">
        <w:rPr>
          <w:lang w:val="en-GB"/>
        </w:rPr>
        <w:t>making and</w:t>
      </w:r>
      <w:r w:rsidR="002D56BC" w:rsidRPr="005E1CFA">
        <w:rPr>
          <w:lang w:val="en-GB"/>
        </w:rPr>
        <w:t xml:space="preserve"> the electoral</w:t>
      </w:r>
      <w:r w:rsidR="00E54869" w:rsidRPr="005E1CFA">
        <w:rPr>
          <w:lang w:val="en-GB"/>
        </w:rPr>
        <w:t xml:space="preserve"> processes, drafting of relevant legislation</w:t>
      </w:r>
      <w:r w:rsidRPr="005E1CFA">
        <w:rPr>
          <w:lang w:val="en-GB"/>
        </w:rPr>
        <w:t>,</w:t>
      </w:r>
      <w:r w:rsidR="00E54869" w:rsidRPr="005E1CFA">
        <w:rPr>
          <w:lang w:val="en-GB"/>
        </w:rPr>
        <w:t xml:space="preserve"> and capacity</w:t>
      </w:r>
      <w:r w:rsidRPr="005E1CFA">
        <w:rPr>
          <w:lang w:val="en-GB"/>
        </w:rPr>
        <w:t>-</w:t>
      </w:r>
      <w:r w:rsidR="00E54869" w:rsidRPr="005E1CFA">
        <w:rPr>
          <w:lang w:val="en-GB"/>
        </w:rPr>
        <w:t>building of rule</w:t>
      </w:r>
      <w:r w:rsidRPr="005E1CFA">
        <w:rPr>
          <w:lang w:val="en-GB"/>
        </w:rPr>
        <w:t>-</w:t>
      </w:r>
      <w:r w:rsidR="00E54869" w:rsidRPr="005E1CFA">
        <w:rPr>
          <w:lang w:val="en-GB"/>
        </w:rPr>
        <w:t>of</w:t>
      </w:r>
      <w:r w:rsidRPr="005E1CFA">
        <w:rPr>
          <w:lang w:val="en-GB"/>
        </w:rPr>
        <w:t>-</w:t>
      </w:r>
      <w:r w:rsidR="00E54869" w:rsidRPr="005E1CFA">
        <w:rPr>
          <w:lang w:val="en-GB"/>
        </w:rPr>
        <w:t>law</w:t>
      </w:r>
      <w:r w:rsidR="00530AA8" w:rsidRPr="005E1CFA">
        <w:rPr>
          <w:lang w:val="en-GB"/>
        </w:rPr>
        <w:t xml:space="preserve"> </w:t>
      </w:r>
      <w:r w:rsidR="00E54869" w:rsidRPr="005E1CFA">
        <w:rPr>
          <w:lang w:val="en-GB"/>
        </w:rPr>
        <w:t>institutions</w:t>
      </w:r>
      <w:r w:rsidR="00530AA8" w:rsidRPr="005E1CFA">
        <w:rPr>
          <w:lang w:val="en-GB"/>
        </w:rPr>
        <w:t xml:space="preserve"> and infrastructure for peace</w:t>
      </w:r>
      <w:r w:rsidR="00E54869" w:rsidRPr="005E1CFA">
        <w:rPr>
          <w:lang w:val="en-GB"/>
        </w:rPr>
        <w:t>.</w:t>
      </w:r>
    </w:p>
    <w:p w14:paraId="7827DFE4" w14:textId="58FD8A2D" w:rsidR="00402596" w:rsidRPr="005E1CFA" w:rsidRDefault="00175454" w:rsidP="009E7545">
      <w:pPr>
        <w:pStyle w:val="ListParagraph"/>
        <w:numPr>
          <w:ilvl w:val="0"/>
          <w:numId w:val="3"/>
        </w:numPr>
        <w:ind w:left="360" w:right="1210" w:firstLine="0"/>
        <w:jc w:val="both"/>
        <w:rPr>
          <w:lang w:val="en-GB"/>
        </w:rPr>
      </w:pPr>
      <w:r w:rsidRPr="005E1CFA">
        <w:rPr>
          <w:lang w:val="en-GB"/>
        </w:rPr>
        <w:t>UNDP will</w:t>
      </w:r>
      <w:r w:rsidR="005257BC" w:rsidRPr="005E1CFA">
        <w:rPr>
          <w:lang w:val="en-GB"/>
        </w:rPr>
        <w:t xml:space="preserve"> </w:t>
      </w:r>
      <w:r w:rsidR="00547A10" w:rsidRPr="005E1CFA">
        <w:rPr>
          <w:lang w:val="en-GB"/>
        </w:rPr>
        <w:t>emphasi</w:t>
      </w:r>
      <w:r w:rsidR="002C6323" w:rsidRPr="005E1CFA">
        <w:rPr>
          <w:lang w:val="en-GB"/>
        </w:rPr>
        <w:t>ze</w:t>
      </w:r>
      <w:r w:rsidR="00547A10" w:rsidRPr="005E1CFA">
        <w:rPr>
          <w:lang w:val="en-GB"/>
        </w:rPr>
        <w:t xml:space="preserve"> </w:t>
      </w:r>
      <w:r w:rsidR="005257BC" w:rsidRPr="005E1CFA">
        <w:rPr>
          <w:lang w:val="en-GB"/>
        </w:rPr>
        <w:t>target</w:t>
      </w:r>
      <w:r w:rsidR="00547A10" w:rsidRPr="005E1CFA">
        <w:rPr>
          <w:lang w:val="en-GB"/>
        </w:rPr>
        <w:t>ing</w:t>
      </w:r>
      <w:r w:rsidR="005257BC" w:rsidRPr="005E1CFA">
        <w:rPr>
          <w:lang w:val="en-GB"/>
        </w:rPr>
        <w:t xml:space="preserve"> </w:t>
      </w:r>
      <w:r w:rsidR="00996824" w:rsidRPr="005E1CFA">
        <w:rPr>
          <w:lang w:val="en-GB"/>
        </w:rPr>
        <w:t xml:space="preserve">youth and women in </w:t>
      </w:r>
      <w:r w:rsidR="00690AC1" w:rsidRPr="005E1CFA">
        <w:rPr>
          <w:rFonts w:eastAsia="Batang"/>
          <w:lang w:val="en-GB"/>
        </w:rPr>
        <w:t>internally displaced persons</w:t>
      </w:r>
      <w:r w:rsidR="00EB1091" w:rsidRPr="005E1CFA">
        <w:rPr>
          <w:rFonts w:eastAsia="Batang"/>
          <w:lang w:val="en-GB"/>
        </w:rPr>
        <w:t>’ areas</w:t>
      </w:r>
      <w:r w:rsidR="00996824" w:rsidRPr="005E1CFA">
        <w:rPr>
          <w:lang w:val="en-GB"/>
        </w:rPr>
        <w:t xml:space="preserve"> and host communities</w:t>
      </w:r>
      <w:r w:rsidR="00531244" w:rsidRPr="005E1CFA">
        <w:rPr>
          <w:lang w:val="en-GB"/>
        </w:rPr>
        <w:t>,</w:t>
      </w:r>
      <w:r w:rsidR="00996824" w:rsidRPr="005E1CFA">
        <w:rPr>
          <w:lang w:val="en-GB"/>
        </w:rPr>
        <w:t xml:space="preserve"> </w:t>
      </w:r>
      <w:r w:rsidR="00531244" w:rsidRPr="005E1CFA">
        <w:rPr>
          <w:lang w:val="en-GB"/>
        </w:rPr>
        <w:t>and</w:t>
      </w:r>
      <w:r w:rsidRPr="005E1CFA">
        <w:rPr>
          <w:lang w:val="en-GB"/>
        </w:rPr>
        <w:t xml:space="preserve"> </w:t>
      </w:r>
      <w:r w:rsidR="00B557FA" w:rsidRPr="005E1CFA">
        <w:rPr>
          <w:lang w:val="en-GB"/>
        </w:rPr>
        <w:t xml:space="preserve">in </w:t>
      </w:r>
      <w:r w:rsidR="005257BC" w:rsidRPr="005E1CFA">
        <w:rPr>
          <w:lang w:val="en-GB"/>
        </w:rPr>
        <w:t>conflict-affected areas</w:t>
      </w:r>
      <w:r w:rsidR="00EB1091" w:rsidRPr="005E1CFA">
        <w:rPr>
          <w:lang w:val="en-GB"/>
        </w:rPr>
        <w:t>,</w:t>
      </w:r>
      <w:r w:rsidR="00943C4B" w:rsidRPr="005E1CFA">
        <w:rPr>
          <w:rStyle w:val="FootnoteReference"/>
          <w:lang w:val="en-GB"/>
        </w:rPr>
        <w:footnoteReference w:id="12"/>
      </w:r>
      <w:r w:rsidR="005257BC" w:rsidRPr="005E1CFA">
        <w:rPr>
          <w:lang w:val="en-GB"/>
        </w:rPr>
        <w:t xml:space="preserve"> provid</w:t>
      </w:r>
      <w:r w:rsidR="00EB1091" w:rsidRPr="005E1CFA">
        <w:rPr>
          <w:lang w:val="en-GB"/>
        </w:rPr>
        <w:t>ing</w:t>
      </w:r>
      <w:r w:rsidR="005257BC" w:rsidRPr="005E1CFA">
        <w:rPr>
          <w:lang w:val="en-GB"/>
        </w:rPr>
        <w:t xml:space="preserve"> a</w:t>
      </w:r>
      <w:r w:rsidR="00897F23" w:rsidRPr="005E1CFA">
        <w:rPr>
          <w:lang w:val="en-GB"/>
        </w:rPr>
        <w:t xml:space="preserve"> durable solution</w:t>
      </w:r>
      <w:r w:rsidR="00996824" w:rsidRPr="005E1CFA">
        <w:rPr>
          <w:lang w:val="en-GB"/>
        </w:rPr>
        <w:t xml:space="preserve"> </w:t>
      </w:r>
      <w:r w:rsidR="00897F23" w:rsidRPr="005E1CFA">
        <w:rPr>
          <w:lang w:val="en-GB"/>
        </w:rPr>
        <w:t>through</w:t>
      </w:r>
      <w:r w:rsidR="005257BC" w:rsidRPr="005E1CFA">
        <w:rPr>
          <w:lang w:val="en-GB"/>
        </w:rPr>
        <w:t xml:space="preserve"> </w:t>
      </w:r>
      <w:r w:rsidR="00897F23" w:rsidRPr="005E1CFA">
        <w:rPr>
          <w:lang w:val="en-GB"/>
        </w:rPr>
        <w:t>the</w:t>
      </w:r>
      <w:r w:rsidR="005257BC" w:rsidRPr="005E1CFA">
        <w:rPr>
          <w:lang w:val="en-GB"/>
        </w:rPr>
        <w:t xml:space="preserve"> creat</w:t>
      </w:r>
      <w:r w:rsidR="00897F23" w:rsidRPr="005E1CFA">
        <w:rPr>
          <w:lang w:val="en-GB"/>
        </w:rPr>
        <w:t>ion</w:t>
      </w:r>
      <w:r w:rsidR="005257BC" w:rsidRPr="005E1CFA">
        <w:rPr>
          <w:lang w:val="en-GB"/>
        </w:rPr>
        <w:t xml:space="preserve"> </w:t>
      </w:r>
      <w:r w:rsidR="00897F23" w:rsidRPr="005E1CFA">
        <w:rPr>
          <w:lang w:val="en-GB"/>
        </w:rPr>
        <w:t xml:space="preserve">of </w:t>
      </w:r>
      <w:r w:rsidR="005257BC" w:rsidRPr="005E1CFA">
        <w:rPr>
          <w:lang w:val="en-GB"/>
        </w:rPr>
        <w:t xml:space="preserve">conducive environments for </w:t>
      </w:r>
      <w:r w:rsidR="00690AC1" w:rsidRPr="005E1CFA">
        <w:rPr>
          <w:rFonts w:eastAsia="Batang"/>
          <w:lang w:val="en-GB"/>
        </w:rPr>
        <w:t>internally displaced persons</w:t>
      </w:r>
      <w:r w:rsidR="005257BC" w:rsidRPr="005E1CFA">
        <w:rPr>
          <w:lang w:val="en-GB"/>
        </w:rPr>
        <w:t xml:space="preserve"> to return to their places of </w:t>
      </w:r>
      <w:r w:rsidR="00996824" w:rsidRPr="005E1CFA">
        <w:rPr>
          <w:lang w:val="en-GB"/>
        </w:rPr>
        <w:t xml:space="preserve">origin. </w:t>
      </w:r>
      <w:r w:rsidR="00531244" w:rsidRPr="005E1CFA">
        <w:rPr>
          <w:lang w:val="en-GB"/>
        </w:rPr>
        <w:t>In conflict-prone areas</w:t>
      </w:r>
      <w:r w:rsidR="005257BC" w:rsidRPr="005E1CFA">
        <w:rPr>
          <w:lang w:val="en-GB"/>
        </w:rPr>
        <w:t>, UNDP programming will focus on peacebuilding, community security, and social cohesion.</w:t>
      </w:r>
      <w:r w:rsidR="004947E1" w:rsidRPr="005E1CFA">
        <w:rPr>
          <w:lang w:val="en-GB"/>
        </w:rPr>
        <w:t xml:space="preserve"> At the national level, </w:t>
      </w:r>
      <w:r w:rsidR="00EB1091" w:rsidRPr="005E1CFA">
        <w:rPr>
          <w:lang w:val="en-GB"/>
        </w:rPr>
        <w:t xml:space="preserve">in partnership with UNMISS, </w:t>
      </w:r>
      <w:r w:rsidR="004947E1" w:rsidRPr="005E1CFA">
        <w:rPr>
          <w:lang w:val="en-GB"/>
        </w:rPr>
        <w:t xml:space="preserve">UNDP will work on governance and rule of law in support of the implementation of the </w:t>
      </w:r>
      <w:r w:rsidR="00EB1091" w:rsidRPr="005E1CFA">
        <w:rPr>
          <w:lang w:val="en-GB"/>
        </w:rPr>
        <w:t>p</w:t>
      </w:r>
      <w:r w:rsidR="004947E1" w:rsidRPr="005E1CFA">
        <w:rPr>
          <w:lang w:val="en-GB"/>
        </w:rPr>
        <w:t xml:space="preserve">eace </w:t>
      </w:r>
      <w:r w:rsidR="00EB1091" w:rsidRPr="005E1CFA">
        <w:rPr>
          <w:lang w:val="en-GB"/>
        </w:rPr>
        <w:t>a</w:t>
      </w:r>
      <w:r w:rsidR="004947E1" w:rsidRPr="005E1CFA">
        <w:rPr>
          <w:lang w:val="en-GB"/>
        </w:rPr>
        <w:t>greement.</w:t>
      </w:r>
    </w:p>
    <w:p w14:paraId="0A5D1576" w14:textId="77777777" w:rsidR="006D2F0F" w:rsidRPr="005E1CFA" w:rsidRDefault="006D2F0F" w:rsidP="006D2F0F">
      <w:pPr>
        <w:pStyle w:val="ListParagraph"/>
        <w:ind w:left="360" w:right="1210"/>
        <w:jc w:val="both"/>
        <w:rPr>
          <w:lang w:val="en-GB"/>
        </w:rPr>
      </w:pPr>
    </w:p>
    <w:p w14:paraId="68F54860" w14:textId="11AAB971" w:rsidR="00F62913" w:rsidRPr="005E1CFA" w:rsidRDefault="005003E4" w:rsidP="00EB1091">
      <w:pPr>
        <w:pStyle w:val="Heading2"/>
        <w:tabs>
          <w:tab w:val="left" w:pos="360"/>
        </w:tabs>
        <w:spacing w:after="120"/>
        <w:ind w:left="360" w:right="1210" w:hanging="540"/>
        <w:jc w:val="both"/>
        <w:rPr>
          <w:rFonts w:ascii="Times New Roman" w:hAnsi="Times New Roman"/>
          <w:spacing w:val="-3"/>
          <w:szCs w:val="28"/>
          <w:lang w:val="en-GB"/>
        </w:rPr>
      </w:pPr>
      <w:r w:rsidRPr="005E1CFA">
        <w:rPr>
          <w:rFonts w:ascii="Times New Roman" w:hAnsi="Times New Roman"/>
          <w:bCs/>
          <w:szCs w:val="28"/>
          <w:lang w:val="en-GB"/>
        </w:rPr>
        <w:t>II.</w:t>
      </w:r>
      <w:r w:rsidR="00EB1091" w:rsidRPr="005E1CFA">
        <w:rPr>
          <w:rFonts w:ascii="Times New Roman" w:hAnsi="Times New Roman"/>
          <w:bCs/>
          <w:szCs w:val="28"/>
          <w:lang w:val="en-GB"/>
        </w:rPr>
        <w:tab/>
      </w:r>
      <w:r w:rsidRPr="005E1CFA">
        <w:rPr>
          <w:rFonts w:ascii="Times New Roman" w:hAnsi="Times New Roman"/>
          <w:bCs/>
          <w:szCs w:val="28"/>
          <w:lang w:val="en-GB"/>
        </w:rPr>
        <w:t>Programme p</w:t>
      </w:r>
      <w:r w:rsidR="00F62913" w:rsidRPr="005E1CFA">
        <w:rPr>
          <w:rFonts w:ascii="Times New Roman" w:hAnsi="Times New Roman"/>
          <w:bCs/>
          <w:szCs w:val="28"/>
          <w:lang w:val="en-GB"/>
        </w:rPr>
        <w:t xml:space="preserve">riorities and </w:t>
      </w:r>
      <w:r w:rsidRPr="005E1CFA">
        <w:rPr>
          <w:rFonts w:ascii="Times New Roman" w:hAnsi="Times New Roman"/>
          <w:bCs/>
          <w:szCs w:val="28"/>
          <w:lang w:val="en-GB"/>
        </w:rPr>
        <w:t>p</w:t>
      </w:r>
      <w:r w:rsidR="00F62913" w:rsidRPr="005E1CFA">
        <w:rPr>
          <w:rFonts w:ascii="Times New Roman" w:hAnsi="Times New Roman"/>
          <w:bCs/>
          <w:szCs w:val="28"/>
          <w:lang w:val="en-GB"/>
        </w:rPr>
        <w:t xml:space="preserve">artnerships </w:t>
      </w:r>
    </w:p>
    <w:p w14:paraId="24E66DB5" w14:textId="1DF439A9" w:rsidR="00F62913" w:rsidRPr="005E1CFA" w:rsidRDefault="00B30B28" w:rsidP="00FE6C02">
      <w:pPr>
        <w:pStyle w:val="ListParagraph"/>
        <w:numPr>
          <w:ilvl w:val="0"/>
          <w:numId w:val="3"/>
        </w:numPr>
        <w:tabs>
          <w:tab w:val="left" w:pos="360"/>
        </w:tabs>
        <w:spacing w:after="120"/>
        <w:ind w:left="360" w:right="1210" w:firstLine="0"/>
        <w:jc w:val="both"/>
        <w:rPr>
          <w:lang w:val="en-GB"/>
        </w:rPr>
      </w:pPr>
      <w:r w:rsidRPr="005E1CFA">
        <w:rPr>
          <w:lang w:val="en-GB"/>
        </w:rPr>
        <w:t>The critical pathways lend themselves to</w:t>
      </w:r>
      <w:r w:rsidR="00C40D73" w:rsidRPr="005E1CFA">
        <w:rPr>
          <w:lang w:val="en-GB"/>
        </w:rPr>
        <w:t xml:space="preserve"> two distinct but </w:t>
      </w:r>
      <w:r w:rsidR="00E75CE2" w:rsidRPr="005E1CFA">
        <w:rPr>
          <w:lang w:val="en-GB"/>
        </w:rPr>
        <w:t>related</w:t>
      </w:r>
      <w:r w:rsidR="00C40D73" w:rsidRPr="005E1CFA">
        <w:rPr>
          <w:lang w:val="en-GB"/>
        </w:rPr>
        <w:t xml:space="preserve"> programmatic</w:t>
      </w:r>
      <w:r w:rsidR="000E60D6" w:rsidRPr="005E1CFA">
        <w:rPr>
          <w:lang w:val="en-GB"/>
        </w:rPr>
        <w:t xml:space="preserve"> pillars</w:t>
      </w:r>
      <w:r w:rsidR="00F62913" w:rsidRPr="005E1CFA">
        <w:rPr>
          <w:lang w:val="en-GB"/>
        </w:rPr>
        <w:t xml:space="preserve">: </w:t>
      </w:r>
      <w:r w:rsidR="00EB1091" w:rsidRPr="005E1CFA">
        <w:rPr>
          <w:lang w:val="en-GB"/>
        </w:rPr>
        <w:t>(</w:t>
      </w:r>
      <w:r w:rsidR="00F62913" w:rsidRPr="005E1CFA">
        <w:rPr>
          <w:lang w:val="en-GB"/>
        </w:rPr>
        <w:t>a)</w:t>
      </w:r>
      <w:r w:rsidR="00EB1091" w:rsidRPr="005E1CFA">
        <w:rPr>
          <w:lang w:val="en-GB"/>
        </w:rPr>
        <w:t> </w:t>
      </w:r>
      <w:r w:rsidR="00F62913" w:rsidRPr="005E1CFA">
        <w:rPr>
          <w:rFonts w:eastAsiaTheme="minorHAnsi"/>
          <w:lang w:val="en-GB"/>
        </w:rPr>
        <w:t>More resilient communities and reinvigorated local economies</w:t>
      </w:r>
      <w:r w:rsidR="00E75CE2" w:rsidRPr="005E1CFA">
        <w:rPr>
          <w:rFonts w:eastAsiaTheme="minorHAnsi"/>
          <w:lang w:val="en-GB"/>
        </w:rPr>
        <w:t>;</w:t>
      </w:r>
      <w:r w:rsidR="00F62913" w:rsidRPr="005E1CFA">
        <w:rPr>
          <w:rFonts w:eastAsiaTheme="minorHAnsi"/>
          <w:lang w:val="en-GB"/>
        </w:rPr>
        <w:t xml:space="preserve"> and </w:t>
      </w:r>
      <w:r w:rsidR="00EB1091" w:rsidRPr="005E1CFA">
        <w:rPr>
          <w:rFonts w:eastAsiaTheme="minorHAnsi"/>
          <w:lang w:val="en-GB"/>
        </w:rPr>
        <w:t>(</w:t>
      </w:r>
      <w:r w:rsidR="00F62913" w:rsidRPr="005E1CFA">
        <w:rPr>
          <w:rFonts w:eastAsiaTheme="minorHAnsi"/>
          <w:lang w:val="en-GB"/>
        </w:rPr>
        <w:t xml:space="preserve">b) </w:t>
      </w:r>
      <w:r w:rsidR="00EB1091" w:rsidRPr="005E1CFA">
        <w:rPr>
          <w:rFonts w:eastAsiaTheme="minorHAnsi"/>
          <w:lang w:val="en-GB"/>
        </w:rPr>
        <w:t>Strengthened p</w:t>
      </w:r>
      <w:r w:rsidR="00F62913" w:rsidRPr="005E1CFA">
        <w:rPr>
          <w:rFonts w:eastAsiaTheme="minorHAnsi"/>
          <w:lang w:val="en-GB"/>
        </w:rPr>
        <w:t>e</w:t>
      </w:r>
      <w:r w:rsidR="002B2C93" w:rsidRPr="005E1CFA">
        <w:rPr>
          <w:rFonts w:eastAsiaTheme="minorHAnsi"/>
          <w:lang w:val="en-GB"/>
        </w:rPr>
        <w:t>ace and governance.</w:t>
      </w:r>
      <w:r w:rsidR="00F33CFA" w:rsidRPr="005E1CFA">
        <w:rPr>
          <w:rFonts w:eastAsiaTheme="minorHAnsi"/>
          <w:lang w:val="en-GB"/>
        </w:rPr>
        <w:t xml:space="preserve"> In both areas, UNDP emphasi</w:t>
      </w:r>
      <w:r w:rsidR="00EB1091" w:rsidRPr="005E1CFA">
        <w:rPr>
          <w:rFonts w:eastAsiaTheme="minorHAnsi"/>
          <w:lang w:val="en-GB"/>
        </w:rPr>
        <w:t>z</w:t>
      </w:r>
      <w:r w:rsidR="00F33CFA" w:rsidRPr="005E1CFA">
        <w:rPr>
          <w:rFonts w:eastAsiaTheme="minorHAnsi"/>
          <w:lang w:val="en-GB"/>
        </w:rPr>
        <w:t>es the sustainability of institutional</w:t>
      </w:r>
      <w:r w:rsidR="00D87F00" w:rsidRPr="005E1CFA">
        <w:rPr>
          <w:rFonts w:eastAsiaTheme="minorHAnsi"/>
          <w:lang w:val="en-GB"/>
        </w:rPr>
        <w:t xml:space="preserve"> and human capacity development. </w:t>
      </w:r>
      <w:r w:rsidR="00444958" w:rsidRPr="005E1CFA">
        <w:rPr>
          <w:rFonts w:eastAsiaTheme="minorHAnsi"/>
          <w:lang w:val="en-GB"/>
        </w:rPr>
        <w:t xml:space="preserve">The </w:t>
      </w:r>
      <w:r w:rsidR="00DA094F" w:rsidRPr="005E1CFA">
        <w:rPr>
          <w:rFonts w:eastAsiaTheme="minorHAnsi"/>
          <w:lang w:val="en-GB"/>
        </w:rPr>
        <w:t>reduced time</w:t>
      </w:r>
      <w:r w:rsidR="00EB1091" w:rsidRPr="005E1CFA">
        <w:rPr>
          <w:rFonts w:eastAsiaTheme="minorHAnsi"/>
          <w:lang w:val="en-GB"/>
        </w:rPr>
        <w:t xml:space="preserve"> </w:t>
      </w:r>
      <w:r w:rsidR="00DA094F" w:rsidRPr="005E1CFA">
        <w:rPr>
          <w:rFonts w:eastAsiaTheme="minorHAnsi"/>
          <w:lang w:val="en-GB"/>
        </w:rPr>
        <w:t xml:space="preserve">frame of the </w:t>
      </w:r>
      <w:r w:rsidR="00444958" w:rsidRPr="005E1CFA">
        <w:rPr>
          <w:rFonts w:eastAsiaTheme="minorHAnsi"/>
          <w:lang w:val="en-GB"/>
        </w:rPr>
        <w:t xml:space="preserve">current programme </w:t>
      </w:r>
      <w:r w:rsidR="00EB1091" w:rsidRPr="005E1CFA">
        <w:rPr>
          <w:rFonts w:eastAsiaTheme="minorHAnsi"/>
          <w:lang w:val="en-GB"/>
        </w:rPr>
        <w:t>will</w:t>
      </w:r>
      <w:r w:rsidR="00DA094F" w:rsidRPr="005E1CFA">
        <w:rPr>
          <w:rFonts w:eastAsiaTheme="minorHAnsi"/>
          <w:lang w:val="en-GB"/>
        </w:rPr>
        <w:t xml:space="preserve"> facilitate alignment with the transition laid out in the </w:t>
      </w:r>
      <w:r w:rsidR="00EB1091" w:rsidRPr="005E1CFA">
        <w:rPr>
          <w:rFonts w:eastAsiaTheme="minorHAnsi"/>
          <w:lang w:val="en-GB"/>
        </w:rPr>
        <w:t>p</w:t>
      </w:r>
      <w:r w:rsidR="00DA094F" w:rsidRPr="005E1CFA">
        <w:rPr>
          <w:rFonts w:eastAsiaTheme="minorHAnsi"/>
          <w:lang w:val="en-GB"/>
        </w:rPr>
        <w:t xml:space="preserve">eace </w:t>
      </w:r>
      <w:r w:rsidR="00EB1091" w:rsidRPr="005E1CFA">
        <w:rPr>
          <w:rFonts w:eastAsiaTheme="minorHAnsi"/>
          <w:lang w:val="en-GB"/>
        </w:rPr>
        <w:t>a</w:t>
      </w:r>
      <w:r w:rsidR="00DA094F" w:rsidRPr="005E1CFA">
        <w:rPr>
          <w:rFonts w:eastAsiaTheme="minorHAnsi"/>
          <w:lang w:val="en-GB"/>
        </w:rPr>
        <w:t xml:space="preserve">greement and </w:t>
      </w:r>
      <w:r w:rsidR="00444958" w:rsidRPr="005E1CFA">
        <w:rPr>
          <w:lang w:val="en-GB"/>
        </w:rPr>
        <w:t xml:space="preserve">lay the groundwork for the next </w:t>
      </w:r>
      <w:r w:rsidR="00DA094F" w:rsidRPr="005E1CFA">
        <w:rPr>
          <w:lang w:val="en-GB"/>
        </w:rPr>
        <w:t>country programme</w:t>
      </w:r>
      <w:r w:rsidR="00444958" w:rsidRPr="005E1CFA">
        <w:rPr>
          <w:lang w:val="en-GB"/>
        </w:rPr>
        <w:t>.</w:t>
      </w:r>
    </w:p>
    <w:p w14:paraId="370B82A2" w14:textId="77777777" w:rsidR="00F62913" w:rsidRPr="005E1CFA" w:rsidRDefault="00F62913" w:rsidP="00FE6C02">
      <w:pPr>
        <w:pStyle w:val="ListParagraph"/>
        <w:tabs>
          <w:tab w:val="left" w:pos="1620"/>
          <w:tab w:val="left" w:pos="1710"/>
        </w:tabs>
        <w:spacing w:after="120"/>
        <w:ind w:left="360" w:right="1210"/>
        <w:jc w:val="both"/>
        <w:rPr>
          <w:rFonts w:eastAsiaTheme="minorHAnsi"/>
          <w:b/>
          <w:sz w:val="24"/>
          <w:szCs w:val="24"/>
          <w:lang w:val="en-GB"/>
        </w:rPr>
      </w:pPr>
      <w:r w:rsidRPr="005E1CFA">
        <w:rPr>
          <w:rFonts w:eastAsiaTheme="minorHAnsi"/>
          <w:b/>
          <w:sz w:val="24"/>
          <w:szCs w:val="24"/>
          <w:lang w:val="en-GB"/>
        </w:rPr>
        <w:t>Pillar 1: More resilient communities and reinvigorated local economies</w:t>
      </w:r>
    </w:p>
    <w:p w14:paraId="4F9F5E70" w14:textId="3DE4359E" w:rsidR="00530AA8" w:rsidRPr="005E1CFA" w:rsidRDefault="00EB1091" w:rsidP="00FE6C02">
      <w:pPr>
        <w:pStyle w:val="ListParagraph"/>
        <w:numPr>
          <w:ilvl w:val="0"/>
          <w:numId w:val="3"/>
        </w:numPr>
        <w:tabs>
          <w:tab w:val="left" w:pos="360"/>
        </w:tabs>
        <w:spacing w:after="120"/>
        <w:ind w:left="360" w:right="1210" w:firstLine="0"/>
        <w:jc w:val="both"/>
        <w:rPr>
          <w:lang w:val="en-GB"/>
        </w:rPr>
      </w:pPr>
      <w:r w:rsidRPr="005E1CFA">
        <w:rPr>
          <w:lang w:val="en-GB"/>
        </w:rPr>
        <w:t xml:space="preserve">Through its disaster risk reduction programme, </w:t>
      </w:r>
      <w:r w:rsidR="00530AA8" w:rsidRPr="005E1CFA">
        <w:rPr>
          <w:lang w:val="en-GB"/>
        </w:rPr>
        <w:t>UNDP will provid</w:t>
      </w:r>
      <w:r w:rsidRPr="005E1CFA">
        <w:rPr>
          <w:lang w:val="en-GB"/>
        </w:rPr>
        <w:t>e</w:t>
      </w:r>
      <w:r w:rsidR="00530AA8" w:rsidRPr="005E1CFA">
        <w:rPr>
          <w:lang w:val="en-GB"/>
        </w:rPr>
        <w:t xml:space="preserve"> support to strengthen the absorptive, adaptive and transformative capacities of communities confronted with shocks and stresses. The programme will differentially target men, </w:t>
      </w:r>
      <w:r w:rsidR="00ED0905">
        <w:rPr>
          <w:lang w:val="en-GB"/>
        </w:rPr>
        <w:t>women and youth in the disaster-</w:t>
      </w:r>
      <w:r w:rsidR="00530AA8" w:rsidRPr="005E1CFA">
        <w:rPr>
          <w:lang w:val="en-GB"/>
        </w:rPr>
        <w:t>prone regions, to prevent loss of li</w:t>
      </w:r>
      <w:r w:rsidRPr="005E1CFA">
        <w:rPr>
          <w:lang w:val="en-GB"/>
        </w:rPr>
        <w:t>fe</w:t>
      </w:r>
      <w:r w:rsidR="00530AA8" w:rsidRPr="005E1CFA">
        <w:rPr>
          <w:lang w:val="en-GB"/>
        </w:rPr>
        <w:t xml:space="preserve"> and property and to build resilience to cope with natural disasters </w:t>
      </w:r>
      <w:r w:rsidR="00530AA8" w:rsidRPr="005E1CFA">
        <w:rPr>
          <w:lang w:val="en-GB"/>
        </w:rPr>
        <w:lastRenderedPageBreak/>
        <w:t xml:space="preserve">related to floods and droughts. UNDP will build on its </w:t>
      </w:r>
      <w:r w:rsidR="000F560F" w:rsidRPr="005E1CFA">
        <w:rPr>
          <w:lang w:val="en-GB"/>
        </w:rPr>
        <w:t>country</w:t>
      </w:r>
      <w:r w:rsidRPr="005E1CFA">
        <w:rPr>
          <w:lang w:val="en-GB"/>
        </w:rPr>
        <w:t>-</w:t>
      </w:r>
      <w:r w:rsidR="000F560F" w:rsidRPr="005E1CFA">
        <w:rPr>
          <w:lang w:val="en-GB"/>
        </w:rPr>
        <w:t xml:space="preserve">level and global experience and expertise, </w:t>
      </w:r>
      <w:r w:rsidR="00530AA8" w:rsidRPr="005E1CFA">
        <w:rPr>
          <w:lang w:val="en-GB"/>
        </w:rPr>
        <w:t xml:space="preserve">existing partnerships with the government, </w:t>
      </w:r>
      <w:r w:rsidRPr="005E1CFA">
        <w:rPr>
          <w:lang w:val="en-GB"/>
        </w:rPr>
        <w:t xml:space="preserve">the </w:t>
      </w:r>
      <w:r w:rsidR="000F560F" w:rsidRPr="005E1CFA">
        <w:rPr>
          <w:lang w:val="en-GB"/>
        </w:rPr>
        <w:t>Global Environment Facility</w:t>
      </w:r>
      <w:r w:rsidR="00530AA8" w:rsidRPr="005E1CFA">
        <w:rPr>
          <w:lang w:val="en-GB"/>
        </w:rPr>
        <w:t xml:space="preserve">, </w:t>
      </w:r>
      <w:r w:rsidR="00120C67" w:rsidRPr="005E1CFA">
        <w:rPr>
          <w:lang w:val="en-GB"/>
        </w:rPr>
        <w:t xml:space="preserve">the </w:t>
      </w:r>
      <w:r w:rsidR="00530AA8" w:rsidRPr="005E1CFA">
        <w:rPr>
          <w:lang w:val="en-GB"/>
        </w:rPr>
        <w:t>Government of Japan, U</w:t>
      </w:r>
      <w:r w:rsidR="00120C67" w:rsidRPr="005E1CFA">
        <w:rPr>
          <w:lang w:val="en-GB"/>
        </w:rPr>
        <w:t>nited Nations partners</w:t>
      </w:r>
      <w:r w:rsidR="00530AA8" w:rsidRPr="005E1CFA">
        <w:rPr>
          <w:lang w:val="en-GB"/>
        </w:rPr>
        <w:t xml:space="preserve"> including </w:t>
      </w:r>
      <w:r w:rsidR="00120C67" w:rsidRPr="005E1CFA">
        <w:rPr>
          <w:lang w:val="en-GB"/>
        </w:rPr>
        <w:t>the World Food Programme (</w:t>
      </w:r>
      <w:r w:rsidR="00530AA8" w:rsidRPr="005E1CFA">
        <w:rPr>
          <w:lang w:val="en-GB"/>
        </w:rPr>
        <w:t>WFP</w:t>
      </w:r>
      <w:r w:rsidR="00120C67" w:rsidRPr="005E1CFA">
        <w:rPr>
          <w:lang w:val="en-GB"/>
        </w:rPr>
        <w:t>)</w:t>
      </w:r>
      <w:r w:rsidR="00530AA8" w:rsidRPr="005E1CFA">
        <w:rPr>
          <w:lang w:val="en-GB"/>
        </w:rPr>
        <w:t xml:space="preserve">, </w:t>
      </w:r>
      <w:r w:rsidR="00120C67" w:rsidRPr="005E1CFA">
        <w:rPr>
          <w:lang w:val="en-GB"/>
        </w:rPr>
        <w:t>the Food and Agriculture Organization (</w:t>
      </w:r>
      <w:r w:rsidR="00530AA8" w:rsidRPr="005E1CFA">
        <w:rPr>
          <w:lang w:val="en-GB"/>
        </w:rPr>
        <w:t>FAO</w:t>
      </w:r>
      <w:r w:rsidR="00120C67" w:rsidRPr="005E1CFA">
        <w:rPr>
          <w:lang w:val="en-GB"/>
        </w:rPr>
        <w:t>)</w:t>
      </w:r>
      <w:r w:rsidR="00530AA8" w:rsidRPr="005E1CFA">
        <w:rPr>
          <w:lang w:val="en-GB"/>
        </w:rPr>
        <w:t xml:space="preserve">, </w:t>
      </w:r>
      <w:r w:rsidR="00120C67" w:rsidRPr="005E1CFA">
        <w:rPr>
          <w:lang w:val="en-GB"/>
        </w:rPr>
        <w:t>the United Nations Environment Programme</w:t>
      </w:r>
      <w:r w:rsidR="00530AA8" w:rsidRPr="005E1CFA">
        <w:rPr>
          <w:lang w:val="en-GB"/>
        </w:rPr>
        <w:t xml:space="preserve"> and other stakeholders</w:t>
      </w:r>
      <w:r w:rsidR="00120C67" w:rsidRPr="005E1CFA">
        <w:rPr>
          <w:lang w:val="en-GB"/>
        </w:rPr>
        <w:t>,</w:t>
      </w:r>
      <w:r w:rsidR="00530AA8" w:rsidRPr="005E1CFA">
        <w:rPr>
          <w:lang w:val="en-GB"/>
        </w:rPr>
        <w:t xml:space="preserve"> to help farmers and pastoralists adapt to climate change and reduce conflicts over natural resources</w:t>
      </w:r>
      <w:r w:rsidR="003B0697">
        <w:rPr>
          <w:lang w:val="en-GB"/>
        </w:rPr>
        <w:t>.</w:t>
      </w:r>
    </w:p>
    <w:p w14:paraId="2FF6C382" w14:textId="3E4906EB" w:rsidR="00F62913" w:rsidRPr="005E1CFA" w:rsidRDefault="00F62913" w:rsidP="00FE6C02">
      <w:pPr>
        <w:pStyle w:val="ListParagraph"/>
        <w:numPr>
          <w:ilvl w:val="0"/>
          <w:numId w:val="3"/>
        </w:numPr>
        <w:tabs>
          <w:tab w:val="left" w:pos="360"/>
        </w:tabs>
        <w:spacing w:after="120"/>
        <w:ind w:left="360" w:right="1210" w:firstLine="0"/>
        <w:jc w:val="both"/>
        <w:rPr>
          <w:lang w:val="en-GB"/>
        </w:rPr>
      </w:pPr>
      <w:r w:rsidRPr="005E1CFA">
        <w:rPr>
          <w:lang w:val="en-GB"/>
        </w:rPr>
        <w:t xml:space="preserve">The </w:t>
      </w:r>
      <w:r w:rsidR="00530AA8" w:rsidRPr="005E1CFA">
        <w:rPr>
          <w:lang w:val="en-GB"/>
        </w:rPr>
        <w:t xml:space="preserve">programme will contribute to </w:t>
      </w:r>
      <w:r w:rsidRPr="005E1CFA">
        <w:rPr>
          <w:lang w:val="en-GB"/>
        </w:rPr>
        <w:t>reinvigorat</w:t>
      </w:r>
      <w:r w:rsidR="00530AA8" w:rsidRPr="005E1CFA">
        <w:rPr>
          <w:lang w:val="en-GB"/>
        </w:rPr>
        <w:t>ing</w:t>
      </w:r>
      <w:r w:rsidRPr="005E1CFA">
        <w:rPr>
          <w:lang w:val="en-GB"/>
        </w:rPr>
        <w:t xml:space="preserve"> the local economy through targeted, strategic interventions in agriculture, trade, and private sector </w:t>
      </w:r>
      <w:r w:rsidRPr="005E1CFA">
        <w:rPr>
          <w:iCs/>
          <w:lang w:val="en-GB"/>
        </w:rPr>
        <w:t>development</w:t>
      </w:r>
      <w:r w:rsidRPr="005E1CFA">
        <w:rPr>
          <w:lang w:val="en-GB"/>
        </w:rPr>
        <w:t xml:space="preserve">. In line with the government strategy of building sustainable peace by enabling </w:t>
      </w:r>
      <w:r w:rsidR="00120C67" w:rsidRPr="005E1CFA">
        <w:rPr>
          <w:lang w:val="en-GB"/>
        </w:rPr>
        <w:t xml:space="preserve">the </w:t>
      </w:r>
      <w:r w:rsidRPr="005E1CFA">
        <w:rPr>
          <w:lang w:val="en-GB"/>
        </w:rPr>
        <w:t xml:space="preserve">return and reintegration of </w:t>
      </w:r>
      <w:r w:rsidR="00690AC1" w:rsidRPr="005E1CFA">
        <w:rPr>
          <w:rFonts w:eastAsia="Batang"/>
          <w:lang w:val="en-GB"/>
        </w:rPr>
        <w:t>internally displaced persons</w:t>
      </w:r>
      <w:r w:rsidR="00690AC1" w:rsidRPr="005E1CFA" w:rsidDel="00690AC1">
        <w:rPr>
          <w:lang w:val="en-GB"/>
        </w:rPr>
        <w:t xml:space="preserve"> </w:t>
      </w:r>
      <w:r w:rsidRPr="005E1CFA">
        <w:rPr>
          <w:lang w:val="en-GB"/>
        </w:rPr>
        <w:t xml:space="preserve">to their places of origin, UNDP will work with the Ministry of Finance and Economic Planning and </w:t>
      </w:r>
      <w:r w:rsidR="003B0697">
        <w:rPr>
          <w:lang w:val="en-GB"/>
        </w:rPr>
        <w:t xml:space="preserve">the </w:t>
      </w:r>
      <w:r w:rsidRPr="005E1CFA">
        <w:rPr>
          <w:lang w:val="en-GB"/>
        </w:rPr>
        <w:t>Ministry of Trade and Industry to promote micro</w:t>
      </w:r>
      <w:r w:rsidR="00120C67" w:rsidRPr="005E1CFA">
        <w:rPr>
          <w:lang w:val="en-GB"/>
        </w:rPr>
        <w:t>-</w:t>
      </w:r>
      <w:r w:rsidRPr="005E1CFA">
        <w:rPr>
          <w:lang w:val="en-GB"/>
        </w:rPr>
        <w:t>, small, and medium enterprises</w:t>
      </w:r>
      <w:r w:rsidR="008B08CE" w:rsidRPr="005E1CFA">
        <w:rPr>
          <w:lang w:val="en-GB"/>
        </w:rPr>
        <w:t xml:space="preserve">. The programme will </w:t>
      </w:r>
      <w:r w:rsidRPr="005E1CFA">
        <w:rPr>
          <w:lang w:val="en-GB"/>
        </w:rPr>
        <w:t>strengthen markets, support de</w:t>
      </w:r>
      <w:r w:rsidR="00B77A83" w:rsidRPr="005E1CFA">
        <w:rPr>
          <w:lang w:val="en-GB"/>
        </w:rPr>
        <w:t>velopment of rural value chains</w:t>
      </w:r>
      <w:r w:rsidR="00635CB1" w:rsidRPr="005E1CFA">
        <w:rPr>
          <w:lang w:val="en-GB"/>
        </w:rPr>
        <w:t xml:space="preserve"> and diversify </w:t>
      </w:r>
      <w:r w:rsidR="008B08CE" w:rsidRPr="005E1CFA">
        <w:rPr>
          <w:lang w:val="en-GB"/>
        </w:rPr>
        <w:t xml:space="preserve">livelihoods </w:t>
      </w:r>
      <w:r w:rsidR="00635CB1" w:rsidRPr="005E1CFA">
        <w:rPr>
          <w:lang w:val="en-GB"/>
        </w:rPr>
        <w:t>opportunities in</w:t>
      </w:r>
      <w:r w:rsidR="008B08CE" w:rsidRPr="005E1CFA">
        <w:rPr>
          <w:lang w:val="en-GB"/>
        </w:rPr>
        <w:t xml:space="preserve"> </w:t>
      </w:r>
      <w:r w:rsidRPr="005E1CFA">
        <w:rPr>
          <w:lang w:val="en-GB"/>
        </w:rPr>
        <w:t xml:space="preserve">gum </w:t>
      </w:r>
      <w:proofErr w:type="spellStart"/>
      <w:r w:rsidR="00CE42E9" w:rsidRPr="005E1CFA">
        <w:rPr>
          <w:lang w:val="en-GB"/>
        </w:rPr>
        <w:t>a</w:t>
      </w:r>
      <w:r w:rsidRPr="005E1CFA">
        <w:rPr>
          <w:lang w:val="en-GB"/>
        </w:rPr>
        <w:t>rabic</w:t>
      </w:r>
      <w:proofErr w:type="spellEnd"/>
      <w:r w:rsidRPr="005E1CFA">
        <w:rPr>
          <w:lang w:val="en-GB"/>
        </w:rPr>
        <w:t xml:space="preserve"> and fisheries</w:t>
      </w:r>
      <w:r w:rsidR="00B77A83" w:rsidRPr="005E1CFA">
        <w:rPr>
          <w:lang w:val="en-GB"/>
        </w:rPr>
        <w:t xml:space="preserve"> for rural men, women and unemployed youth</w:t>
      </w:r>
      <w:r w:rsidRPr="005E1CFA">
        <w:rPr>
          <w:lang w:val="en-GB"/>
        </w:rPr>
        <w:t xml:space="preserve"> to facilitate return and reintegration. </w:t>
      </w:r>
      <w:r w:rsidR="00CE42E9" w:rsidRPr="005E1CFA">
        <w:rPr>
          <w:lang w:val="en-GB"/>
        </w:rPr>
        <w:t xml:space="preserve">It </w:t>
      </w:r>
      <w:r w:rsidRPr="005E1CFA">
        <w:rPr>
          <w:lang w:val="en-GB"/>
        </w:rPr>
        <w:t xml:space="preserve">will be </w:t>
      </w:r>
      <w:r w:rsidR="00DD4E33" w:rsidRPr="005E1CFA">
        <w:rPr>
          <w:lang w:val="en-GB"/>
        </w:rPr>
        <w:t>implemented through</w:t>
      </w:r>
      <w:r w:rsidRPr="005E1CFA">
        <w:rPr>
          <w:lang w:val="en-GB"/>
        </w:rPr>
        <w:t xml:space="preserve"> private sector</w:t>
      </w:r>
      <w:r w:rsidR="00DD4E33" w:rsidRPr="005E1CFA">
        <w:rPr>
          <w:lang w:val="en-GB"/>
        </w:rPr>
        <w:t xml:space="preserve"> companies and civil society</w:t>
      </w:r>
      <w:r w:rsidR="00CE42E9" w:rsidRPr="005E1CFA">
        <w:rPr>
          <w:lang w:val="en-GB"/>
        </w:rPr>
        <w:t>,</w:t>
      </w:r>
      <w:r w:rsidRPr="005E1CFA">
        <w:rPr>
          <w:lang w:val="en-GB"/>
        </w:rPr>
        <w:t xml:space="preserve"> </w:t>
      </w:r>
      <w:r w:rsidR="00DD4E33" w:rsidRPr="005E1CFA">
        <w:rPr>
          <w:lang w:val="en-GB"/>
        </w:rPr>
        <w:t>with technical inputs from</w:t>
      </w:r>
      <w:r w:rsidRPr="005E1CFA">
        <w:rPr>
          <w:lang w:val="en-GB"/>
        </w:rPr>
        <w:t xml:space="preserve"> </w:t>
      </w:r>
      <w:r w:rsidR="00CE42E9" w:rsidRPr="005E1CFA">
        <w:rPr>
          <w:lang w:val="en-GB"/>
        </w:rPr>
        <w:t>United Nations partners</w:t>
      </w:r>
      <w:r w:rsidRPr="005E1CFA">
        <w:rPr>
          <w:lang w:val="en-GB"/>
        </w:rPr>
        <w:t xml:space="preserve"> such as </w:t>
      </w:r>
      <w:r w:rsidR="00CE42E9" w:rsidRPr="005E1CFA">
        <w:rPr>
          <w:lang w:val="en-GB"/>
        </w:rPr>
        <w:t>the United Nations Industrial Development Organization</w:t>
      </w:r>
      <w:r w:rsidRPr="005E1CFA">
        <w:rPr>
          <w:lang w:val="en-GB"/>
        </w:rPr>
        <w:t>, FAO,</w:t>
      </w:r>
      <w:r w:rsidR="00DD4E33" w:rsidRPr="005E1CFA">
        <w:rPr>
          <w:lang w:val="en-GB"/>
        </w:rPr>
        <w:t xml:space="preserve"> UN</w:t>
      </w:r>
      <w:r w:rsidR="00CE42E9" w:rsidRPr="005E1CFA">
        <w:rPr>
          <w:lang w:val="en-GB"/>
        </w:rPr>
        <w:t>-Women</w:t>
      </w:r>
      <w:r w:rsidR="00DD4E33" w:rsidRPr="005E1CFA">
        <w:rPr>
          <w:lang w:val="en-GB"/>
        </w:rPr>
        <w:t>,</w:t>
      </w:r>
      <w:r w:rsidRPr="005E1CFA">
        <w:rPr>
          <w:lang w:val="en-GB"/>
        </w:rPr>
        <w:t xml:space="preserve"> and WFP.</w:t>
      </w:r>
      <w:r w:rsidR="00943C4B" w:rsidRPr="005E1CFA">
        <w:rPr>
          <w:lang w:val="en-GB"/>
        </w:rPr>
        <w:t xml:space="preserve"> Gender equity and support to </w:t>
      </w:r>
      <w:r w:rsidR="00CE42E9" w:rsidRPr="005E1CFA">
        <w:rPr>
          <w:lang w:val="en-GB"/>
        </w:rPr>
        <w:t xml:space="preserve">the </w:t>
      </w:r>
      <w:r w:rsidR="00943C4B" w:rsidRPr="005E1CFA">
        <w:rPr>
          <w:lang w:val="en-GB"/>
        </w:rPr>
        <w:t>empowerment of women and girls through gender</w:t>
      </w:r>
      <w:r w:rsidR="00CE42E9" w:rsidRPr="005E1CFA">
        <w:rPr>
          <w:lang w:val="en-GB"/>
        </w:rPr>
        <w:t>-</w:t>
      </w:r>
      <w:r w:rsidR="00943C4B" w:rsidRPr="005E1CFA">
        <w:rPr>
          <w:lang w:val="en-GB"/>
        </w:rPr>
        <w:t xml:space="preserve">specific interventions </w:t>
      </w:r>
      <w:r w:rsidR="003B0697">
        <w:rPr>
          <w:lang w:val="en-GB"/>
        </w:rPr>
        <w:t>comprise</w:t>
      </w:r>
      <w:r w:rsidR="00943C4B" w:rsidRPr="005E1CFA">
        <w:rPr>
          <w:lang w:val="en-GB"/>
        </w:rPr>
        <w:t xml:space="preserve"> a cross-cutting element of the programme.</w:t>
      </w:r>
      <w:r w:rsidR="00DF31D2" w:rsidRPr="005E1CFA">
        <w:rPr>
          <w:lang w:val="en-GB"/>
        </w:rPr>
        <w:t xml:space="preserve"> Through its role as </w:t>
      </w:r>
      <w:r w:rsidR="00CE42E9" w:rsidRPr="005E1CFA">
        <w:rPr>
          <w:lang w:val="en-GB"/>
        </w:rPr>
        <w:t>m</w:t>
      </w:r>
      <w:r w:rsidR="00DF31D2" w:rsidRPr="005E1CFA">
        <w:rPr>
          <w:lang w:val="en-GB"/>
        </w:rPr>
        <w:t xml:space="preserve">anagement </w:t>
      </w:r>
      <w:r w:rsidR="00CE42E9" w:rsidRPr="005E1CFA">
        <w:rPr>
          <w:lang w:val="en-GB"/>
        </w:rPr>
        <w:t>a</w:t>
      </w:r>
      <w:r w:rsidR="00DF31D2" w:rsidRPr="005E1CFA">
        <w:rPr>
          <w:lang w:val="en-GB"/>
        </w:rPr>
        <w:t xml:space="preserve">gent of the </w:t>
      </w:r>
      <w:r w:rsidR="00EE603B" w:rsidRPr="005E1CFA">
        <w:rPr>
          <w:lang w:val="en-GB"/>
        </w:rPr>
        <w:t>Common Humanitarian Fund</w:t>
      </w:r>
      <w:r w:rsidR="00DF31D2" w:rsidRPr="005E1CFA">
        <w:rPr>
          <w:lang w:val="en-GB"/>
        </w:rPr>
        <w:t xml:space="preserve">, UNDP will provide financial support to </w:t>
      </w:r>
      <w:r w:rsidR="00CE42E9" w:rsidRPr="005E1CFA">
        <w:rPr>
          <w:lang w:val="en-GB"/>
        </w:rPr>
        <w:t xml:space="preserve">delivering </w:t>
      </w:r>
      <w:r w:rsidR="00DF31D2" w:rsidRPr="005E1CFA">
        <w:rPr>
          <w:lang w:val="en-GB"/>
        </w:rPr>
        <w:t>essential service</w:t>
      </w:r>
      <w:r w:rsidR="00CE42E9" w:rsidRPr="005E1CFA">
        <w:rPr>
          <w:lang w:val="en-GB"/>
        </w:rPr>
        <w:t>s</w:t>
      </w:r>
      <w:r w:rsidR="00DF31D2" w:rsidRPr="005E1CFA">
        <w:rPr>
          <w:lang w:val="en-GB"/>
        </w:rPr>
        <w:t xml:space="preserve"> to </w:t>
      </w:r>
      <w:r w:rsidR="00DD4E33" w:rsidRPr="005E1CFA">
        <w:rPr>
          <w:lang w:val="en-GB"/>
        </w:rPr>
        <w:t xml:space="preserve">vulnerable </w:t>
      </w:r>
      <w:r w:rsidR="00DF31D2" w:rsidRPr="005E1CFA">
        <w:rPr>
          <w:lang w:val="en-GB"/>
        </w:rPr>
        <w:t xml:space="preserve">populations in areas where state institutions are failing or </w:t>
      </w:r>
      <w:r w:rsidR="00CE42E9" w:rsidRPr="005E1CFA">
        <w:rPr>
          <w:lang w:val="en-GB"/>
        </w:rPr>
        <w:t>absent</w:t>
      </w:r>
      <w:r w:rsidR="00DF31D2" w:rsidRPr="005E1CFA">
        <w:rPr>
          <w:lang w:val="en-GB"/>
        </w:rPr>
        <w:t>.</w:t>
      </w:r>
    </w:p>
    <w:p w14:paraId="28B71D62" w14:textId="39BC9918" w:rsidR="00F62913" w:rsidRPr="005E1CFA" w:rsidRDefault="00ED206C" w:rsidP="00FE6C02">
      <w:pPr>
        <w:numPr>
          <w:ilvl w:val="0"/>
          <w:numId w:val="3"/>
        </w:numPr>
        <w:tabs>
          <w:tab w:val="left" w:pos="360"/>
        </w:tabs>
        <w:spacing w:after="120"/>
        <w:ind w:left="360" w:right="1210" w:firstLine="0"/>
        <w:jc w:val="both"/>
        <w:rPr>
          <w:lang w:val="en-GB"/>
        </w:rPr>
      </w:pPr>
      <w:r w:rsidRPr="005E1CFA">
        <w:rPr>
          <w:lang w:val="en-GB"/>
        </w:rPr>
        <w:t>To boost weak government service</w:t>
      </w:r>
      <w:r w:rsidR="00CE42E9" w:rsidRPr="005E1CFA">
        <w:rPr>
          <w:lang w:val="en-GB"/>
        </w:rPr>
        <w:t>-</w:t>
      </w:r>
      <w:r w:rsidRPr="005E1CFA">
        <w:rPr>
          <w:lang w:val="en-GB"/>
        </w:rPr>
        <w:t xml:space="preserve">delivery capacity, UNDP acts as </w:t>
      </w:r>
      <w:r w:rsidR="00CE42E9" w:rsidRPr="005E1CFA">
        <w:rPr>
          <w:lang w:val="en-GB"/>
        </w:rPr>
        <w:t>p</w:t>
      </w:r>
      <w:r w:rsidR="00F62913" w:rsidRPr="005E1CFA">
        <w:rPr>
          <w:lang w:val="en-GB"/>
        </w:rPr>
        <w:t xml:space="preserve">rincipal </w:t>
      </w:r>
      <w:r w:rsidR="00CE42E9" w:rsidRPr="005E1CFA">
        <w:rPr>
          <w:lang w:val="en-GB"/>
        </w:rPr>
        <w:t>r</w:t>
      </w:r>
      <w:r w:rsidR="00F62913" w:rsidRPr="005E1CFA">
        <w:rPr>
          <w:lang w:val="en-GB"/>
        </w:rPr>
        <w:t>ecipient of the Global Fund for AIDS, Tuberculosis and Malaria</w:t>
      </w:r>
      <w:r w:rsidR="003B0697">
        <w:rPr>
          <w:lang w:val="en-GB"/>
        </w:rPr>
        <w:t>. In that</w:t>
      </w:r>
      <w:r w:rsidRPr="005E1CFA">
        <w:rPr>
          <w:lang w:val="en-GB"/>
        </w:rPr>
        <w:t xml:space="preserve"> role,</w:t>
      </w:r>
      <w:r w:rsidR="00F62913" w:rsidRPr="005E1CFA">
        <w:rPr>
          <w:lang w:val="en-GB"/>
        </w:rPr>
        <w:t xml:space="preserve"> </w:t>
      </w:r>
      <w:r w:rsidR="00CE42E9" w:rsidRPr="005E1CFA">
        <w:rPr>
          <w:lang w:val="en-GB"/>
        </w:rPr>
        <w:t xml:space="preserve">in close coordination with the humanitarian community, </w:t>
      </w:r>
      <w:r w:rsidR="00F62913" w:rsidRPr="005E1CFA">
        <w:rPr>
          <w:lang w:val="en-GB"/>
        </w:rPr>
        <w:t xml:space="preserve">UNDP will </w:t>
      </w:r>
      <w:r w:rsidR="00CA45AF" w:rsidRPr="005E1CFA">
        <w:rPr>
          <w:lang w:val="en-GB"/>
        </w:rPr>
        <w:t xml:space="preserve">support basic service delivery </w:t>
      </w:r>
      <w:r w:rsidR="00F62913" w:rsidRPr="005E1CFA">
        <w:rPr>
          <w:lang w:val="en-GB"/>
        </w:rPr>
        <w:t>to achieve a 50</w:t>
      </w:r>
      <w:r w:rsidR="00690AC1" w:rsidRPr="005E1CFA">
        <w:rPr>
          <w:lang w:val="en-GB"/>
        </w:rPr>
        <w:t xml:space="preserve"> per cent</w:t>
      </w:r>
      <w:r w:rsidR="00F62913" w:rsidRPr="005E1CFA">
        <w:rPr>
          <w:lang w:val="en-GB"/>
        </w:rPr>
        <w:t xml:space="preserve"> reduction in new adult HIV infections and HIV</w:t>
      </w:r>
      <w:r w:rsidR="00CE42E9" w:rsidRPr="005E1CFA">
        <w:rPr>
          <w:lang w:val="en-GB"/>
        </w:rPr>
        <w:t>-</w:t>
      </w:r>
      <w:r w:rsidR="00F62913" w:rsidRPr="005E1CFA">
        <w:rPr>
          <w:lang w:val="en-GB"/>
        </w:rPr>
        <w:t>related deaths by 2017</w:t>
      </w:r>
      <w:r w:rsidR="00CE42E9" w:rsidRPr="005E1CFA">
        <w:rPr>
          <w:lang w:val="en-GB"/>
        </w:rPr>
        <w:t>,</w:t>
      </w:r>
      <w:r w:rsidR="00F62913" w:rsidRPr="005E1CFA">
        <w:rPr>
          <w:lang w:val="en-GB"/>
        </w:rPr>
        <w:t xml:space="preserve"> and </w:t>
      </w:r>
      <w:r w:rsidR="00547A10" w:rsidRPr="005E1CFA">
        <w:rPr>
          <w:lang w:val="en-GB"/>
        </w:rPr>
        <w:t xml:space="preserve">a </w:t>
      </w:r>
      <w:r w:rsidR="00F62913" w:rsidRPr="005E1CFA">
        <w:rPr>
          <w:lang w:val="en-GB"/>
        </w:rPr>
        <w:t>30</w:t>
      </w:r>
      <w:r w:rsidR="00690AC1" w:rsidRPr="005E1CFA">
        <w:rPr>
          <w:lang w:val="en-GB"/>
        </w:rPr>
        <w:t xml:space="preserve"> per cent</w:t>
      </w:r>
      <w:r w:rsidR="00F62913" w:rsidRPr="005E1CFA">
        <w:rPr>
          <w:lang w:val="en-GB"/>
        </w:rPr>
        <w:t xml:space="preserve"> reduction in </w:t>
      </w:r>
      <w:r w:rsidR="00120C67" w:rsidRPr="005E1CFA">
        <w:rPr>
          <w:lang w:val="en-GB"/>
        </w:rPr>
        <w:t>tuberculosis</w:t>
      </w:r>
      <w:r w:rsidR="00F62913" w:rsidRPr="005E1CFA">
        <w:rPr>
          <w:lang w:val="en-GB"/>
        </w:rPr>
        <w:t xml:space="preserve"> prevalence. </w:t>
      </w:r>
      <w:r w:rsidR="003B0697">
        <w:rPr>
          <w:lang w:val="en-GB"/>
        </w:rPr>
        <w:t>The programme will provide</w:t>
      </w:r>
      <w:r w:rsidR="00F62913" w:rsidRPr="005E1CFA">
        <w:rPr>
          <w:lang w:val="en-GB"/>
        </w:rPr>
        <w:t xml:space="preserve"> </w:t>
      </w:r>
      <w:r w:rsidR="00CE42E9" w:rsidRPr="005E1CFA">
        <w:rPr>
          <w:lang w:val="en-GB"/>
        </w:rPr>
        <w:t xml:space="preserve">anti-retroviral treatment </w:t>
      </w:r>
      <w:r w:rsidR="00F62913" w:rsidRPr="005E1CFA">
        <w:rPr>
          <w:lang w:val="en-GB"/>
        </w:rPr>
        <w:t>to adults and children liv</w:t>
      </w:r>
      <w:r w:rsidR="00CA45AF" w:rsidRPr="005E1CFA">
        <w:rPr>
          <w:lang w:val="en-GB"/>
        </w:rPr>
        <w:t>ing with HIV and AIDS</w:t>
      </w:r>
      <w:r w:rsidR="00CE42E9" w:rsidRPr="005E1CFA">
        <w:rPr>
          <w:lang w:val="en-GB"/>
        </w:rPr>
        <w:t>,</w:t>
      </w:r>
      <w:r w:rsidR="000F2B91" w:rsidRPr="005E1CFA">
        <w:rPr>
          <w:lang w:val="en-GB"/>
        </w:rPr>
        <w:t xml:space="preserve"> as well as</w:t>
      </w:r>
      <w:r w:rsidR="00F62913" w:rsidRPr="005E1CFA">
        <w:rPr>
          <w:lang w:val="en-GB"/>
        </w:rPr>
        <w:t xml:space="preserve"> </w:t>
      </w:r>
      <w:r w:rsidR="00EE603B" w:rsidRPr="005E1CFA">
        <w:rPr>
          <w:lang w:val="en-GB"/>
        </w:rPr>
        <w:t>prevention of mother-to-child HIV transmission</w:t>
      </w:r>
      <w:r w:rsidR="00EE603B" w:rsidRPr="005E1CFA">
        <w:rPr>
          <w:highlight w:val="yellow"/>
          <w:lang w:val="en-GB"/>
        </w:rPr>
        <w:t xml:space="preserve"> </w:t>
      </w:r>
      <w:r w:rsidR="00CA45AF" w:rsidRPr="005E1CFA">
        <w:rPr>
          <w:lang w:val="en-GB"/>
        </w:rPr>
        <w:t>services to infected parents. UNDP</w:t>
      </w:r>
      <w:r w:rsidR="00F62913" w:rsidRPr="005E1CFA">
        <w:rPr>
          <w:lang w:val="en-GB"/>
        </w:rPr>
        <w:t xml:space="preserve"> HIV/AIDS prevention services target the whole population </w:t>
      </w:r>
      <w:r w:rsidR="00CE42E9" w:rsidRPr="005E1CFA">
        <w:rPr>
          <w:lang w:val="en-GB"/>
        </w:rPr>
        <w:t xml:space="preserve">of </w:t>
      </w:r>
      <w:r w:rsidR="00F62913" w:rsidRPr="005E1CFA">
        <w:rPr>
          <w:lang w:val="en-GB"/>
        </w:rPr>
        <w:t>South Sudan, with specific attention directed towards</w:t>
      </w:r>
      <w:r w:rsidR="00CA45AF" w:rsidRPr="005E1CFA">
        <w:rPr>
          <w:lang w:val="en-GB"/>
        </w:rPr>
        <w:t xml:space="preserve"> </w:t>
      </w:r>
      <w:r w:rsidR="00690AC1" w:rsidRPr="005E1CFA">
        <w:rPr>
          <w:rFonts w:eastAsia="Batang"/>
          <w:lang w:val="en-GB"/>
        </w:rPr>
        <w:t>internally displaced persons</w:t>
      </w:r>
      <w:r w:rsidR="00CA45AF" w:rsidRPr="005E1CFA">
        <w:rPr>
          <w:lang w:val="en-GB"/>
        </w:rPr>
        <w:t xml:space="preserve"> </w:t>
      </w:r>
      <w:r w:rsidR="00CE42E9" w:rsidRPr="005E1CFA">
        <w:rPr>
          <w:lang w:val="en-GB"/>
        </w:rPr>
        <w:t>and</w:t>
      </w:r>
      <w:r w:rsidR="00CA45AF" w:rsidRPr="005E1CFA">
        <w:rPr>
          <w:lang w:val="en-GB"/>
        </w:rPr>
        <w:t xml:space="preserve"> high</w:t>
      </w:r>
      <w:r w:rsidR="00CE42E9" w:rsidRPr="005E1CFA">
        <w:rPr>
          <w:lang w:val="en-GB"/>
        </w:rPr>
        <w:t>-</w:t>
      </w:r>
      <w:r w:rsidR="00CA45AF" w:rsidRPr="005E1CFA">
        <w:rPr>
          <w:lang w:val="en-GB"/>
        </w:rPr>
        <w:t xml:space="preserve">risk groups such as </w:t>
      </w:r>
      <w:r w:rsidR="00F62913" w:rsidRPr="005E1CFA">
        <w:rPr>
          <w:lang w:val="en-GB"/>
        </w:rPr>
        <w:t>sex workers and their clients</w:t>
      </w:r>
      <w:r w:rsidR="003046F5" w:rsidRPr="005E1CFA">
        <w:rPr>
          <w:lang w:val="en-GB"/>
        </w:rPr>
        <w:t xml:space="preserve">. </w:t>
      </w:r>
      <w:r w:rsidR="00120C67" w:rsidRPr="005E1CFA">
        <w:rPr>
          <w:lang w:val="en-GB"/>
        </w:rPr>
        <w:t>Tuberculosis-</w:t>
      </w:r>
      <w:r w:rsidR="00CA45AF" w:rsidRPr="005E1CFA">
        <w:rPr>
          <w:lang w:val="en-GB"/>
        </w:rPr>
        <w:t>focused interventions will target</w:t>
      </w:r>
      <w:r w:rsidR="00F62913" w:rsidRPr="005E1CFA">
        <w:rPr>
          <w:lang w:val="en-GB"/>
        </w:rPr>
        <w:t xml:space="preserve"> </w:t>
      </w:r>
      <w:r w:rsidR="00120C67" w:rsidRPr="005E1CFA">
        <w:rPr>
          <w:lang w:val="en-GB"/>
        </w:rPr>
        <w:t xml:space="preserve">tuberculosis </w:t>
      </w:r>
      <w:r w:rsidR="00F62913" w:rsidRPr="005E1CFA">
        <w:rPr>
          <w:lang w:val="en-GB"/>
        </w:rPr>
        <w:t xml:space="preserve">and </w:t>
      </w:r>
      <w:r w:rsidR="00CA45AF" w:rsidRPr="005E1CFA">
        <w:rPr>
          <w:lang w:val="en-GB"/>
        </w:rPr>
        <w:t xml:space="preserve">HIV patients and their families. </w:t>
      </w:r>
      <w:r w:rsidR="00120C67" w:rsidRPr="005E1CFA">
        <w:rPr>
          <w:lang w:val="en-GB"/>
        </w:rPr>
        <w:t>Tuberculosis</w:t>
      </w:r>
      <w:r w:rsidR="00CA45AF" w:rsidRPr="005E1CFA">
        <w:rPr>
          <w:lang w:val="en-GB"/>
        </w:rPr>
        <w:t xml:space="preserve"> p</w:t>
      </w:r>
      <w:r w:rsidR="00F62913" w:rsidRPr="005E1CFA">
        <w:rPr>
          <w:lang w:val="en-GB"/>
        </w:rPr>
        <w:t>revention</w:t>
      </w:r>
      <w:r w:rsidR="00CA45AF" w:rsidRPr="005E1CFA">
        <w:rPr>
          <w:lang w:val="en-GB"/>
        </w:rPr>
        <w:t xml:space="preserve"> activities targeting the general population</w:t>
      </w:r>
      <w:r w:rsidR="00F62913" w:rsidRPr="005E1CFA">
        <w:rPr>
          <w:lang w:val="en-GB"/>
        </w:rPr>
        <w:t xml:space="preserve"> will </w:t>
      </w:r>
      <w:r w:rsidR="00CA45AF" w:rsidRPr="005E1CFA">
        <w:rPr>
          <w:lang w:val="en-GB"/>
        </w:rPr>
        <w:t>prioritize high</w:t>
      </w:r>
      <w:r w:rsidR="00CE42E9" w:rsidRPr="005E1CFA">
        <w:rPr>
          <w:lang w:val="en-GB"/>
        </w:rPr>
        <w:t>-</w:t>
      </w:r>
      <w:r w:rsidR="00CA45AF" w:rsidRPr="005E1CFA">
        <w:rPr>
          <w:lang w:val="en-GB"/>
        </w:rPr>
        <w:t xml:space="preserve">risk areas such as </w:t>
      </w:r>
      <w:r w:rsidR="00CE42E9" w:rsidRPr="005E1CFA">
        <w:rPr>
          <w:rFonts w:eastAsia="Batang"/>
          <w:lang w:val="en-GB"/>
        </w:rPr>
        <w:t>internally displaced persons’</w:t>
      </w:r>
      <w:r w:rsidR="00CA45AF" w:rsidRPr="005E1CFA">
        <w:rPr>
          <w:lang w:val="en-GB"/>
        </w:rPr>
        <w:t xml:space="preserve"> camps</w:t>
      </w:r>
      <w:r w:rsidR="003046F5" w:rsidRPr="005E1CFA">
        <w:rPr>
          <w:lang w:val="en-GB"/>
        </w:rPr>
        <w:t xml:space="preserve">. </w:t>
      </w:r>
      <w:r w:rsidR="00F62913" w:rsidRPr="005E1CFA">
        <w:rPr>
          <w:lang w:val="en-GB"/>
        </w:rPr>
        <w:t xml:space="preserve"> </w:t>
      </w:r>
    </w:p>
    <w:p w14:paraId="13EEF333" w14:textId="3BBD5CCE" w:rsidR="00F62913" w:rsidRPr="005E1CFA" w:rsidRDefault="00F62913" w:rsidP="002D56BC">
      <w:pPr>
        <w:pStyle w:val="ListParagraph"/>
        <w:tabs>
          <w:tab w:val="left" w:pos="1620"/>
          <w:tab w:val="left" w:pos="1710"/>
        </w:tabs>
        <w:spacing w:after="120"/>
        <w:ind w:left="360" w:right="1210"/>
        <w:jc w:val="both"/>
        <w:rPr>
          <w:rFonts w:eastAsiaTheme="minorHAnsi"/>
          <w:b/>
          <w:sz w:val="24"/>
          <w:szCs w:val="24"/>
          <w:lang w:val="en-GB"/>
        </w:rPr>
      </w:pPr>
      <w:r w:rsidRPr="005E1CFA">
        <w:rPr>
          <w:rFonts w:eastAsiaTheme="minorHAnsi"/>
          <w:b/>
          <w:sz w:val="24"/>
          <w:szCs w:val="24"/>
          <w:lang w:val="en-GB"/>
        </w:rPr>
        <w:t xml:space="preserve">Pillar 2: Peace and </w:t>
      </w:r>
      <w:r w:rsidR="00CF3006" w:rsidRPr="005E1CFA">
        <w:rPr>
          <w:rFonts w:eastAsiaTheme="minorHAnsi"/>
          <w:b/>
          <w:sz w:val="24"/>
          <w:szCs w:val="24"/>
          <w:lang w:val="en-GB"/>
        </w:rPr>
        <w:t>g</w:t>
      </w:r>
      <w:r w:rsidRPr="005E1CFA">
        <w:rPr>
          <w:rFonts w:eastAsiaTheme="minorHAnsi"/>
          <w:b/>
          <w:sz w:val="24"/>
          <w:szCs w:val="24"/>
          <w:lang w:val="en-GB"/>
        </w:rPr>
        <w:t xml:space="preserve">overnance </w:t>
      </w:r>
      <w:r w:rsidR="00CF3006" w:rsidRPr="005E1CFA">
        <w:rPr>
          <w:rFonts w:eastAsiaTheme="minorHAnsi"/>
          <w:b/>
          <w:sz w:val="24"/>
          <w:szCs w:val="24"/>
          <w:lang w:val="en-GB"/>
        </w:rPr>
        <w:t>s</w:t>
      </w:r>
      <w:r w:rsidRPr="005E1CFA">
        <w:rPr>
          <w:rFonts w:eastAsiaTheme="minorHAnsi"/>
          <w:b/>
          <w:sz w:val="24"/>
          <w:szCs w:val="24"/>
          <w:lang w:val="en-GB"/>
        </w:rPr>
        <w:t>trengthened</w:t>
      </w:r>
    </w:p>
    <w:p w14:paraId="50F4A0A7" w14:textId="3710E473" w:rsidR="00425E93" w:rsidRPr="005E1CFA" w:rsidRDefault="00425E93" w:rsidP="00FE6C02">
      <w:pPr>
        <w:pStyle w:val="ListParagraph"/>
        <w:numPr>
          <w:ilvl w:val="0"/>
          <w:numId w:val="3"/>
        </w:numPr>
        <w:tabs>
          <w:tab w:val="left" w:pos="360"/>
        </w:tabs>
        <w:spacing w:after="120"/>
        <w:ind w:left="360" w:right="1210" w:firstLine="0"/>
        <w:jc w:val="both"/>
        <w:rPr>
          <w:lang w:val="en-GB"/>
        </w:rPr>
      </w:pPr>
      <w:r w:rsidRPr="005E1CFA">
        <w:rPr>
          <w:lang w:val="en-GB"/>
        </w:rPr>
        <w:t xml:space="preserve">UNDP will provide policy advice on strategic management and diversification of the economy </w:t>
      </w:r>
      <w:r w:rsidR="00163C72" w:rsidRPr="005E1CFA">
        <w:rPr>
          <w:lang w:val="en-GB"/>
        </w:rPr>
        <w:t>a</w:t>
      </w:r>
      <w:r w:rsidRPr="005E1CFA">
        <w:rPr>
          <w:lang w:val="en-GB"/>
        </w:rPr>
        <w:t xml:space="preserve">nd </w:t>
      </w:r>
      <w:r w:rsidR="00830068" w:rsidRPr="005E1CFA">
        <w:rPr>
          <w:lang w:val="en-GB"/>
        </w:rPr>
        <w:t xml:space="preserve">on </w:t>
      </w:r>
      <w:r w:rsidRPr="005E1CFA">
        <w:rPr>
          <w:lang w:val="en-GB"/>
        </w:rPr>
        <w:t>transformational change. UNDP will provide technical support to gender</w:t>
      </w:r>
      <w:r w:rsidR="00830068" w:rsidRPr="005E1CFA">
        <w:rPr>
          <w:lang w:val="en-GB"/>
        </w:rPr>
        <w:t>-</w:t>
      </w:r>
      <w:r w:rsidRPr="005E1CFA">
        <w:rPr>
          <w:lang w:val="en-GB"/>
        </w:rPr>
        <w:t xml:space="preserve">responsive budget preparation and execution and harmonization of tax collection systems at </w:t>
      </w:r>
      <w:r w:rsidR="003B0697">
        <w:rPr>
          <w:lang w:val="en-GB"/>
        </w:rPr>
        <w:t>the national and sub</w:t>
      </w:r>
      <w:r w:rsidRPr="005E1CFA">
        <w:rPr>
          <w:lang w:val="en-GB"/>
        </w:rPr>
        <w:t xml:space="preserve">national levels. </w:t>
      </w:r>
      <w:r w:rsidR="00830068" w:rsidRPr="005E1CFA">
        <w:rPr>
          <w:lang w:val="en-GB"/>
        </w:rPr>
        <w:t>I</w:t>
      </w:r>
      <w:r w:rsidRPr="005E1CFA">
        <w:rPr>
          <w:lang w:val="en-GB"/>
        </w:rPr>
        <w:t xml:space="preserve">nterventions will include strengthening the analytical and institutional capacities in the Presidency and national research institutions to design and implement national development strategies and policies in line with the provisions of the peace agreement and the </w:t>
      </w:r>
      <w:r w:rsidR="00830068" w:rsidRPr="005E1CFA">
        <w:rPr>
          <w:lang w:val="en-GB"/>
        </w:rPr>
        <w:t>s</w:t>
      </w:r>
      <w:r w:rsidR="00547A10" w:rsidRPr="005E1CFA">
        <w:rPr>
          <w:lang w:val="en-GB"/>
        </w:rPr>
        <w:t xml:space="preserve">ustainable </w:t>
      </w:r>
      <w:r w:rsidR="00830068" w:rsidRPr="005E1CFA">
        <w:rPr>
          <w:lang w:val="en-GB"/>
        </w:rPr>
        <w:t>d</w:t>
      </w:r>
      <w:r w:rsidR="00547A10" w:rsidRPr="005E1CFA">
        <w:rPr>
          <w:lang w:val="en-GB"/>
        </w:rPr>
        <w:t xml:space="preserve">evelopment </w:t>
      </w:r>
      <w:r w:rsidR="00830068" w:rsidRPr="005E1CFA">
        <w:rPr>
          <w:lang w:val="en-GB"/>
        </w:rPr>
        <w:t>g</w:t>
      </w:r>
      <w:r w:rsidR="00547A10" w:rsidRPr="005E1CFA">
        <w:rPr>
          <w:lang w:val="en-GB"/>
        </w:rPr>
        <w:t>oals</w:t>
      </w:r>
      <w:r w:rsidRPr="005E1CFA">
        <w:rPr>
          <w:lang w:val="en-GB"/>
        </w:rPr>
        <w:t>. Support will be provided to strengthen the aid effe</w:t>
      </w:r>
      <w:r w:rsidR="003B0697">
        <w:rPr>
          <w:lang w:val="en-GB"/>
        </w:rPr>
        <w:t>ctiveness system in the country</w:t>
      </w:r>
      <w:r w:rsidR="00830068" w:rsidRPr="005E1CFA">
        <w:rPr>
          <w:lang w:val="en-GB"/>
        </w:rPr>
        <w:t>,</w:t>
      </w:r>
      <w:r w:rsidRPr="005E1CFA">
        <w:rPr>
          <w:lang w:val="en-GB"/>
        </w:rPr>
        <w:t xml:space="preserve"> and </w:t>
      </w:r>
      <w:r w:rsidR="00830068" w:rsidRPr="005E1CFA">
        <w:rPr>
          <w:lang w:val="en-GB"/>
        </w:rPr>
        <w:t xml:space="preserve">to </w:t>
      </w:r>
      <w:r w:rsidRPr="005E1CFA">
        <w:rPr>
          <w:lang w:val="en-GB"/>
        </w:rPr>
        <w:t xml:space="preserve">the National Bureau of Statistics to address national data gaps in relation to the </w:t>
      </w:r>
      <w:r w:rsidR="00830068" w:rsidRPr="005E1CFA">
        <w:rPr>
          <w:lang w:val="en-GB"/>
        </w:rPr>
        <w:t>goals</w:t>
      </w:r>
      <w:r w:rsidRPr="005E1CFA">
        <w:rPr>
          <w:lang w:val="en-GB"/>
        </w:rPr>
        <w:t xml:space="preserve">. UNDP will </w:t>
      </w:r>
      <w:r w:rsidR="00C714C9" w:rsidRPr="005E1CFA">
        <w:rPr>
          <w:lang w:val="en-GB"/>
        </w:rPr>
        <w:t>focus on</w:t>
      </w:r>
      <w:r w:rsidRPr="005E1CFA">
        <w:rPr>
          <w:lang w:val="en-GB"/>
        </w:rPr>
        <w:t xml:space="preserve"> thought leadership and contribute to the identification of sustainable development pathways through regularly produced knowledge</w:t>
      </w:r>
      <w:r w:rsidR="00AA6AF3" w:rsidRPr="005E1CFA">
        <w:rPr>
          <w:lang w:val="en-GB"/>
        </w:rPr>
        <w:t xml:space="preserve"> </w:t>
      </w:r>
      <w:r w:rsidRPr="005E1CFA">
        <w:rPr>
          <w:lang w:val="en-GB"/>
        </w:rPr>
        <w:t>products</w:t>
      </w:r>
      <w:r w:rsidR="008612B7" w:rsidRPr="005E1CFA">
        <w:rPr>
          <w:lang w:val="en-GB"/>
        </w:rPr>
        <w:t xml:space="preserve"> </w:t>
      </w:r>
      <w:r w:rsidR="00830068" w:rsidRPr="005E1CFA">
        <w:rPr>
          <w:lang w:val="en-GB"/>
        </w:rPr>
        <w:t xml:space="preserve">such as </w:t>
      </w:r>
      <w:r w:rsidR="008612B7" w:rsidRPr="005E1CFA">
        <w:rPr>
          <w:lang w:val="en-GB"/>
        </w:rPr>
        <w:t xml:space="preserve">the </w:t>
      </w:r>
      <w:r w:rsidR="00830068" w:rsidRPr="005E1CFA">
        <w:rPr>
          <w:lang w:val="en-GB"/>
        </w:rPr>
        <w:t>n</w:t>
      </w:r>
      <w:r w:rsidR="008612B7" w:rsidRPr="005E1CFA">
        <w:rPr>
          <w:lang w:val="en-GB"/>
        </w:rPr>
        <w:t xml:space="preserve">ational </w:t>
      </w:r>
      <w:r w:rsidR="00830068" w:rsidRPr="005E1CFA">
        <w:rPr>
          <w:lang w:val="en-GB"/>
        </w:rPr>
        <w:t>h</w:t>
      </w:r>
      <w:r w:rsidR="008612B7" w:rsidRPr="005E1CFA">
        <w:rPr>
          <w:lang w:val="en-GB"/>
        </w:rPr>
        <w:t xml:space="preserve">uman </w:t>
      </w:r>
      <w:r w:rsidR="00830068" w:rsidRPr="005E1CFA">
        <w:rPr>
          <w:lang w:val="en-GB"/>
        </w:rPr>
        <w:t>d</w:t>
      </w:r>
      <w:r w:rsidR="008612B7" w:rsidRPr="005E1CFA">
        <w:rPr>
          <w:lang w:val="en-GB"/>
        </w:rPr>
        <w:t xml:space="preserve">evelopment </w:t>
      </w:r>
      <w:r w:rsidR="00830068" w:rsidRPr="005E1CFA">
        <w:rPr>
          <w:lang w:val="en-GB"/>
        </w:rPr>
        <w:t>r</w:t>
      </w:r>
      <w:r w:rsidR="008612B7" w:rsidRPr="005E1CFA">
        <w:rPr>
          <w:lang w:val="en-GB"/>
        </w:rPr>
        <w:t>eport</w:t>
      </w:r>
      <w:r w:rsidRPr="005E1CFA">
        <w:rPr>
          <w:lang w:val="en-GB"/>
        </w:rPr>
        <w:t xml:space="preserve">. </w:t>
      </w:r>
      <w:r w:rsidR="000125C3" w:rsidRPr="005E1CFA">
        <w:rPr>
          <w:lang w:val="en-GB"/>
        </w:rPr>
        <w:t xml:space="preserve">The </w:t>
      </w:r>
      <w:r w:rsidR="00830068" w:rsidRPr="005E1CFA">
        <w:rPr>
          <w:lang w:val="en-GB"/>
        </w:rPr>
        <w:t xml:space="preserve">report </w:t>
      </w:r>
      <w:r w:rsidR="000125C3" w:rsidRPr="005E1CFA">
        <w:rPr>
          <w:lang w:val="en-GB"/>
        </w:rPr>
        <w:t>provides a robust analytical basis for planning and targeting development interventions to address the root causes of socio-economic deprivation, inequalit</w:t>
      </w:r>
      <w:r w:rsidR="00830068" w:rsidRPr="005E1CFA">
        <w:rPr>
          <w:lang w:val="en-GB"/>
        </w:rPr>
        <w:t>y</w:t>
      </w:r>
      <w:r w:rsidR="000125C3" w:rsidRPr="005E1CFA">
        <w:rPr>
          <w:lang w:val="en-GB"/>
        </w:rPr>
        <w:t xml:space="preserve"> and governance failures. </w:t>
      </w:r>
    </w:p>
    <w:p w14:paraId="53C3F830" w14:textId="3C348AAB" w:rsidR="00425E93" w:rsidRPr="005E1CFA" w:rsidRDefault="00425E93" w:rsidP="00FE6C02">
      <w:pPr>
        <w:pStyle w:val="ListParagraph"/>
        <w:numPr>
          <w:ilvl w:val="0"/>
          <w:numId w:val="3"/>
        </w:numPr>
        <w:tabs>
          <w:tab w:val="left" w:pos="360"/>
        </w:tabs>
        <w:spacing w:after="120"/>
        <w:ind w:left="360" w:right="1210" w:firstLine="0"/>
        <w:jc w:val="both"/>
        <w:rPr>
          <w:lang w:val="en-GB"/>
        </w:rPr>
      </w:pPr>
      <w:r w:rsidRPr="005E1CFA">
        <w:rPr>
          <w:lang w:val="en-GB"/>
        </w:rPr>
        <w:t xml:space="preserve">In </w:t>
      </w:r>
      <w:r w:rsidR="00547A10" w:rsidRPr="005E1CFA">
        <w:rPr>
          <w:lang w:val="en-GB"/>
        </w:rPr>
        <w:t xml:space="preserve">helping </w:t>
      </w:r>
      <w:r w:rsidRPr="005E1CFA">
        <w:rPr>
          <w:lang w:val="en-GB"/>
        </w:rPr>
        <w:t xml:space="preserve">build a capable civil service that reflects </w:t>
      </w:r>
      <w:r w:rsidR="00C34339" w:rsidRPr="005E1CFA">
        <w:rPr>
          <w:lang w:val="en-GB"/>
        </w:rPr>
        <w:t xml:space="preserve">the </w:t>
      </w:r>
      <w:r w:rsidRPr="005E1CFA">
        <w:rPr>
          <w:lang w:val="en-GB"/>
        </w:rPr>
        <w:t>diversity</w:t>
      </w:r>
      <w:r w:rsidR="00C34339" w:rsidRPr="005E1CFA">
        <w:rPr>
          <w:lang w:val="en-GB"/>
        </w:rPr>
        <w:t xml:space="preserve"> of South Sudan</w:t>
      </w:r>
      <w:r w:rsidRPr="005E1CFA">
        <w:rPr>
          <w:lang w:val="en-GB"/>
        </w:rPr>
        <w:t xml:space="preserve">, UNDP relies strongly on South-South </w:t>
      </w:r>
      <w:r w:rsidR="00C34339" w:rsidRPr="005E1CFA">
        <w:rPr>
          <w:lang w:val="en-GB"/>
        </w:rPr>
        <w:t>c</w:t>
      </w:r>
      <w:r w:rsidRPr="005E1CFA">
        <w:rPr>
          <w:lang w:val="en-GB"/>
        </w:rPr>
        <w:t>ooperation</w:t>
      </w:r>
      <w:r w:rsidR="00C34339" w:rsidRPr="005E1CFA">
        <w:rPr>
          <w:lang w:val="en-GB"/>
        </w:rPr>
        <w:t>,</w:t>
      </w:r>
      <w:r w:rsidR="000125C3" w:rsidRPr="005E1CFA">
        <w:rPr>
          <w:lang w:val="en-GB"/>
        </w:rPr>
        <w:t xml:space="preserve"> </w:t>
      </w:r>
      <w:r w:rsidR="00C34339" w:rsidRPr="005E1CFA">
        <w:rPr>
          <w:lang w:val="en-GB"/>
        </w:rPr>
        <w:t xml:space="preserve">which it </w:t>
      </w:r>
      <w:r w:rsidR="000125C3" w:rsidRPr="005E1CFA">
        <w:rPr>
          <w:lang w:val="en-GB"/>
        </w:rPr>
        <w:t xml:space="preserve">will seek </w:t>
      </w:r>
      <w:r w:rsidR="00547A10" w:rsidRPr="005E1CFA">
        <w:rPr>
          <w:lang w:val="en-GB"/>
        </w:rPr>
        <w:t xml:space="preserve">further </w:t>
      </w:r>
      <w:r w:rsidR="000125C3" w:rsidRPr="005E1CFA">
        <w:rPr>
          <w:lang w:val="en-GB"/>
        </w:rPr>
        <w:t>opportunities to expand</w:t>
      </w:r>
      <w:r w:rsidRPr="005E1CFA">
        <w:rPr>
          <w:lang w:val="en-GB"/>
        </w:rPr>
        <w:t xml:space="preserve">. </w:t>
      </w:r>
      <w:r w:rsidR="00C34339" w:rsidRPr="005E1CFA">
        <w:rPr>
          <w:lang w:val="en-GB"/>
        </w:rPr>
        <w:t xml:space="preserve">In partnership with IGAD, </w:t>
      </w:r>
      <w:r w:rsidRPr="005E1CFA">
        <w:rPr>
          <w:lang w:val="en-GB"/>
        </w:rPr>
        <w:t>UNDP</w:t>
      </w:r>
      <w:r w:rsidR="00C34339" w:rsidRPr="005E1CFA">
        <w:rPr>
          <w:lang w:val="en-GB"/>
        </w:rPr>
        <w:t xml:space="preserve"> will</w:t>
      </w:r>
      <w:r w:rsidRPr="005E1CFA">
        <w:rPr>
          <w:lang w:val="en-GB"/>
        </w:rPr>
        <w:t xml:space="preserve"> continue to support </w:t>
      </w:r>
      <w:r w:rsidRPr="005E1CFA">
        <w:rPr>
          <w:rFonts w:eastAsia="Batang"/>
          <w:lang w:val="en-GB"/>
        </w:rPr>
        <w:t>civil service capacity strengthening</w:t>
      </w:r>
      <w:r w:rsidRPr="005E1CFA">
        <w:rPr>
          <w:lang w:val="en-GB"/>
        </w:rPr>
        <w:t>, civil service reform and the development of related legislative and policy actions, particularly at the subnational level</w:t>
      </w:r>
      <w:r w:rsidR="00C34339" w:rsidRPr="005E1CFA">
        <w:rPr>
          <w:lang w:val="en-GB"/>
        </w:rPr>
        <w:t>,</w:t>
      </w:r>
      <w:r w:rsidRPr="005E1CFA">
        <w:rPr>
          <w:lang w:val="en-GB"/>
        </w:rPr>
        <w:t xml:space="preserve"> through regional approaches tailored to the situation in the </w:t>
      </w:r>
      <w:r w:rsidR="00C34339" w:rsidRPr="005E1CFA">
        <w:rPr>
          <w:lang w:val="en-GB"/>
        </w:rPr>
        <w:t xml:space="preserve">respective </w:t>
      </w:r>
      <w:r w:rsidRPr="005E1CFA">
        <w:rPr>
          <w:lang w:val="en-GB"/>
        </w:rPr>
        <w:t>area</w:t>
      </w:r>
      <w:r w:rsidR="00C34339" w:rsidRPr="005E1CFA">
        <w:rPr>
          <w:lang w:val="en-GB"/>
        </w:rPr>
        <w:t>s</w:t>
      </w:r>
      <w:r w:rsidRPr="005E1CFA">
        <w:rPr>
          <w:lang w:val="en-GB"/>
        </w:rPr>
        <w:t>. UNDP and UN</w:t>
      </w:r>
      <w:r w:rsidR="00C34339" w:rsidRPr="005E1CFA">
        <w:rPr>
          <w:lang w:val="en-GB"/>
        </w:rPr>
        <w:t>-</w:t>
      </w:r>
      <w:r w:rsidRPr="005E1CFA">
        <w:rPr>
          <w:lang w:val="en-GB"/>
        </w:rPr>
        <w:t>W</w:t>
      </w:r>
      <w:r w:rsidR="00C34339" w:rsidRPr="005E1CFA">
        <w:rPr>
          <w:lang w:val="en-GB"/>
        </w:rPr>
        <w:t>omen</w:t>
      </w:r>
      <w:r w:rsidRPr="005E1CFA">
        <w:rPr>
          <w:lang w:val="en-GB"/>
        </w:rPr>
        <w:t xml:space="preserve"> will provide technical support and training on gender-responsive recruitment and management of civil servants, particularly at the state and county levels. The programme will strengthen the capacities of accountability and oversight institutions</w:t>
      </w:r>
      <w:r w:rsidR="00C34339" w:rsidRPr="005E1CFA">
        <w:rPr>
          <w:lang w:val="en-GB"/>
        </w:rPr>
        <w:t>,</w:t>
      </w:r>
      <w:r w:rsidRPr="005E1CFA">
        <w:rPr>
          <w:lang w:val="en-GB"/>
        </w:rPr>
        <w:t xml:space="preserve"> including </w:t>
      </w:r>
      <w:r w:rsidRPr="005E1CFA">
        <w:rPr>
          <w:lang w:val="en-GB"/>
        </w:rPr>
        <w:lastRenderedPageBreak/>
        <w:t xml:space="preserve">the National Audit Chamber and </w:t>
      </w:r>
      <w:r w:rsidR="00C34339" w:rsidRPr="005E1CFA">
        <w:rPr>
          <w:lang w:val="en-GB"/>
        </w:rPr>
        <w:t xml:space="preserve">the </w:t>
      </w:r>
      <w:r w:rsidRPr="005E1CFA">
        <w:rPr>
          <w:lang w:val="en-GB"/>
        </w:rPr>
        <w:t>South Sudan Anti-Corruption Commission</w:t>
      </w:r>
      <w:r w:rsidR="00C34339" w:rsidRPr="005E1CFA">
        <w:rPr>
          <w:lang w:val="en-GB"/>
        </w:rPr>
        <w:t>,</w:t>
      </w:r>
      <w:r w:rsidRPr="005E1CFA">
        <w:rPr>
          <w:lang w:val="en-GB"/>
        </w:rPr>
        <w:t xml:space="preserve"> to</w:t>
      </w:r>
      <w:r w:rsidR="00EE603B" w:rsidRPr="005E1CFA">
        <w:rPr>
          <w:lang w:val="en-GB"/>
        </w:rPr>
        <w:t xml:space="preserve"> </w:t>
      </w:r>
      <w:r w:rsidRPr="005E1CFA">
        <w:rPr>
          <w:lang w:val="en-GB"/>
        </w:rPr>
        <w:t>deliver their mandates</w:t>
      </w:r>
      <w:r w:rsidR="00C34339" w:rsidRPr="005E1CFA">
        <w:rPr>
          <w:lang w:val="en-GB"/>
        </w:rPr>
        <w:t xml:space="preserve"> effectively</w:t>
      </w:r>
      <w:r w:rsidR="003046F5" w:rsidRPr="005E1CFA">
        <w:rPr>
          <w:lang w:val="en-GB"/>
        </w:rPr>
        <w:t xml:space="preserve">. </w:t>
      </w:r>
      <w:r w:rsidRPr="005E1CFA">
        <w:rPr>
          <w:lang w:val="en-GB"/>
        </w:rPr>
        <w:t xml:space="preserve"> </w:t>
      </w:r>
    </w:p>
    <w:p w14:paraId="20153B41" w14:textId="6B8F8B24" w:rsidR="00F62913" w:rsidRPr="005E1CFA" w:rsidRDefault="00C34339" w:rsidP="00FE6C02">
      <w:pPr>
        <w:pStyle w:val="ListParagraph"/>
        <w:numPr>
          <w:ilvl w:val="0"/>
          <w:numId w:val="3"/>
        </w:numPr>
        <w:tabs>
          <w:tab w:val="left" w:pos="360"/>
        </w:tabs>
        <w:spacing w:after="120"/>
        <w:ind w:left="360" w:right="1210" w:firstLine="0"/>
        <w:jc w:val="both"/>
        <w:rPr>
          <w:lang w:val="en-GB"/>
        </w:rPr>
      </w:pPr>
      <w:r w:rsidRPr="005E1CFA">
        <w:rPr>
          <w:lang w:val="en-GB"/>
        </w:rPr>
        <w:t>I</w:t>
      </w:r>
      <w:r w:rsidR="00F62913" w:rsidRPr="005E1CFA">
        <w:rPr>
          <w:lang w:val="en-GB"/>
        </w:rPr>
        <w:t>n partnership with UNMISS, U</w:t>
      </w:r>
      <w:r w:rsidRPr="005E1CFA">
        <w:rPr>
          <w:lang w:val="en-GB"/>
        </w:rPr>
        <w:t>nited Nations organizations</w:t>
      </w:r>
      <w:r w:rsidR="00F62913" w:rsidRPr="005E1CFA">
        <w:rPr>
          <w:lang w:val="en-GB"/>
        </w:rPr>
        <w:t xml:space="preserve"> and other development partners, </w:t>
      </w:r>
      <w:r w:rsidRPr="005E1CFA">
        <w:rPr>
          <w:lang w:val="en-GB"/>
        </w:rPr>
        <w:t xml:space="preserve">UNDP </w:t>
      </w:r>
      <w:r w:rsidR="00F62913" w:rsidRPr="005E1CFA">
        <w:rPr>
          <w:lang w:val="en-GB"/>
        </w:rPr>
        <w:t xml:space="preserve">will support the </w:t>
      </w:r>
      <w:r w:rsidR="00540165" w:rsidRPr="005E1CFA">
        <w:rPr>
          <w:rFonts w:eastAsia="Batang"/>
          <w:lang w:val="en-GB"/>
        </w:rPr>
        <w:t>Transitional Government of National Unity</w:t>
      </w:r>
      <w:r w:rsidR="00F62913" w:rsidRPr="005E1CFA">
        <w:rPr>
          <w:lang w:val="en-GB"/>
        </w:rPr>
        <w:t xml:space="preserve"> in developing a permanent constitution and </w:t>
      </w:r>
      <w:r w:rsidR="001E0842" w:rsidRPr="005E1CFA">
        <w:rPr>
          <w:lang w:val="en-GB"/>
        </w:rPr>
        <w:t>preparing for</w:t>
      </w:r>
      <w:r w:rsidR="00F62913" w:rsidRPr="005E1CFA">
        <w:rPr>
          <w:lang w:val="en-GB"/>
        </w:rPr>
        <w:t xml:space="preserve"> fair</w:t>
      </w:r>
      <w:r w:rsidRPr="005E1CFA">
        <w:rPr>
          <w:lang w:val="en-GB"/>
        </w:rPr>
        <w:t>,</w:t>
      </w:r>
      <w:r w:rsidR="00F62913" w:rsidRPr="005E1CFA">
        <w:rPr>
          <w:lang w:val="en-GB"/>
        </w:rPr>
        <w:t xml:space="preserve"> credible elections. The programme will prioritize the legitimacy and inclusiveness of the permanent constitution-making and electoral processes</w:t>
      </w:r>
      <w:r w:rsidR="009067F5" w:rsidRPr="005E1CFA">
        <w:rPr>
          <w:lang w:val="en-GB"/>
        </w:rPr>
        <w:t>, and emphasize the importance of women’s participation in transitioning to a development pathway that is sustainable</w:t>
      </w:r>
      <w:r w:rsidR="00F62913" w:rsidRPr="005E1CFA">
        <w:rPr>
          <w:lang w:val="en-GB"/>
        </w:rPr>
        <w:t xml:space="preserve">. This will be achieved by strengthening </w:t>
      </w:r>
      <w:r w:rsidR="0096275D" w:rsidRPr="005E1CFA">
        <w:rPr>
          <w:lang w:val="en-GB"/>
        </w:rPr>
        <w:t xml:space="preserve">the capacity of </w:t>
      </w:r>
      <w:r w:rsidRPr="005E1CFA">
        <w:rPr>
          <w:lang w:val="en-GB"/>
        </w:rPr>
        <w:t xml:space="preserve">civil society organizations </w:t>
      </w:r>
      <w:r w:rsidR="0096275D" w:rsidRPr="005E1CFA">
        <w:rPr>
          <w:lang w:val="en-GB"/>
        </w:rPr>
        <w:t xml:space="preserve">and media to amplify </w:t>
      </w:r>
      <w:r w:rsidRPr="005E1CFA">
        <w:rPr>
          <w:lang w:val="en-GB"/>
        </w:rPr>
        <w:t xml:space="preserve">women’s </w:t>
      </w:r>
      <w:r w:rsidR="0096275D" w:rsidRPr="005E1CFA">
        <w:rPr>
          <w:lang w:val="en-GB"/>
        </w:rPr>
        <w:t>voice and participation in</w:t>
      </w:r>
      <w:r w:rsidR="00F62913" w:rsidRPr="005E1CFA">
        <w:rPr>
          <w:lang w:val="en-GB"/>
        </w:rPr>
        <w:t xml:space="preserve"> </w:t>
      </w:r>
      <w:r w:rsidR="0096275D" w:rsidRPr="005E1CFA">
        <w:rPr>
          <w:lang w:val="en-GB"/>
        </w:rPr>
        <w:t xml:space="preserve">the </w:t>
      </w:r>
      <w:r w:rsidR="00F62913" w:rsidRPr="005E1CFA">
        <w:rPr>
          <w:lang w:val="en-GB"/>
        </w:rPr>
        <w:t>constitutional review</w:t>
      </w:r>
      <w:r w:rsidR="00884CEF" w:rsidRPr="005E1CFA">
        <w:rPr>
          <w:lang w:val="en-GB"/>
        </w:rPr>
        <w:t xml:space="preserve"> and the </w:t>
      </w:r>
      <w:r w:rsidR="00F62913" w:rsidRPr="005E1CFA">
        <w:rPr>
          <w:lang w:val="en-GB"/>
        </w:rPr>
        <w:t>elections</w:t>
      </w:r>
      <w:r w:rsidR="00884CEF" w:rsidRPr="005E1CFA">
        <w:rPr>
          <w:lang w:val="en-GB"/>
        </w:rPr>
        <w:t>,</w:t>
      </w:r>
      <w:r w:rsidR="00F62913" w:rsidRPr="005E1CFA">
        <w:rPr>
          <w:lang w:val="en-GB"/>
        </w:rPr>
        <w:t xml:space="preserve"> and </w:t>
      </w:r>
      <w:r w:rsidR="00884CEF" w:rsidRPr="005E1CFA">
        <w:rPr>
          <w:lang w:val="en-GB"/>
        </w:rPr>
        <w:t xml:space="preserve">to </w:t>
      </w:r>
      <w:r w:rsidR="00547A10" w:rsidRPr="005E1CFA">
        <w:rPr>
          <w:lang w:val="en-GB"/>
        </w:rPr>
        <w:t xml:space="preserve">enhance </w:t>
      </w:r>
      <w:r w:rsidR="00F62913" w:rsidRPr="005E1CFA">
        <w:rPr>
          <w:lang w:val="en-GB"/>
        </w:rPr>
        <w:t>social cohesion. The programme will</w:t>
      </w:r>
      <w:r w:rsidR="00FB3E33" w:rsidRPr="005E1CFA">
        <w:rPr>
          <w:lang w:val="en-GB"/>
        </w:rPr>
        <w:t xml:space="preserve"> advocate for</w:t>
      </w:r>
      <w:r w:rsidR="00F62913" w:rsidRPr="005E1CFA">
        <w:rPr>
          <w:lang w:val="en-GB"/>
        </w:rPr>
        <w:t xml:space="preserve"> </w:t>
      </w:r>
      <w:r w:rsidR="00F62913" w:rsidRPr="005E1CFA">
        <w:rPr>
          <w:lang w:val="en-GB" w:eastAsia="en-GB"/>
        </w:rPr>
        <w:t>women’s</w:t>
      </w:r>
      <w:r w:rsidR="00FB3E33" w:rsidRPr="005E1CFA">
        <w:rPr>
          <w:lang w:val="en-GB" w:eastAsia="en-GB"/>
        </w:rPr>
        <w:t xml:space="preserve"> equal</w:t>
      </w:r>
      <w:r w:rsidR="00F62913" w:rsidRPr="005E1CFA">
        <w:rPr>
          <w:lang w:val="en-GB" w:eastAsia="en-GB"/>
        </w:rPr>
        <w:t xml:space="preserve"> representation in governance institutions, </w:t>
      </w:r>
      <w:r w:rsidR="00FB3E33" w:rsidRPr="005E1CFA">
        <w:rPr>
          <w:lang w:val="en-GB" w:eastAsia="en-GB"/>
        </w:rPr>
        <w:t>particularly in the</w:t>
      </w:r>
      <w:r w:rsidR="00F62913" w:rsidRPr="005E1CFA">
        <w:rPr>
          <w:lang w:val="en-GB" w:eastAsia="en-GB"/>
        </w:rPr>
        <w:t xml:space="preserve"> constitutional and parliamentary committees.</w:t>
      </w:r>
      <w:r w:rsidR="00F62913" w:rsidRPr="005E1CFA">
        <w:rPr>
          <w:rFonts w:eastAsia="Batang"/>
          <w:lang w:val="en-GB"/>
        </w:rPr>
        <w:t xml:space="preserve"> </w:t>
      </w:r>
    </w:p>
    <w:p w14:paraId="698F0314" w14:textId="603F449A" w:rsidR="00F62913" w:rsidRPr="005E1CFA" w:rsidRDefault="00F62913" w:rsidP="00FE6C02">
      <w:pPr>
        <w:pStyle w:val="ListParagraph"/>
        <w:numPr>
          <w:ilvl w:val="0"/>
          <w:numId w:val="3"/>
        </w:numPr>
        <w:tabs>
          <w:tab w:val="left" w:pos="360"/>
        </w:tabs>
        <w:spacing w:after="120"/>
        <w:ind w:left="360" w:right="1210" w:firstLine="0"/>
        <w:jc w:val="both"/>
        <w:rPr>
          <w:lang w:val="en-GB"/>
        </w:rPr>
      </w:pPr>
      <w:r w:rsidRPr="005E1CFA">
        <w:rPr>
          <w:lang w:val="en-GB"/>
        </w:rPr>
        <w:t xml:space="preserve">In support of government efforts to facilitate and oversee a process of national reconciliation, transitional justice, and healing, UNDP will concentrate on </w:t>
      </w:r>
      <w:r w:rsidRPr="005E1CFA">
        <w:rPr>
          <w:iCs/>
          <w:lang w:val="en-GB"/>
        </w:rPr>
        <w:t>fostering</w:t>
      </w:r>
      <w:r w:rsidRPr="005E1CFA">
        <w:rPr>
          <w:lang w:val="en-GB"/>
        </w:rPr>
        <w:t xml:space="preserve"> community security and reconciliation through small</w:t>
      </w:r>
      <w:r w:rsidR="00884CEF" w:rsidRPr="005E1CFA">
        <w:rPr>
          <w:lang w:val="en-GB"/>
        </w:rPr>
        <w:t>-</w:t>
      </w:r>
      <w:r w:rsidRPr="005E1CFA">
        <w:rPr>
          <w:lang w:val="en-GB"/>
        </w:rPr>
        <w:t>arms and light</w:t>
      </w:r>
      <w:r w:rsidR="00884CEF" w:rsidRPr="005E1CFA">
        <w:rPr>
          <w:lang w:val="en-GB"/>
        </w:rPr>
        <w:t>-</w:t>
      </w:r>
      <w:r w:rsidRPr="005E1CFA">
        <w:rPr>
          <w:lang w:val="en-GB"/>
        </w:rPr>
        <w:t xml:space="preserve">weapons control programmes </w:t>
      </w:r>
      <w:r w:rsidR="003B0697">
        <w:rPr>
          <w:lang w:val="en-GB"/>
        </w:rPr>
        <w:t>and supporting</w:t>
      </w:r>
      <w:r w:rsidRPr="005E1CFA">
        <w:rPr>
          <w:lang w:val="en-GB"/>
        </w:rPr>
        <w:t xml:space="preserve"> </w:t>
      </w:r>
      <w:r w:rsidR="003B0697">
        <w:rPr>
          <w:lang w:val="en-GB"/>
        </w:rPr>
        <w:t xml:space="preserve">the </w:t>
      </w:r>
      <w:r w:rsidRPr="005E1CFA">
        <w:rPr>
          <w:lang w:val="en-GB"/>
        </w:rPr>
        <w:t xml:space="preserve">strengthening </w:t>
      </w:r>
      <w:r w:rsidR="003B0697">
        <w:rPr>
          <w:lang w:val="en-GB"/>
        </w:rPr>
        <w:t xml:space="preserve">of </w:t>
      </w:r>
      <w:r w:rsidRPr="005E1CFA">
        <w:rPr>
          <w:lang w:val="en-GB"/>
        </w:rPr>
        <w:t xml:space="preserve">infrastructures for peace such as </w:t>
      </w:r>
      <w:r w:rsidR="00F91733" w:rsidRPr="005E1CFA">
        <w:rPr>
          <w:lang w:val="en-GB"/>
        </w:rPr>
        <w:t>the N</w:t>
      </w:r>
      <w:r w:rsidR="00175454" w:rsidRPr="005E1CFA">
        <w:rPr>
          <w:lang w:val="en-GB"/>
        </w:rPr>
        <w:t xml:space="preserve">ational </w:t>
      </w:r>
      <w:r w:rsidR="00F91733" w:rsidRPr="005E1CFA">
        <w:rPr>
          <w:lang w:val="en-GB"/>
        </w:rPr>
        <w:t>P</w:t>
      </w:r>
      <w:r w:rsidR="00175454" w:rsidRPr="005E1CFA">
        <w:rPr>
          <w:lang w:val="en-GB"/>
        </w:rPr>
        <w:t xml:space="preserve">latform for </w:t>
      </w:r>
      <w:r w:rsidR="00F91733" w:rsidRPr="005E1CFA">
        <w:rPr>
          <w:lang w:val="en-GB"/>
        </w:rPr>
        <w:t>P</w:t>
      </w:r>
      <w:r w:rsidR="00175454" w:rsidRPr="005E1CFA">
        <w:rPr>
          <w:lang w:val="en-GB"/>
        </w:rPr>
        <w:t xml:space="preserve">eace and </w:t>
      </w:r>
      <w:r w:rsidR="00F91733" w:rsidRPr="005E1CFA">
        <w:rPr>
          <w:lang w:val="en-GB"/>
        </w:rPr>
        <w:t>R</w:t>
      </w:r>
      <w:r w:rsidR="00175454" w:rsidRPr="005E1CFA">
        <w:rPr>
          <w:lang w:val="en-GB"/>
        </w:rPr>
        <w:t>econciliation</w:t>
      </w:r>
      <w:r w:rsidR="00884CEF" w:rsidRPr="005E1CFA">
        <w:rPr>
          <w:lang w:val="en-GB"/>
        </w:rPr>
        <w:t>,</w:t>
      </w:r>
      <w:r w:rsidR="00F91733" w:rsidRPr="005E1CFA">
        <w:rPr>
          <w:lang w:val="en-GB"/>
        </w:rPr>
        <w:t xml:space="preserve"> and</w:t>
      </w:r>
      <w:r w:rsidR="00884CEF" w:rsidRPr="005E1CFA">
        <w:rPr>
          <w:lang w:val="en-GB"/>
        </w:rPr>
        <w:t>,</w:t>
      </w:r>
      <w:r w:rsidR="00F91733" w:rsidRPr="005E1CFA">
        <w:rPr>
          <w:lang w:val="en-GB"/>
        </w:rPr>
        <w:t xml:space="preserve"> eventually</w:t>
      </w:r>
      <w:r w:rsidR="00884CEF" w:rsidRPr="005E1CFA">
        <w:rPr>
          <w:lang w:val="en-GB"/>
        </w:rPr>
        <w:t>,</w:t>
      </w:r>
      <w:r w:rsidR="00F91733" w:rsidRPr="005E1CFA">
        <w:rPr>
          <w:lang w:val="en-GB"/>
        </w:rPr>
        <w:t xml:space="preserve"> </w:t>
      </w:r>
      <w:r w:rsidRPr="005E1CFA">
        <w:rPr>
          <w:lang w:val="en-GB"/>
        </w:rPr>
        <w:t xml:space="preserve">the Commission for Truth, Reconciliation, and Healing. Women’s participation </w:t>
      </w:r>
      <w:r w:rsidR="00547A10" w:rsidRPr="005E1CFA">
        <w:rPr>
          <w:lang w:val="en-GB"/>
        </w:rPr>
        <w:t xml:space="preserve">in </w:t>
      </w:r>
      <w:r w:rsidRPr="005E1CFA">
        <w:rPr>
          <w:lang w:val="en-GB"/>
        </w:rPr>
        <w:t>the peacebuilding process will be promoted through capacity</w:t>
      </w:r>
      <w:r w:rsidR="00884CEF" w:rsidRPr="005E1CFA">
        <w:rPr>
          <w:lang w:val="en-GB"/>
        </w:rPr>
        <w:t>-</w:t>
      </w:r>
      <w:r w:rsidRPr="005E1CFA">
        <w:rPr>
          <w:lang w:val="en-GB"/>
        </w:rPr>
        <w:t>building support to women’s networks.</w:t>
      </w:r>
    </w:p>
    <w:p w14:paraId="368BF9F5" w14:textId="547A3BB7" w:rsidR="006D2F0F" w:rsidRPr="005E1CFA" w:rsidRDefault="003B0697" w:rsidP="006D2F0F">
      <w:pPr>
        <w:pStyle w:val="ListParagraph"/>
        <w:ind w:left="360" w:right="1210"/>
        <w:jc w:val="both"/>
        <w:rPr>
          <w:lang w:val="en-GB"/>
        </w:rPr>
      </w:pPr>
      <w:r>
        <w:rPr>
          <w:lang w:val="en-GB"/>
        </w:rPr>
        <w:t>23.</w:t>
      </w:r>
      <w:r>
        <w:rPr>
          <w:lang w:val="en-GB"/>
        </w:rPr>
        <w:tab/>
      </w:r>
      <w:r w:rsidR="00F62913" w:rsidRPr="005E1CFA">
        <w:rPr>
          <w:lang w:val="en-GB"/>
        </w:rPr>
        <w:t>UNDP will focus on improving access to justice for vulnerable groups</w:t>
      </w:r>
      <w:r w:rsidR="00884CEF" w:rsidRPr="005E1CFA">
        <w:rPr>
          <w:lang w:val="en-GB"/>
        </w:rPr>
        <w:t>,</w:t>
      </w:r>
      <w:r w:rsidR="00F62913" w:rsidRPr="005E1CFA">
        <w:rPr>
          <w:lang w:val="en-GB"/>
        </w:rPr>
        <w:t xml:space="preserve"> including women and children</w:t>
      </w:r>
      <w:r w:rsidR="00884CEF" w:rsidRPr="005E1CFA">
        <w:rPr>
          <w:lang w:val="en-GB"/>
        </w:rPr>
        <w:t>,</w:t>
      </w:r>
      <w:r w:rsidR="00F62913" w:rsidRPr="005E1CFA">
        <w:rPr>
          <w:lang w:val="en-GB"/>
        </w:rPr>
        <w:t xml:space="preserve"> </w:t>
      </w:r>
      <w:r w:rsidR="00E75CE2" w:rsidRPr="005E1CFA">
        <w:rPr>
          <w:lang w:val="en-GB"/>
        </w:rPr>
        <w:t>by engaging</w:t>
      </w:r>
      <w:r w:rsidR="00F62913" w:rsidRPr="005E1CFA">
        <w:rPr>
          <w:lang w:val="en-GB"/>
        </w:rPr>
        <w:t xml:space="preserve"> </w:t>
      </w:r>
      <w:r w:rsidR="00884CEF" w:rsidRPr="005E1CFA">
        <w:rPr>
          <w:lang w:val="en-GB"/>
        </w:rPr>
        <w:t>civil society organizations</w:t>
      </w:r>
      <w:r w:rsidR="00F62913" w:rsidRPr="005E1CFA">
        <w:rPr>
          <w:lang w:val="en-GB"/>
        </w:rPr>
        <w:t xml:space="preserve"> </w:t>
      </w:r>
      <w:r w:rsidR="00E75CE2" w:rsidRPr="005E1CFA">
        <w:rPr>
          <w:lang w:val="en-GB"/>
        </w:rPr>
        <w:t xml:space="preserve">to </w:t>
      </w:r>
      <w:r w:rsidR="00EE603B" w:rsidRPr="005E1CFA">
        <w:rPr>
          <w:lang w:val="en-GB"/>
        </w:rPr>
        <w:t>organize</w:t>
      </w:r>
      <w:r w:rsidR="00F62913" w:rsidRPr="005E1CFA">
        <w:rPr>
          <w:lang w:val="en-GB"/>
        </w:rPr>
        <w:t xml:space="preserve"> legal aid and public legal awareness initiatives. The programme will also support the justice sector </w:t>
      </w:r>
      <w:r w:rsidR="00884CEF" w:rsidRPr="005E1CFA">
        <w:rPr>
          <w:lang w:val="en-GB"/>
        </w:rPr>
        <w:t xml:space="preserve">in </w:t>
      </w:r>
      <w:r w:rsidR="00F62913" w:rsidRPr="005E1CFA">
        <w:rPr>
          <w:lang w:val="en-GB"/>
        </w:rPr>
        <w:t>entrench</w:t>
      </w:r>
      <w:r w:rsidR="00884CEF" w:rsidRPr="005E1CFA">
        <w:rPr>
          <w:lang w:val="en-GB"/>
        </w:rPr>
        <w:t>ing</w:t>
      </w:r>
      <w:r w:rsidR="00F62913" w:rsidRPr="005E1CFA">
        <w:rPr>
          <w:lang w:val="en-GB"/>
        </w:rPr>
        <w:t xml:space="preserve"> case management systems</w:t>
      </w:r>
      <w:r w:rsidR="00884CEF" w:rsidRPr="005E1CFA">
        <w:rPr>
          <w:lang w:val="en-GB"/>
        </w:rPr>
        <w:t>;</w:t>
      </w:r>
      <w:r w:rsidR="00F62913" w:rsidRPr="005E1CFA">
        <w:rPr>
          <w:lang w:val="en-GB"/>
        </w:rPr>
        <w:t xml:space="preserve"> undertake judicial and </w:t>
      </w:r>
      <w:r w:rsidR="00F62913" w:rsidRPr="005E1CFA">
        <w:rPr>
          <w:iCs/>
          <w:lang w:val="en-GB"/>
        </w:rPr>
        <w:t>legislative</w:t>
      </w:r>
      <w:r w:rsidR="00F62913" w:rsidRPr="005E1CFA">
        <w:rPr>
          <w:lang w:val="en-GB"/>
        </w:rPr>
        <w:t xml:space="preserve"> </w:t>
      </w:r>
      <w:r w:rsidR="00F62913" w:rsidRPr="005E1CFA">
        <w:rPr>
          <w:iCs/>
          <w:lang w:val="en-GB"/>
        </w:rPr>
        <w:t>r</w:t>
      </w:r>
      <w:r w:rsidR="00F62913" w:rsidRPr="005E1CFA">
        <w:rPr>
          <w:lang w:val="en-GB"/>
        </w:rPr>
        <w:t>eforms</w:t>
      </w:r>
      <w:r w:rsidR="00884CEF" w:rsidRPr="005E1CFA">
        <w:rPr>
          <w:lang w:val="en-GB"/>
        </w:rPr>
        <w:t>;</w:t>
      </w:r>
      <w:r w:rsidR="00F62913" w:rsidRPr="005E1CFA">
        <w:rPr>
          <w:lang w:val="en-GB"/>
        </w:rPr>
        <w:t xml:space="preserve"> harmoni</w:t>
      </w:r>
      <w:r w:rsidR="00884CEF" w:rsidRPr="005E1CFA">
        <w:rPr>
          <w:lang w:val="en-GB"/>
        </w:rPr>
        <w:t>z</w:t>
      </w:r>
      <w:r w:rsidR="00F62913" w:rsidRPr="005E1CFA">
        <w:rPr>
          <w:lang w:val="en-GB"/>
        </w:rPr>
        <w:t>e formal and informal justice systems</w:t>
      </w:r>
      <w:r w:rsidR="00884CEF" w:rsidRPr="005E1CFA">
        <w:rPr>
          <w:lang w:val="en-GB"/>
        </w:rPr>
        <w:t>;</w:t>
      </w:r>
      <w:r w:rsidR="00F62913" w:rsidRPr="005E1CFA">
        <w:rPr>
          <w:lang w:val="en-GB"/>
        </w:rPr>
        <w:t xml:space="preserve"> ratify and operationali</w:t>
      </w:r>
      <w:r w:rsidR="00884CEF" w:rsidRPr="005E1CFA">
        <w:rPr>
          <w:lang w:val="en-GB"/>
        </w:rPr>
        <w:t>z</w:t>
      </w:r>
      <w:r w:rsidR="00F62913" w:rsidRPr="005E1CFA">
        <w:rPr>
          <w:lang w:val="en-GB"/>
        </w:rPr>
        <w:t>e key human rights treaties</w:t>
      </w:r>
      <w:r w:rsidR="00884CEF" w:rsidRPr="005E1CFA">
        <w:rPr>
          <w:lang w:val="en-GB"/>
        </w:rPr>
        <w:t>;</w:t>
      </w:r>
      <w:r w:rsidR="00F62913" w:rsidRPr="005E1CFA">
        <w:rPr>
          <w:lang w:val="en-GB"/>
        </w:rPr>
        <w:t xml:space="preserve"> and undertake the </w:t>
      </w:r>
      <w:r w:rsidR="00CE3814" w:rsidRPr="005E1CFA">
        <w:rPr>
          <w:lang w:val="en-GB"/>
        </w:rPr>
        <w:t>universal periodic review</w:t>
      </w:r>
      <w:r w:rsidR="00EE603B" w:rsidRPr="005E1CFA">
        <w:rPr>
          <w:lang w:val="en-GB"/>
        </w:rPr>
        <w:t xml:space="preserve">. </w:t>
      </w:r>
      <w:r w:rsidR="00F62913" w:rsidRPr="005E1CFA">
        <w:rPr>
          <w:lang w:val="en-GB"/>
        </w:rPr>
        <w:t>In collaboration with UNMISS, UNDP will continue to provide institutional and infrastructure support to the police and correctional services, with particular attention to the joint integrated police units</w:t>
      </w:r>
      <w:r w:rsidR="008E0872" w:rsidRPr="005E1CFA">
        <w:rPr>
          <w:rStyle w:val="FootnoteReference"/>
          <w:lang w:val="en-GB"/>
        </w:rPr>
        <w:footnoteReference w:id="13"/>
      </w:r>
      <w:r w:rsidR="00F62913" w:rsidRPr="005E1CFA">
        <w:rPr>
          <w:lang w:val="en-GB"/>
        </w:rPr>
        <w:t xml:space="preserve">. </w:t>
      </w:r>
      <w:r w:rsidR="00884CEF" w:rsidRPr="005E1CFA">
        <w:rPr>
          <w:lang w:val="en-GB"/>
        </w:rPr>
        <w:t>W</w:t>
      </w:r>
      <w:r w:rsidR="00F62913" w:rsidRPr="005E1CFA">
        <w:rPr>
          <w:lang w:val="en-GB"/>
        </w:rPr>
        <w:t>orking with UN</w:t>
      </w:r>
      <w:r w:rsidR="00884CEF" w:rsidRPr="005E1CFA">
        <w:rPr>
          <w:lang w:val="en-GB"/>
        </w:rPr>
        <w:t>-</w:t>
      </w:r>
      <w:r w:rsidR="00F62913" w:rsidRPr="005E1CFA">
        <w:rPr>
          <w:lang w:val="en-GB"/>
        </w:rPr>
        <w:t>W</w:t>
      </w:r>
      <w:r w:rsidR="00884CEF" w:rsidRPr="005E1CFA">
        <w:rPr>
          <w:lang w:val="en-GB"/>
        </w:rPr>
        <w:t>omen, UNDP</w:t>
      </w:r>
      <w:r w:rsidR="00F62913" w:rsidRPr="005E1CFA">
        <w:rPr>
          <w:lang w:val="en-GB"/>
        </w:rPr>
        <w:t xml:space="preserve"> will </w:t>
      </w:r>
      <w:r w:rsidR="00CC64F8" w:rsidRPr="005E1CFA">
        <w:rPr>
          <w:lang w:val="en-GB"/>
        </w:rPr>
        <w:t>in</w:t>
      </w:r>
      <w:r w:rsidR="00016E91" w:rsidRPr="005E1CFA">
        <w:rPr>
          <w:lang w:val="en-GB"/>
        </w:rPr>
        <w:t xml:space="preserve">crease support to police </w:t>
      </w:r>
      <w:r w:rsidR="00884CEF" w:rsidRPr="005E1CFA">
        <w:rPr>
          <w:lang w:val="en-GB"/>
        </w:rPr>
        <w:t>s</w:t>
      </w:r>
      <w:r w:rsidR="00CC64F8" w:rsidRPr="005E1CFA">
        <w:rPr>
          <w:lang w:val="en-GB"/>
        </w:rPr>
        <w:t xml:space="preserve">pecial </w:t>
      </w:r>
      <w:r w:rsidR="00884CEF" w:rsidRPr="005E1CFA">
        <w:rPr>
          <w:lang w:val="en-GB"/>
        </w:rPr>
        <w:t>p</w:t>
      </w:r>
      <w:r w:rsidR="00016E91" w:rsidRPr="005E1CFA">
        <w:rPr>
          <w:lang w:val="en-GB"/>
        </w:rPr>
        <w:t xml:space="preserve">rotection </w:t>
      </w:r>
      <w:r w:rsidR="005E1CFA" w:rsidRPr="005E1CFA">
        <w:rPr>
          <w:lang w:val="en-GB"/>
        </w:rPr>
        <w:t>units</w:t>
      </w:r>
      <w:r w:rsidR="00CC64F8" w:rsidRPr="005E1CFA">
        <w:rPr>
          <w:rStyle w:val="FootnoteReference"/>
          <w:lang w:val="en-GB"/>
        </w:rPr>
        <w:footnoteReference w:id="14"/>
      </w:r>
      <w:r w:rsidR="00CC64F8" w:rsidRPr="005E1CFA">
        <w:rPr>
          <w:lang w:val="en-GB"/>
        </w:rPr>
        <w:t xml:space="preserve"> and expand the coverage of the </w:t>
      </w:r>
      <w:r w:rsidR="000E60D6" w:rsidRPr="005E1CFA">
        <w:rPr>
          <w:lang w:val="en-GB"/>
        </w:rPr>
        <w:t xml:space="preserve">police </w:t>
      </w:r>
      <w:r w:rsidR="00884CEF" w:rsidRPr="005E1CFA">
        <w:rPr>
          <w:lang w:val="en-GB"/>
        </w:rPr>
        <w:t>e</w:t>
      </w:r>
      <w:r w:rsidR="00CC64F8" w:rsidRPr="005E1CFA">
        <w:rPr>
          <w:lang w:val="en-GB"/>
        </w:rPr>
        <w:t xml:space="preserve">mergency </w:t>
      </w:r>
      <w:r w:rsidR="00884CEF" w:rsidRPr="005E1CFA">
        <w:rPr>
          <w:lang w:val="en-GB"/>
        </w:rPr>
        <w:t>c</w:t>
      </w:r>
      <w:r w:rsidR="00CC64F8" w:rsidRPr="005E1CFA">
        <w:rPr>
          <w:lang w:val="en-GB"/>
        </w:rPr>
        <w:t xml:space="preserve">all </w:t>
      </w:r>
      <w:r w:rsidR="00884CEF" w:rsidRPr="005E1CFA">
        <w:rPr>
          <w:lang w:val="en-GB"/>
        </w:rPr>
        <w:t>c</w:t>
      </w:r>
      <w:r w:rsidR="00016E91" w:rsidRPr="005E1CFA">
        <w:rPr>
          <w:lang w:val="en-GB"/>
        </w:rPr>
        <w:t>entres</w:t>
      </w:r>
      <w:r w:rsidR="00CC64F8" w:rsidRPr="005E1CFA">
        <w:rPr>
          <w:lang w:val="en-GB"/>
        </w:rPr>
        <w:t xml:space="preserve"> (</w:t>
      </w:r>
      <w:r w:rsidR="00884CEF" w:rsidRPr="005E1CFA">
        <w:rPr>
          <w:lang w:val="en-GB"/>
        </w:rPr>
        <w:t xml:space="preserve">dial </w:t>
      </w:r>
      <w:r w:rsidR="00CC64F8" w:rsidRPr="005E1CFA">
        <w:rPr>
          <w:lang w:val="en-GB"/>
        </w:rPr>
        <w:t xml:space="preserve">777) </w:t>
      </w:r>
      <w:r w:rsidR="00F62913" w:rsidRPr="005E1CFA">
        <w:rPr>
          <w:lang w:val="en-GB"/>
        </w:rPr>
        <w:t xml:space="preserve">to prevent </w:t>
      </w:r>
      <w:r w:rsidR="00547A10" w:rsidRPr="005E1CFA">
        <w:rPr>
          <w:lang w:val="en-GB"/>
        </w:rPr>
        <w:t>or</w:t>
      </w:r>
      <w:r w:rsidR="00F62913" w:rsidRPr="005E1CFA">
        <w:rPr>
          <w:lang w:val="en-GB"/>
        </w:rPr>
        <w:t xml:space="preserve"> respond to </w:t>
      </w:r>
      <w:r w:rsidR="00CC64F8" w:rsidRPr="005E1CFA">
        <w:rPr>
          <w:lang w:val="en-GB"/>
        </w:rPr>
        <w:t>cases</w:t>
      </w:r>
      <w:r w:rsidR="00884CEF" w:rsidRPr="005E1CFA">
        <w:rPr>
          <w:lang w:val="en-GB"/>
        </w:rPr>
        <w:t xml:space="preserve"> of sexual and gender-based violence</w:t>
      </w:r>
      <w:r w:rsidR="000E60D6" w:rsidRPr="005E1CFA">
        <w:rPr>
          <w:lang w:val="en-GB"/>
        </w:rPr>
        <w:t>.</w:t>
      </w:r>
      <w:r w:rsidR="00CC64F8" w:rsidRPr="005E1CFA">
        <w:rPr>
          <w:lang w:val="en-GB"/>
        </w:rPr>
        <w:t xml:space="preserve"> </w:t>
      </w:r>
    </w:p>
    <w:p w14:paraId="2E7607A2" w14:textId="5C5C1DDF" w:rsidR="00F62913" w:rsidRPr="005E1CFA" w:rsidRDefault="00F62913" w:rsidP="009E7545">
      <w:pPr>
        <w:pStyle w:val="ListParagraph"/>
        <w:tabs>
          <w:tab w:val="left" w:pos="360"/>
        </w:tabs>
        <w:ind w:left="360" w:right="1210"/>
        <w:jc w:val="both"/>
        <w:rPr>
          <w:rFonts w:eastAsia="Batang"/>
          <w:lang w:val="en-GB"/>
        </w:rPr>
      </w:pPr>
    </w:p>
    <w:p w14:paraId="010FA4E0" w14:textId="5E2C1FBE" w:rsidR="00F62913" w:rsidRPr="005E1CFA" w:rsidRDefault="006D2F0F" w:rsidP="006D2F0F">
      <w:pPr>
        <w:pStyle w:val="Heading1"/>
        <w:tabs>
          <w:tab w:val="left" w:pos="360"/>
          <w:tab w:val="left" w:pos="1800"/>
        </w:tabs>
        <w:spacing w:after="120"/>
        <w:ind w:left="360" w:right="1210" w:hanging="630"/>
        <w:jc w:val="both"/>
        <w:rPr>
          <w:rFonts w:ascii="Times New Roman" w:hAnsi="Times New Roman"/>
          <w:szCs w:val="28"/>
          <w:lang w:val="en-GB"/>
        </w:rPr>
      </w:pPr>
      <w:r w:rsidRPr="005E1CFA">
        <w:rPr>
          <w:rFonts w:ascii="Times New Roman" w:hAnsi="Times New Roman"/>
          <w:szCs w:val="28"/>
          <w:lang w:val="en-GB"/>
        </w:rPr>
        <w:t>III.</w:t>
      </w:r>
      <w:r w:rsidRPr="005E1CFA">
        <w:rPr>
          <w:rFonts w:ascii="Times New Roman" w:hAnsi="Times New Roman"/>
          <w:szCs w:val="28"/>
          <w:lang w:val="en-GB"/>
        </w:rPr>
        <w:tab/>
      </w:r>
      <w:r w:rsidR="00F62913" w:rsidRPr="005E1CFA">
        <w:rPr>
          <w:rFonts w:ascii="Times New Roman" w:hAnsi="Times New Roman"/>
          <w:szCs w:val="28"/>
          <w:lang w:val="en-GB"/>
        </w:rPr>
        <w:t xml:space="preserve">Programme and </w:t>
      </w:r>
      <w:r w:rsidR="00FE6C02" w:rsidRPr="005E1CFA">
        <w:rPr>
          <w:rFonts w:ascii="Times New Roman" w:hAnsi="Times New Roman"/>
          <w:szCs w:val="28"/>
          <w:lang w:val="en-GB"/>
        </w:rPr>
        <w:t>r</w:t>
      </w:r>
      <w:r w:rsidR="00F62913" w:rsidRPr="005E1CFA">
        <w:rPr>
          <w:rFonts w:ascii="Times New Roman" w:hAnsi="Times New Roman"/>
          <w:szCs w:val="28"/>
          <w:lang w:val="en-GB"/>
        </w:rPr>
        <w:t xml:space="preserve">isk </w:t>
      </w:r>
      <w:r w:rsidR="00FE6C02" w:rsidRPr="005E1CFA">
        <w:rPr>
          <w:rFonts w:ascii="Times New Roman" w:hAnsi="Times New Roman"/>
          <w:szCs w:val="28"/>
          <w:lang w:val="en-GB"/>
        </w:rPr>
        <w:t>m</w:t>
      </w:r>
      <w:r w:rsidR="00F62913" w:rsidRPr="005E1CFA">
        <w:rPr>
          <w:rFonts w:ascii="Times New Roman" w:hAnsi="Times New Roman"/>
          <w:szCs w:val="28"/>
          <w:lang w:val="en-GB"/>
        </w:rPr>
        <w:t>anagement</w:t>
      </w:r>
    </w:p>
    <w:p w14:paraId="5034E2BE" w14:textId="074D8ECD" w:rsidR="00F62913" w:rsidRPr="003B0697" w:rsidRDefault="003B0697" w:rsidP="003B0697">
      <w:pPr>
        <w:tabs>
          <w:tab w:val="left" w:pos="360"/>
        </w:tabs>
        <w:spacing w:after="120"/>
        <w:ind w:left="360" w:right="1210"/>
        <w:jc w:val="both"/>
        <w:rPr>
          <w:lang w:val="en-GB"/>
        </w:rPr>
      </w:pPr>
      <w:r>
        <w:rPr>
          <w:lang w:val="en-GB"/>
        </w:rPr>
        <w:t>24.</w:t>
      </w:r>
      <w:r>
        <w:rPr>
          <w:lang w:val="en-GB"/>
        </w:rPr>
        <w:tab/>
      </w:r>
      <w:r w:rsidR="00F62913" w:rsidRPr="003B0697">
        <w:rPr>
          <w:lang w:val="en-GB"/>
        </w:rPr>
        <w:t xml:space="preserve">This country programme document outlines UNDP contributions to national results and serves as the primary unit of accountability to the Executive Board for results alignment and resources assigned to the programme at </w:t>
      </w:r>
      <w:r w:rsidR="0089001F" w:rsidRPr="003B0697">
        <w:rPr>
          <w:lang w:val="en-GB"/>
        </w:rPr>
        <w:t xml:space="preserve">the </w:t>
      </w:r>
      <w:r w:rsidR="00F62913" w:rsidRPr="003B0697">
        <w:rPr>
          <w:lang w:val="en-GB"/>
        </w:rPr>
        <w:t xml:space="preserve">country level. Accountabilities of </w:t>
      </w:r>
      <w:r w:rsidR="00F62913" w:rsidRPr="003B0697">
        <w:rPr>
          <w:iCs/>
          <w:lang w:val="en-GB"/>
        </w:rPr>
        <w:t>managers</w:t>
      </w:r>
      <w:r w:rsidR="00F62913" w:rsidRPr="003B0697">
        <w:rPr>
          <w:lang w:val="en-GB"/>
        </w:rPr>
        <w:t xml:space="preserve"> at the country, regional, and headquarter</w:t>
      </w:r>
      <w:r w:rsidR="0089001F" w:rsidRPr="003B0697">
        <w:rPr>
          <w:lang w:val="en-GB"/>
        </w:rPr>
        <w:t>s</w:t>
      </w:r>
      <w:r w:rsidR="00F62913" w:rsidRPr="003B0697">
        <w:rPr>
          <w:lang w:val="en-GB"/>
        </w:rPr>
        <w:t xml:space="preserve"> levels with respect to country programmes </w:t>
      </w:r>
      <w:r w:rsidR="0089001F" w:rsidRPr="003B0697">
        <w:rPr>
          <w:lang w:val="en-GB"/>
        </w:rPr>
        <w:t>are</w:t>
      </w:r>
      <w:r w:rsidR="00F62913" w:rsidRPr="003B0697">
        <w:rPr>
          <w:lang w:val="en-GB"/>
        </w:rPr>
        <w:t xml:space="preserve"> prescribed in the </w:t>
      </w:r>
      <w:r w:rsidR="0089001F" w:rsidRPr="003B0697">
        <w:rPr>
          <w:lang w:val="en-GB"/>
        </w:rPr>
        <w:t xml:space="preserve">UNDP </w:t>
      </w:r>
      <w:r w:rsidR="00F62913" w:rsidRPr="003B0697">
        <w:rPr>
          <w:lang w:val="en-GB"/>
        </w:rPr>
        <w:t>programme and operations policies and procedures, and the internal controls framework.</w:t>
      </w:r>
    </w:p>
    <w:p w14:paraId="17EB63CD" w14:textId="59C161E9" w:rsidR="00F03055" w:rsidRPr="005E1CFA" w:rsidRDefault="003B0697" w:rsidP="003B0697">
      <w:pPr>
        <w:pStyle w:val="ListParagraph"/>
        <w:spacing w:after="120"/>
        <w:ind w:left="360" w:right="1210"/>
        <w:jc w:val="both"/>
        <w:rPr>
          <w:lang w:val="en-GB"/>
        </w:rPr>
      </w:pPr>
      <w:r>
        <w:rPr>
          <w:lang w:val="en-GB"/>
        </w:rPr>
        <w:t>25.</w:t>
      </w:r>
      <w:r>
        <w:rPr>
          <w:lang w:val="en-GB"/>
        </w:rPr>
        <w:tab/>
      </w:r>
      <w:r w:rsidR="00F62913" w:rsidRPr="005E1CFA">
        <w:rPr>
          <w:lang w:val="en-GB"/>
        </w:rPr>
        <w:t xml:space="preserve">Given the context in South Sudan, </w:t>
      </w:r>
      <w:r w:rsidR="0089001F" w:rsidRPr="005E1CFA">
        <w:rPr>
          <w:lang w:val="en-GB"/>
        </w:rPr>
        <w:t>certain interlinked</w:t>
      </w:r>
      <w:r w:rsidR="00F62913" w:rsidRPr="005E1CFA">
        <w:rPr>
          <w:lang w:val="en-GB"/>
        </w:rPr>
        <w:t xml:space="preserve"> risks must be mitigated for programme results to be achieved. </w:t>
      </w:r>
      <w:r w:rsidR="00F03055" w:rsidRPr="005E1CFA">
        <w:rPr>
          <w:lang w:val="en-GB"/>
        </w:rPr>
        <w:t xml:space="preserve">These include political, security, institutional, </w:t>
      </w:r>
      <w:r w:rsidR="00AF0544" w:rsidRPr="005E1CFA">
        <w:rPr>
          <w:lang w:val="en-GB"/>
        </w:rPr>
        <w:t xml:space="preserve">economic </w:t>
      </w:r>
      <w:r w:rsidR="00F03055" w:rsidRPr="005E1CFA">
        <w:rPr>
          <w:lang w:val="en-GB"/>
        </w:rPr>
        <w:t xml:space="preserve">and financial </w:t>
      </w:r>
      <w:r w:rsidR="00AF0544" w:rsidRPr="005E1CFA">
        <w:rPr>
          <w:lang w:val="en-GB"/>
        </w:rPr>
        <w:t>issues</w:t>
      </w:r>
      <w:r w:rsidR="00CF2276" w:rsidRPr="005E1CFA">
        <w:rPr>
          <w:lang w:val="en-GB"/>
        </w:rPr>
        <w:t>,</w:t>
      </w:r>
      <w:r w:rsidR="006C4216" w:rsidRPr="005E1CFA">
        <w:rPr>
          <w:lang w:val="en-GB"/>
        </w:rPr>
        <w:t xml:space="preserve"> and mitigation responses may </w:t>
      </w:r>
      <w:r w:rsidR="0089001F" w:rsidRPr="005E1CFA">
        <w:rPr>
          <w:lang w:val="en-GB"/>
        </w:rPr>
        <w:t>affect several</w:t>
      </w:r>
      <w:r w:rsidR="006C4216" w:rsidRPr="005E1CFA">
        <w:rPr>
          <w:lang w:val="en-GB"/>
        </w:rPr>
        <w:t xml:space="preserve"> risks.</w:t>
      </w:r>
    </w:p>
    <w:p w14:paraId="3C606712" w14:textId="2B7FDBA4" w:rsidR="00F62913" w:rsidRPr="005E1CFA" w:rsidRDefault="003B0697" w:rsidP="003B0697">
      <w:pPr>
        <w:pStyle w:val="ListParagraph"/>
        <w:spacing w:after="120"/>
        <w:ind w:left="360" w:right="1210"/>
        <w:jc w:val="both"/>
        <w:rPr>
          <w:lang w:val="en-GB"/>
        </w:rPr>
      </w:pPr>
      <w:r>
        <w:rPr>
          <w:lang w:val="en-GB"/>
        </w:rPr>
        <w:t>26.</w:t>
      </w:r>
      <w:r>
        <w:rPr>
          <w:lang w:val="en-GB"/>
        </w:rPr>
        <w:tab/>
      </w:r>
      <w:r w:rsidR="00F62913" w:rsidRPr="005E1CFA">
        <w:rPr>
          <w:lang w:val="en-GB"/>
        </w:rPr>
        <w:t xml:space="preserve">The main political risk during the transitional period stems from possible additional delays in the implementation of the peace agreement, </w:t>
      </w:r>
      <w:r w:rsidR="0089001F" w:rsidRPr="005E1CFA">
        <w:rPr>
          <w:lang w:val="en-GB"/>
        </w:rPr>
        <w:t xml:space="preserve">resulting from </w:t>
      </w:r>
      <w:r w:rsidR="00F62913" w:rsidRPr="005E1CFA">
        <w:rPr>
          <w:lang w:val="en-GB"/>
        </w:rPr>
        <w:t xml:space="preserve">disputes over interpretations of the provisions, as each party calculates the benefits and costs incurred by its constituencies and attempts to increase its gains in the run-up to the elections. </w:t>
      </w:r>
      <w:r w:rsidR="0096275D" w:rsidRPr="005E1CFA">
        <w:rPr>
          <w:lang w:val="en-GB"/>
        </w:rPr>
        <w:t>I</w:t>
      </w:r>
      <w:r w:rsidR="00F62913" w:rsidRPr="005E1CFA">
        <w:rPr>
          <w:lang w:val="en-GB"/>
        </w:rPr>
        <w:t xml:space="preserve">t </w:t>
      </w:r>
      <w:r w:rsidR="0096275D" w:rsidRPr="005E1CFA">
        <w:rPr>
          <w:lang w:val="en-GB"/>
        </w:rPr>
        <w:t xml:space="preserve">may be </w:t>
      </w:r>
      <w:r w:rsidR="00F62913" w:rsidRPr="005E1CFA">
        <w:rPr>
          <w:lang w:val="en-GB"/>
        </w:rPr>
        <w:t>difficult for democratic and governance reforms to be conducted and new institutional arrangements to be implemented effectively.</w:t>
      </w:r>
      <w:r w:rsidR="00CE3814" w:rsidRPr="005E1CFA">
        <w:rPr>
          <w:rStyle w:val="FootnoteReference"/>
          <w:lang w:val="en-GB"/>
        </w:rPr>
        <w:footnoteReference w:id="15"/>
      </w:r>
      <w:r w:rsidR="00F62913" w:rsidRPr="005E1CFA">
        <w:rPr>
          <w:lang w:val="en-GB"/>
        </w:rPr>
        <w:t xml:space="preserve"> UNDP will partner with UNMISS and </w:t>
      </w:r>
      <w:r w:rsidR="0089001F" w:rsidRPr="005E1CFA">
        <w:rPr>
          <w:lang w:val="en-GB"/>
        </w:rPr>
        <w:t xml:space="preserve">other </w:t>
      </w:r>
      <w:r w:rsidR="00F62913" w:rsidRPr="005E1CFA">
        <w:rPr>
          <w:lang w:val="en-GB"/>
        </w:rPr>
        <w:t xml:space="preserve">United Nations </w:t>
      </w:r>
      <w:r w:rsidR="0089001F" w:rsidRPr="005E1CFA">
        <w:rPr>
          <w:lang w:val="en-GB"/>
        </w:rPr>
        <w:t xml:space="preserve">partners </w:t>
      </w:r>
      <w:r w:rsidR="00F62913" w:rsidRPr="005E1CFA">
        <w:rPr>
          <w:lang w:val="en-GB"/>
        </w:rPr>
        <w:t xml:space="preserve">to analyse and understand the conflict, its causes, main stakeholders, conflict drivers and peace engines. Such a partnership will minimize the </w:t>
      </w:r>
      <w:r w:rsidR="0089001F" w:rsidRPr="005E1CFA">
        <w:rPr>
          <w:lang w:val="en-GB"/>
        </w:rPr>
        <w:t xml:space="preserve">likelihood </w:t>
      </w:r>
      <w:r w:rsidR="00F62913" w:rsidRPr="005E1CFA">
        <w:rPr>
          <w:lang w:val="en-GB"/>
        </w:rPr>
        <w:t>of UNDP programmes intensifying conflicts</w:t>
      </w:r>
      <w:r w:rsidR="00547A10" w:rsidRPr="005E1CFA">
        <w:rPr>
          <w:lang w:val="en-GB"/>
        </w:rPr>
        <w:t>,</w:t>
      </w:r>
      <w:r w:rsidR="00F62913" w:rsidRPr="005E1CFA">
        <w:rPr>
          <w:lang w:val="en-GB"/>
        </w:rPr>
        <w:t xml:space="preserve"> and ensure effective programming with sustainably positive outcomes. </w:t>
      </w:r>
      <w:r w:rsidR="0089001F" w:rsidRPr="005E1CFA">
        <w:rPr>
          <w:lang w:val="en-GB"/>
        </w:rPr>
        <w:t xml:space="preserve">In compliance with the Human Rights </w:t>
      </w:r>
      <w:r w:rsidR="0089001F" w:rsidRPr="005E1CFA">
        <w:rPr>
          <w:lang w:val="en-GB"/>
        </w:rPr>
        <w:lastRenderedPageBreak/>
        <w:t>Charter and obligations under international law,</w:t>
      </w:r>
      <w:r w:rsidR="0089001F" w:rsidRPr="005E1CFA" w:rsidDel="0089001F">
        <w:rPr>
          <w:lang w:val="en-GB"/>
        </w:rPr>
        <w:t xml:space="preserve"> </w:t>
      </w:r>
      <w:r w:rsidR="0089001F" w:rsidRPr="005E1CFA">
        <w:rPr>
          <w:lang w:val="en-GB"/>
        </w:rPr>
        <w:t>a</w:t>
      </w:r>
      <w:r w:rsidR="00F62913" w:rsidRPr="005E1CFA">
        <w:rPr>
          <w:lang w:val="en-GB"/>
        </w:rPr>
        <w:t>ll projects providing support to non-U</w:t>
      </w:r>
      <w:r w:rsidR="0089001F" w:rsidRPr="005E1CFA">
        <w:rPr>
          <w:lang w:val="en-GB"/>
        </w:rPr>
        <w:t>nited Nations</w:t>
      </w:r>
      <w:r w:rsidR="00F62913" w:rsidRPr="005E1CFA">
        <w:rPr>
          <w:lang w:val="en-GB"/>
        </w:rPr>
        <w:t xml:space="preserve"> security forc</w:t>
      </w:r>
      <w:r>
        <w:rPr>
          <w:lang w:val="en-GB"/>
        </w:rPr>
        <w:t>es will undergo United Nations human rights due d</w:t>
      </w:r>
      <w:r w:rsidR="00F62913" w:rsidRPr="005E1CFA">
        <w:rPr>
          <w:lang w:val="en-GB"/>
        </w:rPr>
        <w:t>iligence analys</w:t>
      </w:r>
      <w:r w:rsidR="0089001F" w:rsidRPr="005E1CFA">
        <w:rPr>
          <w:lang w:val="en-GB"/>
        </w:rPr>
        <w:t>i</w:t>
      </w:r>
      <w:r w:rsidR="00F62913" w:rsidRPr="005E1CFA">
        <w:rPr>
          <w:lang w:val="en-GB"/>
        </w:rPr>
        <w:t xml:space="preserve">s. </w:t>
      </w:r>
    </w:p>
    <w:p w14:paraId="595EEED6" w14:textId="271AE618" w:rsidR="006B6D96" w:rsidRPr="005E1CFA" w:rsidRDefault="003B0697" w:rsidP="003B0697">
      <w:pPr>
        <w:pStyle w:val="ListParagraph"/>
        <w:tabs>
          <w:tab w:val="left" w:pos="360"/>
        </w:tabs>
        <w:spacing w:after="120"/>
        <w:ind w:left="360" w:right="1210"/>
        <w:jc w:val="both"/>
        <w:rPr>
          <w:lang w:val="en-GB"/>
        </w:rPr>
      </w:pPr>
      <w:r>
        <w:rPr>
          <w:lang w:val="en-GB"/>
        </w:rPr>
        <w:t>27.</w:t>
      </w:r>
      <w:r>
        <w:rPr>
          <w:lang w:val="en-GB"/>
        </w:rPr>
        <w:tab/>
      </w:r>
      <w:r w:rsidR="00B27CAD" w:rsidRPr="005E1CFA">
        <w:rPr>
          <w:lang w:val="en-GB"/>
        </w:rPr>
        <w:t>The political risks are compound</w:t>
      </w:r>
      <w:r w:rsidR="00CF2276" w:rsidRPr="005E1CFA">
        <w:rPr>
          <w:lang w:val="en-GB"/>
        </w:rPr>
        <w:t>ed</w:t>
      </w:r>
      <w:r w:rsidR="00B27CAD" w:rsidRPr="005E1CFA">
        <w:rPr>
          <w:lang w:val="en-GB"/>
        </w:rPr>
        <w:t xml:space="preserve"> by</w:t>
      </w:r>
      <w:r w:rsidR="006B6D96" w:rsidRPr="005E1CFA">
        <w:rPr>
          <w:lang w:val="en-GB"/>
        </w:rPr>
        <w:t xml:space="preserve"> the legacy of war</w:t>
      </w:r>
      <w:r w:rsidR="005503B3" w:rsidRPr="005E1CFA">
        <w:rPr>
          <w:lang w:val="en-GB"/>
        </w:rPr>
        <w:t xml:space="preserve"> in South Sudan</w:t>
      </w:r>
      <w:r>
        <w:rPr>
          <w:lang w:val="en-GB"/>
        </w:rPr>
        <w:t>. E</w:t>
      </w:r>
      <w:r w:rsidRPr="005E1CFA">
        <w:rPr>
          <w:lang w:val="en-GB"/>
        </w:rPr>
        <w:t>ven before the outbreak of the crisis</w:t>
      </w:r>
      <w:r>
        <w:rPr>
          <w:lang w:val="en-GB"/>
        </w:rPr>
        <w:t>,</w:t>
      </w:r>
      <w:r w:rsidRPr="005E1CFA">
        <w:rPr>
          <w:lang w:val="en-GB"/>
        </w:rPr>
        <w:t xml:space="preserve"> </w:t>
      </w:r>
      <w:r>
        <w:rPr>
          <w:lang w:val="en-GB"/>
        </w:rPr>
        <w:t>t</w:t>
      </w:r>
      <w:r w:rsidR="006B6D96" w:rsidRPr="005E1CFA">
        <w:rPr>
          <w:lang w:val="en-GB"/>
        </w:rPr>
        <w:t xml:space="preserve">he weak </w:t>
      </w:r>
      <w:r w:rsidR="003C63DD" w:rsidRPr="005E1CFA">
        <w:rPr>
          <w:lang w:val="en-GB"/>
        </w:rPr>
        <w:t xml:space="preserve">capacity of state institutions </w:t>
      </w:r>
      <w:r w:rsidR="006B6D96" w:rsidRPr="005E1CFA">
        <w:rPr>
          <w:lang w:val="en-GB"/>
        </w:rPr>
        <w:t xml:space="preserve">severely limited </w:t>
      </w:r>
      <w:r w:rsidR="00CF2276" w:rsidRPr="005E1CFA">
        <w:rPr>
          <w:lang w:val="en-GB"/>
        </w:rPr>
        <w:t>the</w:t>
      </w:r>
      <w:r>
        <w:rPr>
          <w:lang w:val="en-GB"/>
        </w:rPr>
        <w:t>ir</w:t>
      </w:r>
      <w:r w:rsidR="00CF2276" w:rsidRPr="005E1CFA">
        <w:rPr>
          <w:lang w:val="en-GB"/>
        </w:rPr>
        <w:t xml:space="preserve"> </w:t>
      </w:r>
      <w:r w:rsidR="006B6D96" w:rsidRPr="005E1CFA">
        <w:rPr>
          <w:lang w:val="en-GB"/>
        </w:rPr>
        <w:t xml:space="preserve">ability to discharge </w:t>
      </w:r>
      <w:r w:rsidR="00CF2276" w:rsidRPr="005E1CFA">
        <w:rPr>
          <w:lang w:val="en-GB"/>
        </w:rPr>
        <w:t xml:space="preserve">their </w:t>
      </w:r>
      <w:r>
        <w:rPr>
          <w:lang w:val="en-GB"/>
        </w:rPr>
        <w:t>basic responsibilities</w:t>
      </w:r>
      <w:r w:rsidR="006B6D96" w:rsidRPr="005E1CFA">
        <w:rPr>
          <w:lang w:val="en-GB"/>
        </w:rPr>
        <w:t xml:space="preserve">. </w:t>
      </w:r>
      <w:r w:rsidR="005503B3" w:rsidRPr="005E1CFA">
        <w:rPr>
          <w:lang w:val="en-GB"/>
        </w:rPr>
        <w:t xml:space="preserve">That </w:t>
      </w:r>
      <w:r>
        <w:rPr>
          <w:lang w:val="en-GB"/>
        </w:rPr>
        <w:t>weakness</w:t>
      </w:r>
      <w:r w:rsidR="006B6D96" w:rsidRPr="005E1CFA">
        <w:rPr>
          <w:lang w:val="en-GB"/>
        </w:rPr>
        <w:t xml:space="preserve"> will also affect the ability of the transitional institutions to carry forward their transformative agenda</w:t>
      </w:r>
      <w:r w:rsidR="00CE3814" w:rsidRPr="005E1CFA">
        <w:rPr>
          <w:rStyle w:val="FootnoteReference"/>
          <w:lang w:val="en-GB"/>
        </w:rPr>
        <w:footnoteReference w:id="16"/>
      </w:r>
      <w:r w:rsidR="006B6D96" w:rsidRPr="005E1CFA">
        <w:rPr>
          <w:lang w:val="en-GB"/>
        </w:rPr>
        <w:t xml:space="preserve">. </w:t>
      </w:r>
      <w:r w:rsidR="005503B3" w:rsidRPr="005E1CFA">
        <w:rPr>
          <w:lang w:val="en-GB"/>
        </w:rPr>
        <w:t>UNDP</w:t>
      </w:r>
      <w:r w:rsidR="006B6D96" w:rsidRPr="005E1CFA">
        <w:rPr>
          <w:lang w:val="en-GB"/>
        </w:rPr>
        <w:t xml:space="preserve"> recognizes the importance of both mitigating risks and incorporating flexibility into programme planning to address capacity gaps in implement</w:t>
      </w:r>
      <w:r w:rsidR="005503B3" w:rsidRPr="005E1CFA">
        <w:rPr>
          <w:lang w:val="en-GB"/>
        </w:rPr>
        <w:t>ing</w:t>
      </w:r>
      <w:r w:rsidR="006B6D96" w:rsidRPr="005E1CFA">
        <w:rPr>
          <w:lang w:val="en-GB"/>
        </w:rPr>
        <w:t xml:space="preserve"> the peace agreement. This will be done through regular review exercises to identify and assess changes that may be required in strategies and implementation.</w:t>
      </w:r>
    </w:p>
    <w:p w14:paraId="29FD64A8" w14:textId="3BBE048F" w:rsidR="00F62913" w:rsidRPr="005E1CFA" w:rsidRDefault="003B0697" w:rsidP="003B0697">
      <w:pPr>
        <w:pStyle w:val="ListParagraph"/>
        <w:tabs>
          <w:tab w:val="left" w:pos="360"/>
        </w:tabs>
        <w:spacing w:after="120"/>
        <w:ind w:left="360" w:right="1210"/>
        <w:jc w:val="both"/>
        <w:rPr>
          <w:lang w:val="en-GB"/>
        </w:rPr>
      </w:pPr>
      <w:r>
        <w:rPr>
          <w:lang w:val="en-GB"/>
        </w:rPr>
        <w:t>28.</w:t>
      </w:r>
      <w:r>
        <w:rPr>
          <w:lang w:val="en-GB"/>
        </w:rPr>
        <w:tab/>
      </w:r>
      <w:r w:rsidR="00F62913" w:rsidRPr="005E1CFA">
        <w:rPr>
          <w:lang w:val="en-GB"/>
        </w:rPr>
        <w:t>Security risks related to the divisions among communities, in conjunction with the brutality that ha</w:t>
      </w:r>
      <w:r w:rsidR="005503B3" w:rsidRPr="005E1CFA">
        <w:rPr>
          <w:lang w:val="en-GB"/>
        </w:rPr>
        <w:t>s</w:t>
      </w:r>
      <w:r w:rsidR="00F62913" w:rsidRPr="005E1CFA">
        <w:rPr>
          <w:lang w:val="en-GB"/>
        </w:rPr>
        <w:t xml:space="preserve"> characterized the violence throughout the crisis, could lead to revenge killings, particular</w:t>
      </w:r>
      <w:r w:rsidR="005503B3" w:rsidRPr="005E1CFA">
        <w:rPr>
          <w:lang w:val="en-GB"/>
        </w:rPr>
        <w:t>ly</w:t>
      </w:r>
      <w:r w:rsidR="00F62913" w:rsidRPr="005E1CFA">
        <w:rPr>
          <w:lang w:val="en-GB"/>
        </w:rPr>
        <w:t xml:space="preserve"> if perpetrators are not held accountable. </w:t>
      </w:r>
      <w:r w:rsidR="005503B3" w:rsidRPr="005E1CFA">
        <w:rPr>
          <w:lang w:val="en-GB"/>
        </w:rPr>
        <w:t>O</w:t>
      </w:r>
      <w:r w:rsidR="00F62913" w:rsidRPr="005E1CFA">
        <w:rPr>
          <w:lang w:val="en-GB"/>
        </w:rPr>
        <w:t>rganized forces of the parties could become involved, creating an even more lethal environment for civilians and ultimately undermining the credibility of the peace process</w:t>
      </w:r>
      <w:r w:rsidR="00CE3814" w:rsidRPr="005E1CFA">
        <w:rPr>
          <w:rStyle w:val="FootnoteReference"/>
          <w:lang w:val="en-GB"/>
        </w:rPr>
        <w:footnoteReference w:id="17"/>
      </w:r>
      <w:r w:rsidR="00F62913" w:rsidRPr="005E1CFA">
        <w:rPr>
          <w:lang w:val="en-GB"/>
        </w:rPr>
        <w:t xml:space="preserve">. This would impede access and operations in </w:t>
      </w:r>
      <w:r w:rsidR="005503B3" w:rsidRPr="005E1CFA">
        <w:rPr>
          <w:lang w:val="en-GB"/>
        </w:rPr>
        <w:t>several parts of</w:t>
      </w:r>
      <w:r w:rsidR="00F62913" w:rsidRPr="005E1CFA">
        <w:rPr>
          <w:lang w:val="en-GB"/>
        </w:rPr>
        <w:t xml:space="preserve"> the country. </w:t>
      </w:r>
      <w:r w:rsidR="003C59C5" w:rsidRPr="005E1CFA">
        <w:rPr>
          <w:lang w:val="en-GB"/>
        </w:rPr>
        <w:t xml:space="preserve">To mitigate that risk and ensure the sustainability of interventions, </w:t>
      </w:r>
      <w:r w:rsidR="00F62913" w:rsidRPr="005E1CFA">
        <w:rPr>
          <w:lang w:val="en-GB"/>
        </w:rPr>
        <w:t xml:space="preserve">UNDP will expand partnerships with international and national </w:t>
      </w:r>
      <w:r w:rsidR="005503B3" w:rsidRPr="005E1CFA">
        <w:rPr>
          <w:lang w:val="en-GB"/>
        </w:rPr>
        <w:t>non-governmental organizations in</w:t>
      </w:r>
      <w:r w:rsidR="00F62913" w:rsidRPr="005E1CFA">
        <w:rPr>
          <w:lang w:val="en-GB"/>
        </w:rPr>
        <w:t xml:space="preserve"> </w:t>
      </w:r>
      <w:r w:rsidR="00416E0E">
        <w:rPr>
          <w:lang w:val="en-GB"/>
        </w:rPr>
        <w:t xml:space="preserve">the </w:t>
      </w:r>
      <w:r w:rsidR="00F62913" w:rsidRPr="005E1CFA">
        <w:rPr>
          <w:lang w:val="en-GB"/>
        </w:rPr>
        <w:t>planning, implement</w:t>
      </w:r>
      <w:r w:rsidR="00416E0E">
        <w:rPr>
          <w:lang w:val="en-GB"/>
        </w:rPr>
        <w:t>ation</w:t>
      </w:r>
      <w:r w:rsidR="00F62913" w:rsidRPr="005E1CFA">
        <w:rPr>
          <w:lang w:val="en-GB"/>
        </w:rPr>
        <w:t>, m</w:t>
      </w:r>
      <w:r w:rsidR="0096275D" w:rsidRPr="005E1CFA">
        <w:rPr>
          <w:lang w:val="en-GB"/>
        </w:rPr>
        <w:t>onitoring and supervis</w:t>
      </w:r>
      <w:r w:rsidR="00416E0E">
        <w:rPr>
          <w:lang w:val="en-GB"/>
        </w:rPr>
        <w:t>ion of</w:t>
      </w:r>
      <w:r w:rsidR="0096275D" w:rsidRPr="005E1CFA">
        <w:rPr>
          <w:lang w:val="en-GB"/>
        </w:rPr>
        <w:t xml:space="preserve"> its</w:t>
      </w:r>
      <w:r w:rsidR="00F62913" w:rsidRPr="005E1CFA">
        <w:rPr>
          <w:lang w:val="en-GB"/>
        </w:rPr>
        <w:t xml:space="preserve"> activities. </w:t>
      </w:r>
      <w:r w:rsidR="009B1675" w:rsidRPr="005E1CFA">
        <w:rPr>
          <w:lang w:val="en-GB"/>
        </w:rPr>
        <w:t>It</w:t>
      </w:r>
      <w:r w:rsidR="00F62913" w:rsidRPr="005E1CFA">
        <w:rPr>
          <w:lang w:val="en-GB"/>
        </w:rPr>
        <w:t xml:space="preserve"> will strengthen its field presence through co-location in UNMISS bases</w:t>
      </w:r>
      <w:r w:rsidR="0096275D" w:rsidRPr="005E1CFA">
        <w:rPr>
          <w:rStyle w:val="FootnoteReference"/>
          <w:lang w:val="en-GB"/>
        </w:rPr>
        <w:footnoteReference w:id="18"/>
      </w:r>
      <w:r w:rsidR="00F62913" w:rsidRPr="005E1CFA">
        <w:rPr>
          <w:lang w:val="en-GB"/>
        </w:rPr>
        <w:t xml:space="preserve">, including in </w:t>
      </w:r>
      <w:r w:rsidR="0096275D" w:rsidRPr="005E1CFA">
        <w:rPr>
          <w:lang w:val="en-GB"/>
        </w:rPr>
        <w:t>the conflict-affected areas</w:t>
      </w:r>
      <w:r w:rsidR="009B1675" w:rsidRPr="005E1CFA">
        <w:rPr>
          <w:lang w:val="en-GB"/>
        </w:rPr>
        <w:t>,</w:t>
      </w:r>
      <w:r w:rsidR="0096275D" w:rsidRPr="005E1CFA">
        <w:rPr>
          <w:rStyle w:val="FootnoteReference"/>
          <w:lang w:val="en-GB"/>
        </w:rPr>
        <w:footnoteReference w:id="19"/>
      </w:r>
      <w:r w:rsidR="00F62913" w:rsidRPr="005E1CFA">
        <w:rPr>
          <w:lang w:val="en-GB"/>
        </w:rPr>
        <w:t xml:space="preserve"> whe</w:t>
      </w:r>
      <w:r w:rsidR="009B1675" w:rsidRPr="005E1CFA">
        <w:rPr>
          <w:lang w:val="en-GB"/>
        </w:rPr>
        <w:t>re</w:t>
      </w:r>
      <w:r w:rsidR="00F62913" w:rsidRPr="005E1CFA">
        <w:rPr>
          <w:lang w:val="en-GB"/>
        </w:rPr>
        <w:t xml:space="preserve"> possible</w:t>
      </w:r>
      <w:r w:rsidR="009B1675" w:rsidRPr="005E1CFA">
        <w:rPr>
          <w:lang w:val="en-GB"/>
        </w:rPr>
        <w:t>, and</w:t>
      </w:r>
      <w:r w:rsidR="00F62913" w:rsidRPr="005E1CFA">
        <w:rPr>
          <w:lang w:val="en-GB"/>
        </w:rPr>
        <w:t xml:space="preserve"> will strengthen its approach to managing security risks with other United Nations </w:t>
      </w:r>
      <w:r w:rsidR="009B1675" w:rsidRPr="005E1CFA">
        <w:rPr>
          <w:lang w:val="en-GB"/>
        </w:rPr>
        <w:t xml:space="preserve">partners </w:t>
      </w:r>
      <w:r w:rsidR="00F62913" w:rsidRPr="005E1CFA">
        <w:rPr>
          <w:lang w:val="en-GB"/>
        </w:rPr>
        <w:t xml:space="preserve">as the situation requires. UNDP will update its business continuity plans to strengthen programme resilience and safeguard the delivery of results </w:t>
      </w:r>
      <w:r w:rsidR="00416E0E">
        <w:rPr>
          <w:lang w:val="en-GB"/>
        </w:rPr>
        <w:t>should</w:t>
      </w:r>
      <w:r w:rsidR="00F62913" w:rsidRPr="005E1CFA">
        <w:rPr>
          <w:lang w:val="en-GB"/>
        </w:rPr>
        <w:t xml:space="preserve"> security risks escalate.</w:t>
      </w:r>
    </w:p>
    <w:p w14:paraId="790B3D7F" w14:textId="07E1AF3B" w:rsidR="00F70B03" w:rsidRPr="005E1CFA" w:rsidRDefault="00416E0E" w:rsidP="00416E0E">
      <w:pPr>
        <w:pStyle w:val="ListParagraph"/>
        <w:tabs>
          <w:tab w:val="left" w:pos="360"/>
        </w:tabs>
        <w:spacing w:after="120"/>
        <w:ind w:left="360" w:right="1210"/>
        <w:jc w:val="both"/>
        <w:rPr>
          <w:lang w:val="en-GB"/>
        </w:rPr>
      </w:pPr>
      <w:r>
        <w:rPr>
          <w:lang w:val="en-GB"/>
        </w:rPr>
        <w:t>29.</w:t>
      </w:r>
      <w:r>
        <w:rPr>
          <w:lang w:val="en-GB"/>
        </w:rPr>
        <w:tab/>
      </w:r>
      <w:r w:rsidR="00F70B03" w:rsidRPr="005E1CFA">
        <w:rPr>
          <w:lang w:val="en-GB"/>
        </w:rPr>
        <w:t xml:space="preserve">In October 2015, President </w:t>
      </w:r>
      <w:proofErr w:type="spellStart"/>
      <w:r w:rsidR="00F70B03" w:rsidRPr="005E1CFA">
        <w:rPr>
          <w:lang w:val="en-GB"/>
        </w:rPr>
        <w:t>Salva</w:t>
      </w:r>
      <w:proofErr w:type="spellEnd"/>
      <w:r w:rsidR="00F70B03" w:rsidRPr="005E1CFA">
        <w:rPr>
          <w:lang w:val="en-GB"/>
        </w:rPr>
        <w:t xml:space="preserve"> </w:t>
      </w:r>
      <w:proofErr w:type="spellStart"/>
      <w:r w:rsidR="00F70B03" w:rsidRPr="005E1CFA">
        <w:rPr>
          <w:lang w:val="en-GB"/>
        </w:rPr>
        <w:t>Kiir</w:t>
      </w:r>
      <w:proofErr w:type="spellEnd"/>
      <w:r w:rsidR="00F70B03" w:rsidRPr="005E1CFA">
        <w:rPr>
          <w:lang w:val="en-GB"/>
        </w:rPr>
        <w:t xml:space="preserve"> divided the existing 10 states into 28 new states</w:t>
      </w:r>
      <w:r>
        <w:rPr>
          <w:lang w:val="en-GB"/>
        </w:rPr>
        <w:t>,</w:t>
      </w:r>
      <w:r w:rsidR="00F70B03" w:rsidRPr="005E1CFA">
        <w:rPr>
          <w:lang w:val="en-GB"/>
        </w:rPr>
        <w:t xml:space="preserve"> each with its own governing</w:t>
      </w:r>
      <w:r w:rsidR="00CF2276" w:rsidRPr="005E1CFA">
        <w:rPr>
          <w:lang w:val="en-GB"/>
        </w:rPr>
        <w:t xml:space="preserve"> and legislative</w:t>
      </w:r>
      <w:r w:rsidR="00F70B03" w:rsidRPr="005E1CFA">
        <w:rPr>
          <w:lang w:val="en-GB"/>
        </w:rPr>
        <w:t xml:space="preserve"> structure</w:t>
      </w:r>
      <w:r w:rsidR="009B1675" w:rsidRPr="005E1CFA">
        <w:rPr>
          <w:lang w:val="en-GB"/>
        </w:rPr>
        <w:t xml:space="preserve"> (t</w:t>
      </w:r>
      <w:r w:rsidR="00F70B03" w:rsidRPr="005E1CFA">
        <w:rPr>
          <w:lang w:val="en-GB"/>
        </w:rPr>
        <w:t>he constitution was amended to accommodate this directive</w:t>
      </w:r>
      <w:r w:rsidR="009B1675" w:rsidRPr="005E1CFA">
        <w:rPr>
          <w:lang w:val="en-GB"/>
        </w:rPr>
        <w:t>)</w:t>
      </w:r>
      <w:r w:rsidR="00F70B03" w:rsidRPr="005E1CFA">
        <w:rPr>
          <w:lang w:val="en-GB"/>
        </w:rPr>
        <w:t>. Th</w:t>
      </w:r>
      <w:r w:rsidR="009B1675" w:rsidRPr="005E1CFA">
        <w:rPr>
          <w:lang w:val="en-GB"/>
        </w:rPr>
        <w:t>at</w:t>
      </w:r>
      <w:r w:rsidR="00F70B03" w:rsidRPr="005E1CFA">
        <w:rPr>
          <w:lang w:val="en-GB"/>
        </w:rPr>
        <w:t xml:space="preserve"> </w:t>
      </w:r>
      <w:r w:rsidR="009B1675" w:rsidRPr="005E1CFA">
        <w:rPr>
          <w:lang w:val="en-GB"/>
        </w:rPr>
        <w:t xml:space="preserve">action </w:t>
      </w:r>
      <w:r w:rsidR="00F70B03" w:rsidRPr="005E1CFA">
        <w:rPr>
          <w:lang w:val="en-GB"/>
        </w:rPr>
        <w:t xml:space="preserve">has far-reaching political, governance, economic, financial, and administrative </w:t>
      </w:r>
      <w:r w:rsidR="009B1675" w:rsidRPr="005E1CFA">
        <w:rPr>
          <w:lang w:val="en-GB"/>
        </w:rPr>
        <w:t>consequences</w:t>
      </w:r>
      <w:r w:rsidR="00F70B03" w:rsidRPr="005E1CFA">
        <w:rPr>
          <w:lang w:val="en-GB"/>
        </w:rPr>
        <w:t xml:space="preserve"> for the government and the international community. </w:t>
      </w:r>
      <w:r w:rsidR="003E437F" w:rsidRPr="005E1CFA">
        <w:rPr>
          <w:lang w:val="en-GB"/>
        </w:rPr>
        <w:t xml:space="preserve">Based on lessons learned concerning the benefits of maintaining a robust field presence, </w:t>
      </w:r>
      <w:r w:rsidR="00F70B03" w:rsidRPr="005E1CFA">
        <w:rPr>
          <w:lang w:val="en-GB"/>
        </w:rPr>
        <w:t xml:space="preserve">UNDP </w:t>
      </w:r>
      <w:r w:rsidR="003E437F" w:rsidRPr="005E1CFA">
        <w:rPr>
          <w:lang w:val="en-GB"/>
        </w:rPr>
        <w:t>will</w:t>
      </w:r>
      <w:r w:rsidR="003572A5" w:rsidRPr="005E1CFA">
        <w:rPr>
          <w:lang w:val="en-GB"/>
        </w:rPr>
        <w:t xml:space="preserve"> </w:t>
      </w:r>
      <w:r w:rsidR="003E437F" w:rsidRPr="005E1CFA">
        <w:rPr>
          <w:lang w:val="en-GB"/>
        </w:rPr>
        <w:t xml:space="preserve">expand co-habitation with UNMISS and </w:t>
      </w:r>
      <w:r w:rsidR="00F70B03" w:rsidRPr="005E1CFA">
        <w:rPr>
          <w:lang w:val="en-GB"/>
        </w:rPr>
        <w:t xml:space="preserve">adopt a regional </w:t>
      </w:r>
      <w:r w:rsidR="003E437F" w:rsidRPr="005E1CFA">
        <w:rPr>
          <w:lang w:val="en-GB"/>
        </w:rPr>
        <w:t xml:space="preserve">approach to </w:t>
      </w:r>
      <w:r w:rsidR="006F696D" w:rsidRPr="005E1CFA">
        <w:rPr>
          <w:lang w:val="en-GB"/>
        </w:rPr>
        <w:t>increase its geographical coverage as feasible</w:t>
      </w:r>
      <w:r w:rsidR="00175454" w:rsidRPr="005E1CFA">
        <w:rPr>
          <w:lang w:val="en-GB"/>
        </w:rPr>
        <w:t xml:space="preserve">. Potential capacity development support to </w:t>
      </w:r>
      <w:r>
        <w:rPr>
          <w:lang w:val="en-GB"/>
        </w:rPr>
        <w:t xml:space="preserve">newly </w:t>
      </w:r>
      <w:r w:rsidR="003E437F" w:rsidRPr="005E1CFA">
        <w:rPr>
          <w:lang w:val="en-GB"/>
        </w:rPr>
        <w:t xml:space="preserve">formed </w:t>
      </w:r>
      <w:r w:rsidR="00175454" w:rsidRPr="005E1CFA">
        <w:rPr>
          <w:lang w:val="en-GB"/>
        </w:rPr>
        <w:t xml:space="preserve">state governments will be analysed on a case-by-case basis </w:t>
      </w:r>
      <w:r w:rsidR="009B1675" w:rsidRPr="005E1CFA">
        <w:rPr>
          <w:lang w:val="en-GB"/>
        </w:rPr>
        <w:t>with respect</w:t>
      </w:r>
      <w:r w:rsidR="00175454" w:rsidRPr="005E1CFA">
        <w:rPr>
          <w:lang w:val="en-GB"/>
        </w:rPr>
        <w:t xml:space="preserve"> to cost-effectiveness and appropriateness. </w:t>
      </w:r>
    </w:p>
    <w:p w14:paraId="3F432161" w14:textId="1A503A8D" w:rsidR="00F62913" w:rsidRPr="005E1CFA" w:rsidRDefault="00416E0E" w:rsidP="00416E0E">
      <w:pPr>
        <w:pStyle w:val="ListParagraph"/>
        <w:spacing w:after="120"/>
        <w:ind w:left="360" w:right="1210"/>
        <w:jc w:val="both"/>
        <w:rPr>
          <w:lang w:val="en-GB"/>
        </w:rPr>
      </w:pPr>
      <w:r>
        <w:rPr>
          <w:lang w:val="en-GB"/>
        </w:rPr>
        <w:t>30.</w:t>
      </w:r>
      <w:r>
        <w:rPr>
          <w:lang w:val="en-GB"/>
        </w:rPr>
        <w:tab/>
      </w:r>
      <w:r w:rsidR="00F62913" w:rsidRPr="005E1CFA">
        <w:rPr>
          <w:lang w:val="en-GB"/>
        </w:rPr>
        <w:t>Slow implementation of the peace agreement and continued violence and insecurity will lead to diversion of resources toward humanitarian needs. In combination with global developments</w:t>
      </w:r>
      <w:r w:rsidR="00CF2276" w:rsidRPr="005E1CFA">
        <w:rPr>
          <w:lang w:val="en-GB"/>
        </w:rPr>
        <w:t>,</w:t>
      </w:r>
      <w:r w:rsidR="00F62913" w:rsidRPr="005E1CFA">
        <w:rPr>
          <w:lang w:val="en-GB"/>
        </w:rPr>
        <w:t xml:space="preserve"> this may constrain the resource mobili</w:t>
      </w:r>
      <w:r w:rsidR="009B1675" w:rsidRPr="005E1CFA">
        <w:rPr>
          <w:lang w:val="en-GB"/>
        </w:rPr>
        <w:t>z</w:t>
      </w:r>
      <w:r w:rsidR="00F62913" w:rsidRPr="005E1CFA">
        <w:rPr>
          <w:lang w:val="en-GB"/>
        </w:rPr>
        <w:t>ation prospects for development needs in South Sudan and pose a financial risk</w:t>
      </w:r>
      <w:r w:rsidR="003572A5" w:rsidRPr="005E1CFA">
        <w:rPr>
          <w:lang w:val="en-GB"/>
        </w:rPr>
        <w:t xml:space="preserve"> requiring recalibration of programming</w:t>
      </w:r>
      <w:r w:rsidR="00F62913" w:rsidRPr="005E1CFA">
        <w:rPr>
          <w:lang w:val="en-GB"/>
        </w:rPr>
        <w:t>. As part of the U</w:t>
      </w:r>
      <w:r w:rsidR="009B1675" w:rsidRPr="005E1CFA">
        <w:rPr>
          <w:lang w:val="en-GB"/>
        </w:rPr>
        <w:t>nited Nations</w:t>
      </w:r>
      <w:r w:rsidR="00F62913" w:rsidRPr="005E1CFA">
        <w:rPr>
          <w:lang w:val="en-GB"/>
        </w:rPr>
        <w:t xml:space="preserve"> country team, UNDP will be a lead advocate for the need to fund early recovery and development</w:t>
      </w:r>
      <w:r w:rsidR="009B1675" w:rsidRPr="005E1CFA">
        <w:rPr>
          <w:lang w:val="en-GB"/>
        </w:rPr>
        <w:t>-</w:t>
      </w:r>
      <w:r w:rsidR="00F62913" w:rsidRPr="005E1CFA">
        <w:rPr>
          <w:lang w:val="en-GB"/>
        </w:rPr>
        <w:t xml:space="preserve">related activities as </w:t>
      </w:r>
      <w:r w:rsidR="006F696D" w:rsidRPr="005E1CFA">
        <w:rPr>
          <w:lang w:val="en-GB"/>
        </w:rPr>
        <w:t>a means of avoid</w:t>
      </w:r>
      <w:r w:rsidR="009B1675" w:rsidRPr="005E1CFA">
        <w:rPr>
          <w:lang w:val="en-GB"/>
        </w:rPr>
        <w:t>ing</w:t>
      </w:r>
      <w:r w:rsidR="006F696D" w:rsidRPr="005E1CFA">
        <w:rPr>
          <w:lang w:val="en-GB"/>
        </w:rPr>
        <w:t xml:space="preserve"> recurrent humanitarian crises and generating </w:t>
      </w:r>
      <w:r w:rsidR="00F62913" w:rsidRPr="005E1CFA">
        <w:rPr>
          <w:lang w:val="en-GB"/>
        </w:rPr>
        <w:t xml:space="preserve">a </w:t>
      </w:r>
      <w:r w:rsidR="009B1675" w:rsidRPr="005E1CFA">
        <w:rPr>
          <w:lang w:val="en-GB"/>
        </w:rPr>
        <w:t>‘</w:t>
      </w:r>
      <w:r w:rsidR="00F62913" w:rsidRPr="005E1CFA">
        <w:rPr>
          <w:lang w:val="en-GB"/>
        </w:rPr>
        <w:t>peace dividend</w:t>
      </w:r>
      <w:r w:rsidR="009B1675" w:rsidRPr="005E1CFA">
        <w:rPr>
          <w:lang w:val="en-GB"/>
        </w:rPr>
        <w:t>’</w:t>
      </w:r>
      <w:r w:rsidR="00F62913" w:rsidRPr="005E1CFA">
        <w:rPr>
          <w:lang w:val="en-GB"/>
        </w:rPr>
        <w:t xml:space="preserve"> </w:t>
      </w:r>
      <w:r w:rsidR="009B1675" w:rsidRPr="005E1CFA">
        <w:rPr>
          <w:lang w:val="en-GB"/>
        </w:rPr>
        <w:t xml:space="preserve">for </w:t>
      </w:r>
      <w:r w:rsidR="00F62913" w:rsidRPr="005E1CFA">
        <w:rPr>
          <w:lang w:val="en-GB"/>
        </w:rPr>
        <w:t xml:space="preserve">war-affected populations. UNDP will work to secure the funding necessary to sustain the programme and expand the donor base, including through </w:t>
      </w:r>
      <w:r w:rsidR="009B1675" w:rsidRPr="005E1CFA">
        <w:rPr>
          <w:lang w:val="en-GB"/>
        </w:rPr>
        <w:t xml:space="preserve">improved </w:t>
      </w:r>
      <w:r w:rsidR="00F62913" w:rsidRPr="005E1CFA">
        <w:rPr>
          <w:lang w:val="en-GB"/>
        </w:rPr>
        <w:t>reporting on results, outreach</w:t>
      </w:r>
      <w:r w:rsidR="009B1675" w:rsidRPr="005E1CFA">
        <w:rPr>
          <w:lang w:val="en-GB"/>
        </w:rPr>
        <w:t>,</w:t>
      </w:r>
      <w:r w:rsidR="00F62913" w:rsidRPr="005E1CFA">
        <w:rPr>
          <w:lang w:val="en-GB"/>
        </w:rPr>
        <w:t xml:space="preserve"> and communication strategies.</w:t>
      </w:r>
    </w:p>
    <w:p w14:paraId="0D6463FA" w14:textId="7B2D092A" w:rsidR="00F62913" w:rsidRPr="005E1CFA" w:rsidRDefault="00416E0E" w:rsidP="00416E0E">
      <w:pPr>
        <w:pStyle w:val="ListParagraph"/>
        <w:tabs>
          <w:tab w:val="left" w:pos="360"/>
        </w:tabs>
        <w:spacing w:after="120"/>
        <w:ind w:left="360" w:right="1210"/>
        <w:jc w:val="both"/>
        <w:rPr>
          <w:lang w:val="en-GB"/>
        </w:rPr>
      </w:pPr>
      <w:r>
        <w:rPr>
          <w:lang w:val="en-GB"/>
        </w:rPr>
        <w:t>31.</w:t>
      </w:r>
      <w:r>
        <w:rPr>
          <w:lang w:val="en-GB"/>
        </w:rPr>
        <w:tab/>
      </w:r>
      <w:r w:rsidR="00F62913" w:rsidRPr="005E1CFA">
        <w:rPr>
          <w:lang w:val="en-GB"/>
        </w:rPr>
        <w:t>This programme will be implemented predominantly th</w:t>
      </w:r>
      <w:r w:rsidR="00CF2276" w:rsidRPr="005E1CFA">
        <w:rPr>
          <w:lang w:val="en-GB"/>
        </w:rPr>
        <w:t>r</w:t>
      </w:r>
      <w:r w:rsidR="00F62913" w:rsidRPr="005E1CFA">
        <w:rPr>
          <w:lang w:val="en-GB"/>
        </w:rPr>
        <w:t>ough the direct implement</w:t>
      </w:r>
      <w:r>
        <w:rPr>
          <w:lang w:val="en-GB"/>
        </w:rPr>
        <w:t>ation modality due to the under</w:t>
      </w:r>
      <w:r w:rsidR="00F62913" w:rsidRPr="005E1CFA">
        <w:rPr>
          <w:lang w:val="en-GB"/>
        </w:rPr>
        <w:t>developed public financial management system in South Sudan</w:t>
      </w:r>
      <w:r w:rsidR="003046F5" w:rsidRPr="005E1CFA">
        <w:rPr>
          <w:lang w:val="en-GB"/>
        </w:rPr>
        <w:t xml:space="preserve">. </w:t>
      </w:r>
      <w:r w:rsidR="00F62913" w:rsidRPr="005E1CFA">
        <w:rPr>
          <w:lang w:val="en-GB"/>
        </w:rPr>
        <w:t xml:space="preserve">UNDP will collaborate with the </w:t>
      </w:r>
      <w:r w:rsidR="009B1675" w:rsidRPr="005E1CFA">
        <w:rPr>
          <w:lang w:val="en-GB"/>
        </w:rPr>
        <w:t xml:space="preserve">country team </w:t>
      </w:r>
      <w:r w:rsidR="00F62913" w:rsidRPr="005E1CFA">
        <w:rPr>
          <w:lang w:val="en-GB"/>
        </w:rPr>
        <w:t>to undertake comprehensive capacity assessments of implementing partners as part of implementing the harmonized approach to cash transfers</w:t>
      </w:r>
      <w:r w:rsidR="003046F5" w:rsidRPr="005E1CFA">
        <w:rPr>
          <w:lang w:val="en-GB"/>
        </w:rPr>
        <w:t xml:space="preserve">. </w:t>
      </w:r>
      <w:r w:rsidR="00F62913" w:rsidRPr="005E1CFA">
        <w:rPr>
          <w:lang w:val="en-GB"/>
        </w:rPr>
        <w:t xml:space="preserve">UNDP will continue to strengthen the capacity of relevant state institutions to lay the foundation for the transfer </w:t>
      </w:r>
      <w:r w:rsidR="0074214A" w:rsidRPr="005E1CFA">
        <w:rPr>
          <w:lang w:val="en-GB"/>
        </w:rPr>
        <w:t xml:space="preserve">of </w:t>
      </w:r>
      <w:r w:rsidR="00F62913" w:rsidRPr="005E1CFA">
        <w:rPr>
          <w:lang w:val="en-GB"/>
        </w:rPr>
        <w:t xml:space="preserve">programme implementation responsibility from UNDP to the </w:t>
      </w:r>
      <w:r w:rsidR="009B1675" w:rsidRPr="005E1CFA">
        <w:rPr>
          <w:lang w:val="en-GB"/>
        </w:rPr>
        <w:t>G</w:t>
      </w:r>
      <w:r w:rsidR="00F62913" w:rsidRPr="005E1CFA">
        <w:rPr>
          <w:lang w:val="en-GB"/>
        </w:rPr>
        <w:t>overnment. In consultation with implementing partners, UNDP will devise mechanisms for addressing delays in delivery of funds (partly through direct payment) and in starting project implementation.</w:t>
      </w:r>
    </w:p>
    <w:p w14:paraId="5F5C2A36" w14:textId="3BB6FD5F" w:rsidR="00F62913" w:rsidRPr="005E1CFA" w:rsidRDefault="006D2F0F" w:rsidP="006D2F0F">
      <w:pPr>
        <w:pStyle w:val="Heading1"/>
        <w:tabs>
          <w:tab w:val="left" w:pos="360"/>
          <w:tab w:val="left" w:pos="1800"/>
        </w:tabs>
        <w:spacing w:after="120"/>
        <w:ind w:left="360" w:right="1210" w:hanging="540"/>
        <w:jc w:val="both"/>
        <w:rPr>
          <w:rFonts w:ascii="Times New Roman" w:hAnsi="Times New Roman"/>
          <w:szCs w:val="28"/>
          <w:lang w:val="en-GB"/>
        </w:rPr>
      </w:pPr>
      <w:r w:rsidRPr="005E1CFA">
        <w:rPr>
          <w:rFonts w:ascii="Times New Roman" w:hAnsi="Times New Roman"/>
          <w:szCs w:val="28"/>
          <w:lang w:val="en-GB"/>
        </w:rPr>
        <w:lastRenderedPageBreak/>
        <w:t>IV.</w:t>
      </w:r>
      <w:r w:rsidRPr="005E1CFA">
        <w:rPr>
          <w:rFonts w:ascii="Times New Roman" w:hAnsi="Times New Roman"/>
          <w:szCs w:val="28"/>
          <w:lang w:val="en-GB"/>
        </w:rPr>
        <w:tab/>
      </w:r>
      <w:r w:rsidR="00FE6C02" w:rsidRPr="005E1CFA">
        <w:rPr>
          <w:rFonts w:ascii="Times New Roman" w:hAnsi="Times New Roman"/>
          <w:szCs w:val="28"/>
          <w:lang w:val="en-GB"/>
        </w:rPr>
        <w:t>Monitoring and e</w:t>
      </w:r>
      <w:r w:rsidR="00F62913" w:rsidRPr="005E1CFA">
        <w:rPr>
          <w:rFonts w:ascii="Times New Roman" w:hAnsi="Times New Roman"/>
          <w:szCs w:val="28"/>
          <w:lang w:val="en-GB"/>
        </w:rPr>
        <w:t>valuation</w:t>
      </w:r>
    </w:p>
    <w:p w14:paraId="6DCC42E4" w14:textId="6BCD2CEC" w:rsidR="00F62913" w:rsidRPr="005E1CFA" w:rsidRDefault="00416E0E" w:rsidP="00416E0E">
      <w:pPr>
        <w:pStyle w:val="ListParagraph"/>
        <w:tabs>
          <w:tab w:val="left" w:pos="360"/>
        </w:tabs>
        <w:spacing w:after="120"/>
        <w:ind w:left="360" w:right="1210"/>
        <w:jc w:val="both"/>
        <w:rPr>
          <w:lang w:val="en-GB"/>
        </w:rPr>
      </w:pPr>
      <w:r>
        <w:rPr>
          <w:lang w:val="en-GB"/>
        </w:rPr>
        <w:t>32.</w:t>
      </w:r>
      <w:r>
        <w:rPr>
          <w:lang w:val="en-GB"/>
        </w:rPr>
        <w:tab/>
      </w:r>
      <w:r w:rsidR="00F62913" w:rsidRPr="005E1CFA">
        <w:rPr>
          <w:lang w:val="en-GB"/>
        </w:rPr>
        <w:t>The programme will be impl</w:t>
      </w:r>
      <w:r w:rsidR="005248EC" w:rsidRPr="005E1CFA">
        <w:rPr>
          <w:lang w:val="en-GB"/>
        </w:rPr>
        <w:t>emented at the national and sub</w:t>
      </w:r>
      <w:r w:rsidR="00F62913" w:rsidRPr="005E1CFA">
        <w:rPr>
          <w:lang w:val="en-GB"/>
        </w:rPr>
        <w:t>national levels informed by evidence-based research through national think-tank capacities and asse</w:t>
      </w:r>
      <w:r w:rsidR="00175454" w:rsidRPr="005E1CFA">
        <w:rPr>
          <w:lang w:val="en-GB"/>
        </w:rPr>
        <w:t>ssments</w:t>
      </w:r>
      <w:r w:rsidR="005248EC" w:rsidRPr="005E1CFA">
        <w:rPr>
          <w:lang w:val="en-GB"/>
        </w:rPr>
        <w:t>,</w:t>
      </w:r>
      <w:r w:rsidR="0074214A" w:rsidRPr="005E1CFA">
        <w:rPr>
          <w:lang w:val="en-GB"/>
        </w:rPr>
        <w:t xml:space="preserve"> and by the capacity of UNDP itself</w:t>
      </w:r>
      <w:r w:rsidR="00175454" w:rsidRPr="005E1CFA">
        <w:rPr>
          <w:lang w:val="en-GB"/>
        </w:rPr>
        <w:t>.</w:t>
      </w:r>
      <w:r w:rsidR="00F62913" w:rsidRPr="005E1CFA">
        <w:rPr>
          <w:lang w:val="en-GB"/>
        </w:rPr>
        <w:t xml:space="preserve"> UNDP will focus on results-based management, supported by the strategic policy unit</w:t>
      </w:r>
      <w:r w:rsidR="00A23D53" w:rsidRPr="005E1CFA">
        <w:rPr>
          <w:lang w:val="en-GB"/>
        </w:rPr>
        <w:t>,</w:t>
      </w:r>
      <w:r w:rsidR="00F62913" w:rsidRPr="005E1CFA">
        <w:rPr>
          <w:lang w:val="en-GB"/>
        </w:rPr>
        <w:t xml:space="preserve"> and will strengthen monitoring and evaluation in line with the strategic framework results matrix and the integrated results and resources framework of the strategic plan, to inform future policy and practice through lessons learned. Projects will include document</w:t>
      </w:r>
      <w:r w:rsidR="00A23D53" w:rsidRPr="005E1CFA">
        <w:rPr>
          <w:lang w:val="en-GB"/>
        </w:rPr>
        <w:t>ing</w:t>
      </w:r>
      <w:r w:rsidR="00F62913" w:rsidRPr="005E1CFA">
        <w:rPr>
          <w:lang w:val="en-GB"/>
        </w:rPr>
        <w:t xml:space="preserve"> lessons learned, ensur</w:t>
      </w:r>
      <w:r w:rsidR="00A23D53" w:rsidRPr="005E1CFA">
        <w:rPr>
          <w:lang w:val="en-GB"/>
        </w:rPr>
        <w:t>ing</w:t>
      </w:r>
      <w:r w:rsidR="00F62913" w:rsidRPr="005E1CFA">
        <w:rPr>
          <w:lang w:val="en-GB"/>
        </w:rPr>
        <w:t xml:space="preserve"> capture of knowledge from stakeholders, and enhanc</w:t>
      </w:r>
      <w:r w:rsidR="00A23D53" w:rsidRPr="005E1CFA">
        <w:rPr>
          <w:lang w:val="en-GB"/>
        </w:rPr>
        <w:t>ing</w:t>
      </w:r>
      <w:r w:rsidR="00F62913" w:rsidRPr="005E1CFA">
        <w:rPr>
          <w:lang w:val="en-GB"/>
        </w:rPr>
        <w:t xml:space="preserve"> South-South dialogue and </w:t>
      </w:r>
      <w:r w:rsidR="00A23D53" w:rsidRPr="005E1CFA">
        <w:rPr>
          <w:lang w:val="en-GB"/>
        </w:rPr>
        <w:t xml:space="preserve">the </w:t>
      </w:r>
      <w:r w:rsidR="00F62913" w:rsidRPr="005E1CFA">
        <w:rPr>
          <w:lang w:val="en-GB"/>
        </w:rPr>
        <w:t xml:space="preserve">exchange of knowledge. </w:t>
      </w:r>
      <w:r w:rsidR="00175454" w:rsidRPr="005E1CFA">
        <w:rPr>
          <w:lang w:val="en-GB"/>
        </w:rPr>
        <w:t>The civil service support programme</w:t>
      </w:r>
      <w:r w:rsidR="00A23D53" w:rsidRPr="005E1CFA">
        <w:rPr>
          <w:lang w:val="en-GB"/>
        </w:rPr>
        <w:t>,</w:t>
      </w:r>
      <w:r w:rsidR="00175454" w:rsidRPr="005E1CFA">
        <w:rPr>
          <w:lang w:val="en-GB"/>
        </w:rPr>
        <w:t xml:space="preserve"> supported through IGAD</w:t>
      </w:r>
      <w:r w:rsidR="00A23D53" w:rsidRPr="005E1CFA">
        <w:rPr>
          <w:lang w:val="en-GB"/>
        </w:rPr>
        <w:t>,</w:t>
      </w:r>
      <w:r w:rsidR="00175454" w:rsidRPr="005E1CFA">
        <w:rPr>
          <w:lang w:val="en-GB"/>
        </w:rPr>
        <w:t xml:space="preserve"> i</w:t>
      </w:r>
      <w:r w:rsidR="00CF2276" w:rsidRPr="005E1CFA">
        <w:rPr>
          <w:lang w:val="en-GB"/>
        </w:rPr>
        <w:t>s</w:t>
      </w:r>
      <w:r w:rsidR="00175454" w:rsidRPr="005E1CFA">
        <w:rPr>
          <w:lang w:val="en-GB"/>
        </w:rPr>
        <w:t xml:space="preserve"> a practical example of </w:t>
      </w:r>
      <w:r w:rsidR="00CF2276" w:rsidRPr="005E1CFA">
        <w:rPr>
          <w:lang w:val="en-GB"/>
        </w:rPr>
        <w:t xml:space="preserve">how </w:t>
      </w:r>
      <w:r w:rsidR="00175454" w:rsidRPr="005E1CFA">
        <w:rPr>
          <w:lang w:val="en-GB"/>
        </w:rPr>
        <w:t>this can achieved.</w:t>
      </w:r>
    </w:p>
    <w:p w14:paraId="502F0689" w14:textId="6F2A5798" w:rsidR="00F62913" w:rsidRPr="005E1CFA" w:rsidRDefault="00416E0E" w:rsidP="00416E0E">
      <w:pPr>
        <w:pStyle w:val="ListParagraph"/>
        <w:tabs>
          <w:tab w:val="left" w:pos="360"/>
        </w:tabs>
        <w:spacing w:after="120"/>
        <w:ind w:left="360" w:right="1210"/>
        <w:jc w:val="both"/>
        <w:rPr>
          <w:lang w:val="en-GB"/>
        </w:rPr>
      </w:pPr>
      <w:r>
        <w:rPr>
          <w:lang w:val="en-GB"/>
        </w:rPr>
        <w:t>33.</w:t>
      </w:r>
      <w:r>
        <w:rPr>
          <w:lang w:val="en-GB"/>
        </w:rPr>
        <w:tab/>
      </w:r>
      <w:r w:rsidR="00F62913" w:rsidRPr="005E1CFA">
        <w:rPr>
          <w:lang w:val="en-GB"/>
        </w:rPr>
        <w:t>The country office will conduct monitoring through various mechanisms, including third-party monitoring</w:t>
      </w:r>
      <w:r w:rsidR="00175454" w:rsidRPr="005E1CFA">
        <w:rPr>
          <w:lang w:val="en-GB"/>
        </w:rPr>
        <w:t xml:space="preserve"> in areas where UNDP has no access,</w:t>
      </w:r>
      <w:r w:rsidR="00F62913" w:rsidRPr="005E1CFA" w:rsidDel="001E4088">
        <w:rPr>
          <w:lang w:val="en-GB"/>
        </w:rPr>
        <w:t xml:space="preserve"> </w:t>
      </w:r>
      <w:r w:rsidR="00F62913" w:rsidRPr="005E1CFA">
        <w:rPr>
          <w:lang w:val="en-GB"/>
        </w:rPr>
        <w:t xml:space="preserve">in line with the </w:t>
      </w:r>
      <w:r w:rsidR="00A23D53" w:rsidRPr="005E1CFA">
        <w:rPr>
          <w:lang w:val="en-GB"/>
        </w:rPr>
        <w:t>monitoring and evaluation</w:t>
      </w:r>
      <w:r w:rsidR="00A23D53" w:rsidRPr="005E1CFA" w:rsidDel="00A23D53">
        <w:rPr>
          <w:lang w:val="en-GB"/>
        </w:rPr>
        <w:t xml:space="preserve"> </w:t>
      </w:r>
      <w:r w:rsidR="00A23D53" w:rsidRPr="005E1CFA">
        <w:rPr>
          <w:lang w:val="en-GB"/>
        </w:rPr>
        <w:t xml:space="preserve">provisions of the Interim Cooperation Framework, </w:t>
      </w:r>
      <w:r w:rsidR="00F62913" w:rsidRPr="005E1CFA">
        <w:rPr>
          <w:lang w:val="en-GB"/>
        </w:rPr>
        <w:t>to ensure alignment and synergies in reporting on results. To address gaps in baselines and targets for th</w:t>
      </w:r>
      <w:r w:rsidR="00A23D53" w:rsidRPr="005E1CFA">
        <w:rPr>
          <w:lang w:val="en-GB"/>
        </w:rPr>
        <w:t>e</w:t>
      </w:r>
      <w:r w:rsidR="00F62913" w:rsidRPr="005E1CFA">
        <w:rPr>
          <w:lang w:val="en-GB"/>
        </w:rPr>
        <w:t xml:space="preserve"> country programme, UNDP will conduct baseline studies, and set aside at least 5 per cent of programme budgets to support strengthening the monitoring and evaluation capacity of partners, collection of national data, and improved oversight and quality assurance. UNDP will strengthen stakeholder participation by organizing joint field visits and periodic programme reviews</w:t>
      </w:r>
      <w:r w:rsidR="00A23D53" w:rsidRPr="005E1CFA">
        <w:rPr>
          <w:lang w:val="en-GB"/>
        </w:rPr>
        <w:t>,</w:t>
      </w:r>
      <w:r w:rsidR="00F62913" w:rsidRPr="005E1CFA">
        <w:rPr>
          <w:lang w:val="en-GB"/>
        </w:rPr>
        <w:t xml:space="preserve"> and by convening regular steering committee meetings and thematic and technical groups on the impact of the </w:t>
      </w:r>
      <w:r>
        <w:rPr>
          <w:lang w:val="en-GB"/>
        </w:rPr>
        <w:t>interim f</w:t>
      </w:r>
      <w:r w:rsidR="00A23D53" w:rsidRPr="005E1CFA">
        <w:rPr>
          <w:lang w:val="en-GB"/>
        </w:rPr>
        <w:t>ramework</w:t>
      </w:r>
      <w:r w:rsidR="00F62913" w:rsidRPr="005E1CFA">
        <w:rPr>
          <w:lang w:val="en-GB"/>
        </w:rPr>
        <w:t xml:space="preserve">. </w:t>
      </w:r>
    </w:p>
    <w:p w14:paraId="371A8A37" w14:textId="7A301246" w:rsidR="00F62913" w:rsidRPr="005E1CFA" w:rsidRDefault="00416E0E" w:rsidP="00416E0E">
      <w:pPr>
        <w:pStyle w:val="ListParagraph"/>
        <w:tabs>
          <w:tab w:val="left" w:pos="360"/>
        </w:tabs>
        <w:spacing w:after="120"/>
        <w:ind w:left="360" w:right="1210"/>
        <w:jc w:val="both"/>
        <w:rPr>
          <w:lang w:val="en-GB"/>
        </w:rPr>
      </w:pPr>
      <w:r>
        <w:rPr>
          <w:lang w:val="en-GB"/>
        </w:rPr>
        <w:t>34.</w:t>
      </w:r>
      <w:r>
        <w:rPr>
          <w:lang w:val="en-GB"/>
        </w:rPr>
        <w:tab/>
      </w:r>
      <w:r w:rsidR="00F62913" w:rsidRPr="005E1CFA">
        <w:rPr>
          <w:lang w:val="en-GB"/>
        </w:rPr>
        <w:t xml:space="preserve">Key national data are limited or lacking in most areas, including on employment, poverty, </w:t>
      </w:r>
      <w:r>
        <w:rPr>
          <w:lang w:val="en-GB"/>
        </w:rPr>
        <w:t xml:space="preserve">the </w:t>
      </w:r>
      <w:r w:rsidR="00F62913" w:rsidRPr="005E1CFA">
        <w:rPr>
          <w:lang w:val="en-GB"/>
        </w:rPr>
        <w:t xml:space="preserve">environment, gender inequality, natural resources, climate change and governance, particularly at </w:t>
      </w:r>
      <w:r w:rsidR="00BD4F05" w:rsidRPr="005E1CFA">
        <w:rPr>
          <w:lang w:val="en-GB"/>
        </w:rPr>
        <w:t xml:space="preserve">the </w:t>
      </w:r>
      <w:r w:rsidR="00F62913" w:rsidRPr="005E1CFA">
        <w:rPr>
          <w:lang w:val="en-GB"/>
        </w:rPr>
        <w:t xml:space="preserve">subnational level. In collaboration with other </w:t>
      </w:r>
      <w:r w:rsidR="00BD4F05" w:rsidRPr="005E1CFA">
        <w:rPr>
          <w:lang w:val="en-GB"/>
        </w:rPr>
        <w:t>United Nations partners</w:t>
      </w:r>
      <w:r w:rsidR="00F62913" w:rsidRPr="005E1CFA">
        <w:rPr>
          <w:lang w:val="en-GB"/>
        </w:rPr>
        <w:t xml:space="preserve"> and the World Bank, UNDP will continue to support the National Bureau of Statistics </w:t>
      </w:r>
      <w:r w:rsidR="00BD4F05" w:rsidRPr="005E1CFA">
        <w:rPr>
          <w:lang w:val="en-GB"/>
        </w:rPr>
        <w:t>in</w:t>
      </w:r>
      <w:r w:rsidR="00F62913" w:rsidRPr="005E1CFA">
        <w:rPr>
          <w:lang w:val="en-GB"/>
        </w:rPr>
        <w:t xml:space="preserve"> develop</w:t>
      </w:r>
      <w:r w:rsidR="00BD4F05" w:rsidRPr="005E1CFA">
        <w:rPr>
          <w:lang w:val="en-GB"/>
        </w:rPr>
        <w:t>ing</w:t>
      </w:r>
      <w:r w:rsidR="00F62913" w:rsidRPr="005E1CFA">
        <w:rPr>
          <w:lang w:val="en-GB"/>
        </w:rPr>
        <w:t xml:space="preserve"> its capacity to produce relevant and timely statistics, conduct gender-sensitive analysis of statistics, inform evidence-based planning for the South Sudan </w:t>
      </w:r>
      <w:r w:rsidR="00BD4F05" w:rsidRPr="005E1CFA">
        <w:rPr>
          <w:lang w:val="en-GB"/>
        </w:rPr>
        <w:t>d</w:t>
      </w:r>
      <w:r w:rsidR="00F62913" w:rsidRPr="005E1CFA">
        <w:rPr>
          <w:lang w:val="en-GB"/>
        </w:rPr>
        <w:t xml:space="preserve">evelopment </w:t>
      </w:r>
      <w:r w:rsidR="00BD4F05" w:rsidRPr="005E1CFA">
        <w:rPr>
          <w:lang w:val="en-GB"/>
        </w:rPr>
        <w:t>s</w:t>
      </w:r>
      <w:r w:rsidR="00F62913" w:rsidRPr="005E1CFA">
        <w:rPr>
          <w:lang w:val="en-GB"/>
        </w:rPr>
        <w:t xml:space="preserve">trategy, and monitor the implementation of the </w:t>
      </w:r>
      <w:r w:rsidR="00830068" w:rsidRPr="005E1CFA">
        <w:rPr>
          <w:lang w:val="en-GB"/>
        </w:rPr>
        <w:t>sustainable development goals</w:t>
      </w:r>
      <w:r w:rsidR="00F62913" w:rsidRPr="005E1CFA">
        <w:rPr>
          <w:lang w:val="en-GB"/>
        </w:rPr>
        <w:t xml:space="preserve">. </w:t>
      </w:r>
    </w:p>
    <w:p w14:paraId="10352EA9" w14:textId="213A107A" w:rsidR="00F62913" w:rsidRPr="005E1CFA" w:rsidRDefault="00416E0E" w:rsidP="00416E0E">
      <w:pPr>
        <w:pStyle w:val="ListParagraph"/>
        <w:tabs>
          <w:tab w:val="left" w:pos="360"/>
        </w:tabs>
        <w:spacing w:after="120"/>
        <w:ind w:left="360" w:right="1210"/>
        <w:jc w:val="both"/>
        <w:rPr>
          <w:lang w:val="en-GB"/>
        </w:rPr>
      </w:pPr>
      <w:r>
        <w:rPr>
          <w:lang w:val="en-GB"/>
        </w:rPr>
        <w:t>35.</w:t>
      </w:r>
      <w:r>
        <w:rPr>
          <w:lang w:val="en-GB"/>
        </w:rPr>
        <w:tab/>
      </w:r>
      <w:r w:rsidR="00F62913" w:rsidRPr="005E1CFA">
        <w:rPr>
          <w:lang w:val="en-GB"/>
        </w:rPr>
        <w:t xml:space="preserve">UNDP will strengthen its internal capacity by hiring technical specialists in monitoring and evaluation and gender, and </w:t>
      </w:r>
      <w:r w:rsidR="006D2F0F" w:rsidRPr="005E1CFA">
        <w:rPr>
          <w:lang w:val="en-GB"/>
        </w:rPr>
        <w:t xml:space="preserve">by </w:t>
      </w:r>
      <w:r w:rsidR="00F62913" w:rsidRPr="005E1CFA">
        <w:rPr>
          <w:lang w:val="en-GB"/>
        </w:rPr>
        <w:t>retraining programme staff. The Atlas gender marker and gender equity evaluations will be used to monitor gender investment and res</w:t>
      </w:r>
      <w:r w:rsidR="00F62913" w:rsidRPr="005E1CFA">
        <w:rPr>
          <w:iCs/>
          <w:lang w:val="en-GB"/>
        </w:rPr>
        <w:t>u</w:t>
      </w:r>
      <w:r w:rsidR="00F62913" w:rsidRPr="005E1CFA">
        <w:rPr>
          <w:lang w:val="en-GB"/>
        </w:rPr>
        <w:t xml:space="preserve">lts. UNDP will strengthen its multi-year policy research agenda for producing the South Sudan </w:t>
      </w:r>
      <w:r w:rsidR="00BD4F05" w:rsidRPr="005E1CFA">
        <w:rPr>
          <w:lang w:val="en-GB"/>
        </w:rPr>
        <w:t>h</w:t>
      </w:r>
      <w:r w:rsidR="00F62913" w:rsidRPr="005E1CFA">
        <w:rPr>
          <w:lang w:val="en-GB"/>
        </w:rPr>
        <w:t xml:space="preserve">uman </w:t>
      </w:r>
      <w:r w:rsidR="00BD4F05" w:rsidRPr="005E1CFA">
        <w:rPr>
          <w:lang w:val="en-GB"/>
        </w:rPr>
        <w:t>d</w:t>
      </w:r>
      <w:r w:rsidR="00F62913" w:rsidRPr="005E1CFA">
        <w:rPr>
          <w:lang w:val="en-GB"/>
        </w:rPr>
        <w:t xml:space="preserve">evelopment </w:t>
      </w:r>
      <w:r w:rsidR="00BD4F05" w:rsidRPr="005E1CFA">
        <w:rPr>
          <w:lang w:val="en-GB"/>
        </w:rPr>
        <w:t>r</w:t>
      </w:r>
      <w:r w:rsidR="00F62913" w:rsidRPr="005E1CFA">
        <w:rPr>
          <w:lang w:val="en-GB"/>
        </w:rPr>
        <w:t xml:space="preserve">eport, </w:t>
      </w:r>
      <w:r w:rsidR="00830068" w:rsidRPr="005E1CFA">
        <w:rPr>
          <w:lang w:val="en-GB"/>
        </w:rPr>
        <w:t xml:space="preserve">sustainable development goals </w:t>
      </w:r>
      <w:r w:rsidR="00F62913" w:rsidRPr="005E1CFA">
        <w:rPr>
          <w:lang w:val="en-GB"/>
        </w:rPr>
        <w:t xml:space="preserve">progress reports, and policy briefs. UNDP will continue to collaborate with academic and research institutions and </w:t>
      </w:r>
      <w:r w:rsidR="006D2F0F" w:rsidRPr="005E1CFA">
        <w:rPr>
          <w:lang w:val="en-GB"/>
        </w:rPr>
        <w:t>the National Bureau of Statistics</w:t>
      </w:r>
      <w:r w:rsidR="00F62913" w:rsidRPr="005E1CFA">
        <w:rPr>
          <w:lang w:val="en-GB"/>
        </w:rPr>
        <w:t xml:space="preserve"> in advancing its research agenda.</w:t>
      </w:r>
    </w:p>
    <w:p w14:paraId="634BB23B" w14:textId="6AEB9CD4" w:rsidR="00F62913" w:rsidRPr="005E1CFA" w:rsidRDefault="00416E0E" w:rsidP="00416E0E">
      <w:pPr>
        <w:pStyle w:val="ListParagraph"/>
        <w:tabs>
          <w:tab w:val="left" w:pos="360"/>
        </w:tabs>
        <w:spacing w:after="120"/>
        <w:ind w:left="360" w:right="1210"/>
        <w:jc w:val="both"/>
        <w:rPr>
          <w:lang w:val="en-GB"/>
        </w:rPr>
      </w:pPr>
      <w:r>
        <w:rPr>
          <w:lang w:val="en-GB"/>
        </w:rPr>
        <w:t>36.</w:t>
      </w:r>
      <w:r>
        <w:rPr>
          <w:lang w:val="en-GB"/>
        </w:rPr>
        <w:tab/>
      </w:r>
      <w:r w:rsidR="00F62913" w:rsidRPr="005E1CFA">
        <w:rPr>
          <w:lang w:val="en-GB"/>
        </w:rPr>
        <w:t>The country office will contribute to quality assurance</w:t>
      </w:r>
      <w:r w:rsidR="00BD4F05" w:rsidRPr="005E1CFA">
        <w:rPr>
          <w:lang w:val="en-GB"/>
        </w:rPr>
        <w:t>.</w:t>
      </w:r>
      <w:r w:rsidR="00F62913" w:rsidRPr="005E1CFA">
        <w:rPr>
          <w:lang w:val="en-GB"/>
        </w:rPr>
        <w:t xml:space="preserve"> </w:t>
      </w:r>
      <w:r w:rsidR="00BD4F05" w:rsidRPr="005E1CFA">
        <w:rPr>
          <w:lang w:val="en-GB"/>
        </w:rPr>
        <w:t xml:space="preserve">It </w:t>
      </w:r>
      <w:r w:rsidR="00F62913" w:rsidRPr="005E1CFA">
        <w:rPr>
          <w:lang w:val="en-GB"/>
        </w:rPr>
        <w:t>will rely on the institutional system for planning, management, monitoring and reporting through the integrated work plan and the integrated results and resources framework of the UNDP strategic plan</w:t>
      </w:r>
      <w:r w:rsidR="00BD4F05" w:rsidRPr="005E1CFA">
        <w:rPr>
          <w:lang w:val="en-GB"/>
        </w:rPr>
        <w:t>.</w:t>
      </w:r>
      <w:r w:rsidR="00F62913" w:rsidRPr="005E1CFA">
        <w:rPr>
          <w:lang w:val="en-GB"/>
        </w:rPr>
        <w:t xml:space="preserve"> </w:t>
      </w:r>
      <w:r w:rsidR="00BD4F05" w:rsidRPr="005E1CFA">
        <w:rPr>
          <w:lang w:val="en-GB"/>
        </w:rPr>
        <w:t xml:space="preserve">This will forge </w:t>
      </w:r>
      <w:r w:rsidR="00F62913" w:rsidRPr="005E1CFA">
        <w:rPr>
          <w:lang w:val="en-GB"/>
        </w:rPr>
        <w:t>a stronger linkage between country, regional, and global results, while maintaining a local system to collect, analyse, and report on results. Audits, spot checks and evaluations will be conducted based on annual plans, and risk mitigation measures will be enforced and regularly monitored for informed decision-making.</w:t>
      </w:r>
    </w:p>
    <w:p w14:paraId="6A015B0C" w14:textId="77777777" w:rsidR="00F62913" w:rsidRPr="005E1CFA" w:rsidRDefault="00F62913" w:rsidP="009067F5">
      <w:pPr>
        <w:spacing w:after="120"/>
        <w:jc w:val="both"/>
        <w:rPr>
          <w:lang w:val="en-GB"/>
        </w:rPr>
      </w:pPr>
      <w:r w:rsidRPr="005E1CFA">
        <w:rPr>
          <w:lang w:val="en-GB"/>
        </w:rPr>
        <w:br w:type="page"/>
      </w:r>
    </w:p>
    <w:p w14:paraId="510EBE7D" w14:textId="77777777" w:rsidR="00F62913" w:rsidRPr="005E1CFA" w:rsidRDefault="00F62913" w:rsidP="00F62913">
      <w:pPr>
        <w:spacing w:after="120"/>
        <w:jc w:val="both"/>
        <w:rPr>
          <w:lang w:val="en-GB"/>
        </w:rPr>
        <w:sectPr w:rsidR="00F62913" w:rsidRPr="005E1CFA" w:rsidSect="00D64B78">
          <w:footerReference w:type="even" r:id="rId14"/>
          <w:footerReference w:type="default" r:id="rId15"/>
          <w:headerReference w:type="first" r:id="rId16"/>
          <w:footerReference w:type="first" r:id="rId17"/>
          <w:pgSz w:w="12240" w:h="15840"/>
          <w:pgMar w:top="1152" w:right="1440" w:bottom="1152" w:left="1440" w:header="720" w:footer="720" w:gutter="0"/>
          <w:cols w:space="720"/>
          <w:titlePg/>
          <w:docGrid w:linePitch="272"/>
        </w:sectPr>
      </w:pPr>
    </w:p>
    <w:p w14:paraId="0226FF7E" w14:textId="4FF51123" w:rsidR="00944DE8" w:rsidRPr="005E1CFA" w:rsidRDefault="00944DE8" w:rsidP="00944DE8">
      <w:pPr>
        <w:tabs>
          <w:tab w:val="left" w:pos="1620"/>
        </w:tabs>
        <w:spacing w:after="160" w:line="259" w:lineRule="auto"/>
        <w:rPr>
          <w:rFonts w:eastAsiaTheme="minorHAnsi"/>
          <w:b/>
          <w:sz w:val="16"/>
          <w:szCs w:val="16"/>
          <w:lang w:val="en-GB"/>
        </w:rPr>
      </w:pPr>
      <w:r w:rsidRPr="005E1CFA">
        <w:rPr>
          <w:b/>
          <w:bCs/>
          <w:color w:val="000000"/>
          <w:sz w:val="24"/>
          <w:szCs w:val="24"/>
          <w:lang w:val="en-GB"/>
        </w:rPr>
        <w:lastRenderedPageBreak/>
        <w:t xml:space="preserve">Annex. </w:t>
      </w:r>
      <w:r w:rsidRPr="005E1CFA">
        <w:rPr>
          <w:b/>
          <w:spacing w:val="4"/>
          <w:w w:val="103"/>
          <w:kern w:val="14"/>
          <w:sz w:val="24"/>
          <w:szCs w:val="24"/>
          <w:lang w:val="en-GB"/>
        </w:rPr>
        <w:t>Results and resources framework for the Republic of South Sudan (July 2016- December 2017)</w:t>
      </w:r>
    </w:p>
    <w:tbl>
      <w:tblPr>
        <w:tblStyle w:val="TableGrid"/>
        <w:tblW w:w="5238" w:type="pct"/>
        <w:tblLayout w:type="fixed"/>
        <w:tblLook w:val="00A0" w:firstRow="1" w:lastRow="0" w:firstColumn="1" w:lastColumn="0" w:noHBand="0" w:noVBand="0"/>
      </w:tblPr>
      <w:tblGrid>
        <w:gridCol w:w="2478"/>
        <w:gridCol w:w="2265"/>
        <w:gridCol w:w="6026"/>
        <w:gridCol w:w="1946"/>
        <w:gridCol w:w="1897"/>
      </w:tblGrid>
      <w:tr w:rsidR="00DB380F" w:rsidRPr="005E1CFA" w14:paraId="76061416" w14:textId="77777777" w:rsidTr="005003E4">
        <w:trPr>
          <w:trHeight w:val="25"/>
        </w:trPr>
        <w:tc>
          <w:tcPr>
            <w:tcW w:w="5000" w:type="pct"/>
            <w:gridSpan w:val="5"/>
          </w:tcPr>
          <w:p w14:paraId="3F0676BD" w14:textId="04869F60" w:rsidR="00DB380F" w:rsidRPr="005E1CFA" w:rsidRDefault="00AD6F96" w:rsidP="002249DD">
            <w:pPr>
              <w:rPr>
                <w:sz w:val="18"/>
                <w:szCs w:val="18"/>
                <w:lang w:val="en-GB"/>
              </w:rPr>
            </w:pPr>
            <w:r w:rsidRPr="005E1CFA">
              <w:rPr>
                <w:b/>
                <w:bCs/>
                <w:sz w:val="18"/>
                <w:szCs w:val="18"/>
                <w:lang w:val="en-GB"/>
              </w:rPr>
              <w:t>National priority or goal.</w:t>
            </w:r>
            <w:r w:rsidR="00B3027B" w:rsidRPr="005E1CFA">
              <w:rPr>
                <w:b/>
                <w:bCs/>
                <w:sz w:val="18"/>
                <w:szCs w:val="18"/>
                <w:lang w:val="en-GB"/>
              </w:rPr>
              <w:t xml:space="preserve"> </w:t>
            </w:r>
            <w:r w:rsidRPr="005E1CFA">
              <w:rPr>
                <w:bCs/>
                <w:i/>
                <w:sz w:val="18"/>
                <w:szCs w:val="18"/>
                <w:lang w:val="en-GB"/>
              </w:rPr>
              <w:t>Note:</w:t>
            </w:r>
            <w:r w:rsidRPr="005E1CFA">
              <w:rPr>
                <w:bCs/>
                <w:sz w:val="18"/>
                <w:szCs w:val="18"/>
                <w:lang w:val="en-GB"/>
              </w:rPr>
              <w:t xml:space="preserve"> </w:t>
            </w:r>
            <w:r w:rsidR="00DB380F" w:rsidRPr="005E1CFA">
              <w:rPr>
                <w:bCs/>
                <w:sz w:val="18"/>
                <w:szCs w:val="18"/>
                <w:lang w:val="en-GB"/>
              </w:rPr>
              <w:t>The</w:t>
            </w:r>
            <w:r w:rsidR="00B3027B" w:rsidRPr="005E1CFA">
              <w:rPr>
                <w:bCs/>
                <w:sz w:val="18"/>
                <w:szCs w:val="18"/>
                <w:lang w:val="en-GB"/>
              </w:rPr>
              <w:t>re</w:t>
            </w:r>
            <w:r w:rsidR="00DB380F" w:rsidRPr="005E1CFA">
              <w:rPr>
                <w:bCs/>
                <w:sz w:val="18"/>
                <w:szCs w:val="18"/>
                <w:lang w:val="en-GB"/>
              </w:rPr>
              <w:t xml:space="preserve"> is no national development plan beyond June 2016</w:t>
            </w:r>
          </w:p>
        </w:tc>
      </w:tr>
      <w:tr w:rsidR="00DB380F" w:rsidRPr="005E1CFA" w14:paraId="6F083D87" w14:textId="77777777" w:rsidTr="005003E4">
        <w:trPr>
          <w:trHeight w:val="124"/>
        </w:trPr>
        <w:tc>
          <w:tcPr>
            <w:tcW w:w="5000" w:type="pct"/>
            <w:gridSpan w:val="5"/>
            <w:shd w:val="clear" w:color="auto" w:fill="auto"/>
          </w:tcPr>
          <w:p w14:paraId="623D919E" w14:textId="0879A3D5" w:rsidR="00DB380F" w:rsidRPr="005E1CFA" w:rsidRDefault="00AD6F96" w:rsidP="002249DD">
            <w:pPr>
              <w:rPr>
                <w:sz w:val="18"/>
                <w:szCs w:val="18"/>
                <w:lang w:val="en-GB"/>
              </w:rPr>
            </w:pPr>
            <w:r w:rsidRPr="005E1CFA">
              <w:rPr>
                <w:rFonts w:eastAsia="Batang"/>
                <w:b/>
                <w:lang w:val="en-GB"/>
              </w:rPr>
              <w:t>Interim Cooperation Framework</w:t>
            </w:r>
            <w:r w:rsidRPr="005E1CFA">
              <w:rPr>
                <w:b/>
                <w:bCs/>
                <w:sz w:val="18"/>
                <w:szCs w:val="18"/>
                <w:lang w:val="en-GB"/>
              </w:rPr>
              <w:t xml:space="preserve"> (</w:t>
            </w:r>
            <w:r w:rsidR="00DB380F" w:rsidRPr="005E1CFA">
              <w:rPr>
                <w:b/>
                <w:bCs/>
                <w:sz w:val="18"/>
                <w:szCs w:val="18"/>
                <w:lang w:val="en-GB"/>
              </w:rPr>
              <w:t>ICF</w:t>
            </w:r>
            <w:r w:rsidRPr="005E1CFA">
              <w:rPr>
                <w:b/>
                <w:bCs/>
                <w:sz w:val="18"/>
                <w:szCs w:val="18"/>
                <w:lang w:val="en-GB"/>
              </w:rPr>
              <w:t>)</w:t>
            </w:r>
            <w:r w:rsidR="00DB380F" w:rsidRPr="005E1CFA">
              <w:rPr>
                <w:b/>
                <w:bCs/>
                <w:sz w:val="18"/>
                <w:szCs w:val="18"/>
                <w:lang w:val="en-GB"/>
              </w:rPr>
              <w:t xml:space="preserve"> </w:t>
            </w:r>
            <w:r w:rsidRPr="005E1CFA">
              <w:rPr>
                <w:b/>
                <w:bCs/>
                <w:sz w:val="18"/>
                <w:szCs w:val="18"/>
                <w:lang w:val="en-GB"/>
              </w:rPr>
              <w:t xml:space="preserve">outcome involving </w:t>
            </w:r>
            <w:r w:rsidR="00DB380F" w:rsidRPr="005E1CFA">
              <w:rPr>
                <w:b/>
                <w:bCs/>
                <w:sz w:val="18"/>
                <w:szCs w:val="18"/>
                <w:lang w:val="en-GB"/>
              </w:rPr>
              <w:t xml:space="preserve">UNDP </w:t>
            </w:r>
            <w:r w:rsidR="00E456EF" w:rsidRPr="005E1CFA">
              <w:rPr>
                <w:b/>
                <w:bCs/>
                <w:sz w:val="18"/>
                <w:szCs w:val="18"/>
                <w:lang w:val="en-GB"/>
              </w:rPr>
              <w:t xml:space="preserve">No. </w:t>
            </w:r>
            <w:r w:rsidR="00DB380F" w:rsidRPr="005E1CFA">
              <w:rPr>
                <w:b/>
                <w:bCs/>
                <w:sz w:val="18"/>
                <w:szCs w:val="18"/>
                <w:lang w:val="en-GB"/>
              </w:rPr>
              <w:t>1</w:t>
            </w:r>
            <w:r w:rsidRPr="005E1CFA">
              <w:rPr>
                <w:b/>
                <w:bCs/>
                <w:sz w:val="18"/>
                <w:szCs w:val="18"/>
                <w:lang w:val="en-GB"/>
              </w:rPr>
              <w:t>.</w:t>
            </w:r>
            <w:r w:rsidR="00DB380F" w:rsidRPr="005E1CFA">
              <w:rPr>
                <w:sz w:val="18"/>
                <w:szCs w:val="18"/>
                <w:lang w:val="en-GB"/>
              </w:rPr>
              <w:t xml:space="preserve"> </w:t>
            </w:r>
            <w:r w:rsidR="00DB380F" w:rsidRPr="005E1CFA">
              <w:rPr>
                <w:b/>
                <w:sz w:val="18"/>
                <w:szCs w:val="18"/>
                <w:lang w:val="en-GB"/>
              </w:rPr>
              <w:t>More resilient communities</w:t>
            </w:r>
          </w:p>
        </w:tc>
      </w:tr>
      <w:tr w:rsidR="00DB380F" w:rsidRPr="005E1CFA" w14:paraId="2674E45D" w14:textId="77777777" w:rsidTr="005003E4">
        <w:trPr>
          <w:trHeight w:val="183"/>
        </w:trPr>
        <w:tc>
          <w:tcPr>
            <w:tcW w:w="5000" w:type="pct"/>
            <w:gridSpan w:val="5"/>
            <w:shd w:val="clear" w:color="auto" w:fill="auto"/>
          </w:tcPr>
          <w:p w14:paraId="2A2D49CC" w14:textId="3D8ED3FB" w:rsidR="00DB380F" w:rsidRPr="005E1CFA" w:rsidRDefault="00AD6F96" w:rsidP="002249DD">
            <w:pPr>
              <w:autoSpaceDE w:val="0"/>
              <w:autoSpaceDN w:val="0"/>
              <w:adjustRightInd w:val="0"/>
              <w:rPr>
                <w:b/>
                <w:bCs/>
                <w:sz w:val="18"/>
                <w:szCs w:val="18"/>
                <w:lang w:val="en-GB"/>
              </w:rPr>
            </w:pPr>
            <w:r w:rsidRPr="005E1CFA">
              <w:rPr>
                <w:b/>
                <w:bCs/>
                <w:sz w:val="18"/>
                <w:szCs w:val="18"/>
                <w:lang w:val="en-GB"/>
              </w:rPr>
              <w:t>Related strategic plan outcome 5.</w:t>
            </w:r>
            <w:r w:rsidR="00DB380F" w:rsidRPr="005E1CFA">
              <w:rPr>
                <w:rFonts w:eastAsiaTheme="minorHAnsi"/>
                <w:sz w:val="18"/>
                <w:szCs w:val="18"/>
                <w:lang w:val="en-GB"/>
              </w:rPr>
              <w:t xml:space="preserve"> </w:t>
            </w:r>
            <w:r w:rsidR="00DB380F" w:rsidRPr="005E1CFA">
              <w:rPr>
                <w:rFonts w:eastAsiaTheme="minorHAnsi"/>
                <w:b/>
                <w:sz w:val="18"/>
                <w:szCs w:val="18"/>
                <w:lang w:val="en-GB"/>
              </w:rPr>
              <w:t>Countries are able to reduce the likelihood of conflict, and lower the risk of natural disasters, including from climate change</w:t>
            </w:r>
          </w:p>
        </w:tc>
      </w:tr>
      <w:tr w:rsidR="000E60D6" w:rsidRPr="005E1CFA" w14:paraId="45CDCA1F" w14:textId="77777777" w:rsidTr="005003E4">
        <w:trPr>
          <w:trHeight w:val="322"/>
        </w:trPr>
        <w:tc>
          <w:tcPr>
            <w:tcW w:w="848" w:type="pct"/>
          </w:tcPr>
          <w:p w14:paraId="6D6981AC" w14:textId="2B672777" w:rsidR="00DB380F" w:rsidRPr="005E1CFA" w:rsidRDefault="00DB380F" w:rsidP="002249DD">
            <w:pPr>
              <w:jc w:val="center"/>
              <w:rPr>
                <w:sz w:val="18"/>
                <w:szCs w:val="18"/>
                <w:lang w:val="en-GB"/>
              </w:rPr>
            </w:pPr>
            <w:r w:rsidRPr="005E1CFA">
              <w:rPr>
                <w:b/>
                <w:bCs/>
                <w:sz w:val="18"/>
                <w:szCs w:val="18"/>
                <w:lang w:val="en-GB"/>
              </w:rPr>
              <w:t xml:space="preserve">ICF </w:t>
            </w:r>
            <w:r w:rsidR="006E6525" w:rsidRPr="005E1CFA">
              <w:rPr>
                <w:b/>
                <w:bCs/>
                <w:sz w:val="18"/>
                <w:szCs w:val="18"/>
                <w:lang w:val="en-GB"/>
              </w:rPr>
              <w:t>outcome indicators</w:t>
            </w:r>
            <w:r w:rsidR="00AD6F96" w:rsidRPr="005E1CFA">
              <w:rPr>
                <w:b/>
                <w:bCs/>
                <w:sz w:val="18"/>
                <w:szCs w:val="18"/>
                <w:lang w:val="en-GB"/>
              </w:rPr>
              <w:t xml:space="preserve">, baselines and </w:t>
            </w:r>
            <w:r w:rsidR="006E6525" w:rsidRPr="005E1CFA">
              <w:rPr>
                <w:b/>
                <w:bCs/>
                <w:sz w:val="18"/>
                <w:szCs w:val="18"/>
                <w:lang w:val="en-GB"/>
              </w:rPr>
              <w:t>targets</w:t>
            </w:r>
          </w:p>
        </w:tc>
        <w:tc>
          <w:tcPr>
            <w:tcW w:w="775" w:type="pct"/>
          </w:tcPr>
          <w:p w14:paraId="03A0A50A" w14:textId="4C68C582" w:rsidR="00DB380F" w:rsidRPr="005E1CFA" w:rsidRDefault="00AD6F96" w:rsidP="002249DD">
            <w:pPr>
              <w:jc w:val="center"/>
              <w:rPr>
                <w:b/>
                <w:sz w:val="18"/>
                <w:szCs w:val="18"/>
                <w:lang w:val="en-GB"/>
              </w:rPr>
            </w:pPr>
            <w:r w:rsidRPr="005E1CFA">
              <w:rPr>
                <w:b/>
                <w:sz w:val="18"/>
                <w:szCs w:val="18"/>
                <w:lang w:val="en-GB"/>
              </w:rPr>
              <w:t>Data source and frequency of data collection, and responsibilities</w:t>
            </w:r>
          </w:p>
        </w:tc>
        <w:tc>
          <w:tcPr>
            <w:tcW w:w="2062" w:type="pct"/>
          </w:tcPr>
          <w:p w14:paraId="47CAEFAC" w14:textId="77777777" w:rsidR="00826C23" w:rsidRPr="005E1CFA" w:rsidRDefault="00AD6F96" w:rsidP="002249DD">
            <w:pPr>
              <w:jc w:val="center"/>
              <w:rPr>
                <w:b/>
                <w:bCs/>
                <w:sz w:val="18"/>
                <w:szCs w:val="18"/>
                <w:lang w:val="en-GB"/>
              </w:rPr>
            </w:pPr>
            <w:r w:rsidRPr="005E1CFA">
              <w:rPr>
                <w:b/>
                <w:bCs/>
                <w:sz w:val="18"/>
                <w:szCs w:val="18"/>
                <w:lang w:val="en-GB"/>
              </w:rPr>
              <w:t xml:space="preserve">Indicative country programme outputs </w:t>
            </w:r>
          </w:p>
          <w:p w14:paraId="44E8265B" w14:textId="4F5966BC" w:rsidR="00DB380F" w:rsidRPr="005E1CFA" w:rsidRDefault="00DB380F" w:rsidP="002249DD">
            <w:pPr>
              <w:jc w:val="center"/>
              <w:rPr>
                <w:sz w:val="18"/>
                <w:szCs w:val="18"/>
                <w:lang w:val="en-GB"/>
              </w:rPr>
            </w:pPr>
            <w:r w:rsidRPr="005E1CFA">
              <w:rPr>
                <w:b/>
                <w:bCs/>
                <w:sz w:val="18"/>
                <w:szCs w:val="18"/>
                <w:lang w:val="en-GB"/>
              </w:rPr>
              <w:t xml:space="preserve">(including indicators, baselines </w:t>
            </w:r>
            <w:r w:rsidR="00AD6F96" w:rsidRPr="005E1CFA">
              <w:rPr>
                <w:b/>
                <w:bCs/>
                <w:sz w:val="18"/>
                <w:szCs w:val="18"/>
                <w:lang w:val="en-GB"/>
              </w:rPr>
              <w:t xml:space="preserve">and </w:t>
            </w:r>
            <w:r w:rsidRPr="005E1CFA">
              <w:rPr>
                <w:b/>
                <w:bCs/>
                <w:sz w:val="18"/>
                <w:szCs w:val="18"/>
                <w:lang w:val="en-GB"/>
              </w:rPr>
              <w:t>targets)</w:t>
            </w:r>
          </w:p>
        </w:tc>
        <w:tc>
          <w:tcPr>
            <w:tcW w:w="666" w:type="pct"/>
          </w:tcPr>
          <w:p w14:paraId="191453F7" w14:textId="293132DE" w:rsidR="00DB380F" w:rsidRPr="005E1CFA" w:rsidRDefault="006E6525" w:rsidP="002249DD">
            <w:pPr>
              <w:jc w:val="center"/>
              <w:rPr>
                <w:b/>
                <w:bCs/>
                <w:sz w:val="18"/>
                <w:szCs w:val="18"/>
                <w:lang w:val="en-GB"/>
              </w:rPr>
            </w:pPr>
            <w:r w:rsidRPr="005E1CFA">
              <w:rPr>
                <w:b/>
                <w:bCs/>
                <w:sz w:val="18"/>
                <w:szCs w:val="18"/>
                <w:lang w:val="en-GB"/>
              </w:rPr>
              <w:t xml:space="preserve">Major partners, </w:t>
            </w:r>
            <w:r w:rsidR="00826C23" w:rsidRPr="005E1CFA">
              <w:rPr>
                <w:b/>
                <w:bCs/>
                <w:sz w:val="18"/>
                <w:szCs w:val="18"/>
                <w:lang w:val="en-GB"/>
              </w:rPr>
              <w:t>partnerships and</w:t>
            </w:r>
          </w:p>
          <w:p w14:paraId="3BE5FB94" w14:textId="2F61CD8F" w:rsidR="00DB380F" w:rsidRPr="005E1CFA" w:rsidRDefault="00826C23" w:rsidP="002249DD">
            <w:pPr>
              <w:jc w:val="center"/>
              <w:rPr>
                <w:b/>
                <w:bCs/>
                <w:sz w:val="18"/>
                <w:szCs w:val="18"/>
                <w:lang w:val="en-GB"/>
              </w:rPr>
            </w:pPr>
            <w:r w:rsidRPr="005E1CFA">
              <w:rPr>
                <w:b/>
                <w:bCs/>
                <w:sz w:val="18"/>
                <w:szCs w:val="18"/>
                <w:lang w:val="en-GB"/>
              </w:rPr>
              <w:t>frameworks</w:t>
            </w:r>
          </w:p>
        </w:tc>
        <w:tc>
          <w:tcPr>
            <w:tcW w:w="649" w:type="pct"/>
          </w:tcPr>
          <w:p w14:paraId="65CDB94E" w14:textId="77777777" w:rsidR="00826C23" w:rsidRPr="005E1CFA" w:rsidRDefault="00826C23" w:rsidP="002249DD">
            <w:pPr>
              <w:jc w:val="center"/>
              <w:rPr>
                <w:b/>
                <w:bCs/>
                <w:sz w:val="18"/>
                <w:szCs w:val="18"/>
                <w:lang w:val="en-GB"/>
              </w:rPr>
            </w:pPr>
            <w:r w:rsidRPr="005E1CFA">
              <w:rPr>
                <w:b/>
                <w:bCs/>
                <w:sz w:val="18"/>
                <w:szCs w:val="18"/>
                <w:lang w:val="en-GB"/>
              </w:rPr>
              <w:t xml:space="preserve">Indicative resources by outcome </w:t>
            </w:r>
          </w:p>
          <w:p w14:paraId="00F1363C" w14:textId="5617ABCF" w:rsidR="00DB380F" w:rsidRPr="005E1CFA" w:rsidRDefault="00826C23" w:rsidP="002249DD">
            <w:pPr>
              <w:jc w:val="center"/>
              <w:rPr>
                <w:b/>
                <w:bCs/>
                <w:sz w:val="18"/>
                <w:szCs w:val="18"/>
                <w:lang w:val="en-GB"/>
              </w:rPr>
            </w:pPr>
            <w:r w:rsidRPr="005E1CFA">
              <w:rPr>
                <w:b/>
                <w:bCs/>
                <w:sz w:val="18"/>
                <w:szCs w:val="18"/>
                <w:lang w:val="en-GB"/>
              </w:rPr>
              <w:t>(in $ thousands)</w:t>
            </w:r>
          </w:p>
          <w:p w14:paraId="40BA4AA1" w14:textId="77777777" w:rsidR="00DB380F" w:rsidRPr="005E1CFA" w:rsidRDefault="00DB380F" w:rsidP="002249DD">
            <w:pPr>
              <w:jc w:val="center"/>
              <w:rPr>
                <w:sz w:val="18"/>
                <w:szCs w:val="18"/>
                <w:lang w:val="en-GB"/>
              </w:rPr>
            </w:pPr>
          </w:p>
        </w:tc>
      </w:tr>
      <w:tr w:rsidR="000E60D6" w:rsidRPr="005E1CFA" w14:paraId="377E900C" w14:textId="77777777" w:rsidTr="005003E4">
        <w:trPr>
          <w:trHeight w:val="4603"/>
        </w:trPr>
        <w:tc>
          <w:tcPr>
            <w:tcW w:w="848" w:type="pct"/>
          </w:tcPr>
          <w:p w14:paraId="02CFDF15" w14:textId="6526FB44" w:rsidR="00DB380F" w:rsidRPr="005E1CFA" w:rsidRDefault="00DB380F" w:rsidP="002249DD">
            <w:pPr>
              <w:rPr>
                <w:b/>
                <w:iCs/>
                <w:sz w:val="18"/>
                <w:szCs w:val="18"/>
                <w:lang w:val="en-GB"/>
              </w:rPr>
            </w:pPr>
            <w:r w:rsidRPr="005E1CFA">
              <w:rPr>
                <w:b/>
                <w:iCs/>
                <w:sz w:val="18"/>
                <w:szCs w:val="18"/>
                <w:lang w:val="en-GB"/>
              </w:rPr>
              <w:t xml:space="preserve">Indicator 1 </w:t>
            </w:r>
          </w:p>
          <w:p w14:paraId="7BADD79B" w14:textId="66042240" w:rsidR="00DB380F" w:rsidRPr="005E1CFA" w:rsidRDefault="00DB380F" w:rsidP="002249DD">
            <w:pPr>
              <w:rPr>
                <w:iCs/>
                <w:sz w:val="18"/>
                <w:szCs w:val="18"/>
                <w:lang w:val="en-GB"/>
              </w:rPr>
            </w:pPr>
            <w:r w:rsidRPr="005E1CFA">
              <w:rPr>
                <w:bCs/>
                <w:sz w:val="18"/>
                <w:szCs w:val="18"/>
                <w:lang w:val="en-GB"/>
              </w:rPr>
              <w:t>Cov</w:t>
            </w:r>
            <w:r w:rsidR="002E0BF9" w:rsidRPr="005E1CFA">
              <w:rPr>
                <w:bCs/>
                <w:sz w:val="18"/>
                <w:szCs w:val="18"/>
                <w:lang w:val="en-GB"/>
              </w:rPr>
              <w:t xml:space="preserve">erage of HIV and AIDS services </w:t>
            </w:r>
            <w:r w:rsidRPr="005E1CFA">
              <w:rPr>
                <w:sz w:val="18"/>
                <w:szCs w:val="18"/>
                <w:lang w:val="en-GB"/>
              </w:rPr>
              <w:t>disaggregat</w:t>
            </w:r>
            <w:r w:rsidR="00416E0E">
              <w:rPr>
                <w:sz w:val="18"/>
                <w:szCs w:val="18"/>
                <w:lang w:val="en-GB"/>
              </w:rPr>
              <w:t>ed by sex, age (children/adult)</w:t>
            </w:r>
          </w:p>
          <w:p w14:paraId="5735513E" w14:textId="77777777" w:rsidR="00DB380F" w:rsidRPr="005E1CFA" w:rsidRDefault="00DB380F" w:rsidP="002249DD">
            <w:pPr>
              <w:rPr>
                <w:b/>
                <w:iCs/>
                <w:sz w:val="18"/>
                <w:szCs w:val="18"/>
                <w:lang w:val="en-GB"/>
              </w:rPr>
            </w:pPr>
          </w:p>
          <w:p w14:paraId="0707790F" w14:textId="23823C17" w:rsidR="00AD6F96" w:rsidRPr="005E1CFA" w:rsidRDefault="005D4E59" w:rsidP="00D05E24">
            <w:pPr>
              <w:rPr>
                <w:i/>
                <w:sz w:val="18"/>
                <w:szCs w:val="18"/>
                <w:lang w:val="en-GB"/>
              </w:rPr>
            </w:pPr>
            <w:r w:rsidRPr="005E1CFA">
              <w:rPr>
                <w:i/>
                <w:iCs/>
                <w:sz w:val="18"/>
                <w:szCs w:val="18"/>
                <w:lang w:val="en-GB"/>
              </w:rPr>
              <w:t>Baselines</w:t>
            </w:r>
            <w:r w:rsidRPr="005E1CFA">
              <w:rPr>
                <w:i/>
                <w:sz w:val="18"/>
                <w:szCs w:val="18"/>
                <w:lang w:val="en-GB"/>
              </w:rPr>
              <w:t xml:space="preserve"> </w:t>
            </w:r>
          </w:p>
          <w:p w14:paraId="39F9DEB8" w14:textId="269E6A4C" w:rsidR="00AD6F96" w:rsidRPr="005E1CFA" w:rsidRDefault="00804CD3" w:rsidP="00D05E24">
            <w:pPr>
              <w:rPr>
                <w:sz w:val="18"/>
                <w:szCs w:val="18"/>
                <w:lang w:val="en-GB"/>
              </w:rPr>
            </w:pPr>
            <w:r w:rsidRPr="005E1CFA">
              <w:rPr>
                <w:sz w:val="18"/>
                <w:szCs w:val="18"/>
                <w:lang w:val="en-GB"/>
              </w:rPr>
              <w:t xml:space="preserve">Adult male: 7.8% </w:t>
            </w:r>
            <w:r w:rsidR="00AD6F96" w:rsidRPr="005E1CFA">
              <w:rPr>
                <w:sz w:val="18"/>
                <w:szCs w:val="18"/>
                <w:lang w:val="en-GB"/>
              </w:rPr>
              <w:t>A</w:t>
            </w:r>
            <w:r w:rsidRPr="005E1CFA">
              <w:rPr>
                <w:sz w:val="18"/>
                <w:szCs w:val="18"/>
                <w:lang w:val="en-GB"/>
              </w:rPr>
              <w:t>dult female: 5.8%</w:t>
            </w:r>
          </w:p>
          <w:p w14:paraId="6B378668" w14:textId="6308D0B9" w:rsidR="00AD6F96" w:rsidRPr="005E1CFA" w:rsidRDefault="00AD6F96" w:rsidP="00D05E24">
            <w:pPr>
              <w:rPr>
                <w:sz w:val="18"/>
                <w:szCs w:val="18"/>
                <w:lang w:val="en-GB"/>
              </w:rPr>
            </w:pPr>
            <w:r w:rsidRPr="005E1CFA">
              <w:rPr>
                <w:sz w:val="18"/>
                <w:szCs w:val="18"/>
                <w:lang w:val="en-GB"/>
              </w:rPr>
              <w:t>C</w:t>
            </w:r>
            <w:r w:rsidR="00804CD3" w:rsidRPr="005E1CFA">
              <w:rPr>
                <w:sz w:val="18"/>
                <w:szCs w:val="18"/>
                <w:lang w:val="en-GB"/>
              </w:rPr>
              <w:t>hildren</w:t>
            </w:r>
            <w:r w:rsidRPr="005E1CFA">
              <w:rPr>
                <w:sz w:val="18"/>
                <w:szCs w:val="18"/>
                <w:lang w:val="en-GB"/>
              </w:rPr>
              <w:t>,</w:t>
            </w:r>
            <w:r w:rsidR="00804CD3" w:rsidRPr="005E1CFA">
              <w:rPr>
                <w:sz w:val="18"/>
                <w:szCs w:val="18"/>
                <w:lang w:val="en-GB"/>
              </w:rPr>
              <w:t xml:space="preserve"> male: 4.2% </w:t>
            </w:r>
          </w:p>
          <w:p w14:paraId="124D6A03" w14:textId="73F5C231" w:rsidR="00804CD3" w:rsidRPr="005E1CFA" w:rsidRDefault="00AD6F96" w:rsidP="00D05E24">
            <w:pPr>
              <w:rPr>
                <w:color w:val="1F497D"/>
                <w:sz w:val="18"/>
                <w:szCs w:val="18"/>
                <w:lang w:val="en-GB"/>
              </w:rPr>
            </w:pPr>
            <w:r w:rsidRPr="005E1CFA">
              <w:rPr>
                <w:sz w:val="18"/>
                <w:szCs w:val="18"/>
                <w:lang w:val="en-GB"/>
              </w:rPr>
              <w:t>C</w:t>
            </w:r>
            <w:r w:rsidR="00804CD3" w:rsidRPr="005E1CFA">
              <w:rPr>
                <w:sz w:val="18"/>
                <w:szCs w:val="18"/>
                <w:lang w:val="en-GB"/>
              </w:rPr>
              <w:t>hildren</w:t>
            </w:r>
            <w:r w:rsidRPr="005E1CFA">
              <w:rPr>
                <w:sz w:val="18"/>
                <w:szCs w:val="18"/>
                <w:lang w:val="en-GB"/>
              </w:rPr>
              <w:t>,</w:t>
            </w:r>
            <w:r w:rsidR="00804CD3" w:rsidRPr="005E1CFA">
              <w:rPr>
                <w:sz w:val="18"/>
                <w:szCs w:val="18"/>
                <w:lang w:val="en-GB"/>
              </w:rPr>
              <w:t xml:space="preserve"> female: 3.8%</w:t>
            </w:r>
          </w:p>
          <w:p w14:paraId="337A92B6" w14:textId="4CCDE816" w:rsidR="00DB380F" w:rsidRPr="005E1CFA" w:rsidRDefault="00DB380F" w:rsidP="002249DD">
            <w:pPr>
              <w:rPr>
                <w:iCs/>
                <w:sz w:val="18"/>
                <w:szCs w:val="18"/>
                <w:lang w:val="en-GB"/>
              </w:rPr>
            </w:pPr>
          </w:p>
          <w:p w14:paraId="7A13315E" w14:textId="77777777" w:rsidR="00AD6F96" w:rsidRPr="005E1CFA" w:rsidRDefault="005D4E59" w:rsidP="002249DD">
            <w:pPr>
              <w:rPr>
                <w:i/>
                <w:iCs/>
                <w:sz w:val="18"/>
                <w:szCs w:val="18"/>
                <w:lang w:val="en-GB"/>
              </w:rPr>
            </w:pPr>
            <w:r w:rsidRPr="005E1CFA">
              <w:rPr>
                <w:i/>
                <w:iCs/>
                <w:sz w:val="18"/>
                <w:szCs w:val="18"/>
                <w:lang w:val="en-GB"/>
              </w:rPr>
              <w:t>Target</w:t>
            </w:r>
          </w:p>
          <w:p w14:paraId="1ECB0211" w14:textId="2E4EDD87" w:rsidR="00AD6F96" w:rsidRPr="005E1CFA" w:rsidRDefault="00DB380F" w:rsidP="002249DD">
            <w:pPr>
              <w:rPr>
                <w:iCs/>
                <w:sz w:val="18"/>
                <w:szCs w:val="18"/>
                <w:lang w:val="en-GB"/>
              </w:rPr>
            </w:pPr>
            <w:r w:rsidRPr="005E1CFA">
              <w:rPr>
                <w:iCs/>
                <w:sz w:val="18"/>
                <w:szCs w:val="18"/>
                <w:lang w:val="en-GB"/>
              </w:rPr>
              <w:t>Adult</w:t>
            </w:r>
            <w:r w:rsidR="00AD6F96" w:rsidRPr="005E1CFA">
              <w:rPr>
                <w:iCs/>
                <w:sz w:val="18"/>
                <w:szCs w:val="18"/>
                <w:lang w:val="en-GB"/>
              </w:rPr>
              <w:t>:</w:t>
            </w:r>
            <w:r w:rsidRPr="005E1CFA">
              <w:rPr>
                <w:iCs/>
                <w:sz w:val="18"/>
                <w:szCs w:val="18"/>
                <w:lang w:val="en-GB"/>
              </w:rPr>
              <w:t xml:space="preserve"> 16% </w:t>
            </w:r>
          </w:p>
          <w:p w14:paraId="005B2C22" w14:textId="22955BB6" w:rsidR="00DB380F" w:rsidRPr="005E1CFA" w:rsidRDefault="00AD6F96" w:rsidP="002249DD">
            <w:pPr>
              <w:rPr>
                <w:b/>
                <w:iCs/>
                <w:sz w:val="18"/>
                <w:szCs w:val="18"/>
                <w:lang w:val="en-GB"/>
              </w:rPr>
            </w:pPr>
            <w:r w:rsidRPr="005E1CFA">
              <w:rPr>
                <w:iCs/>
                <w:sz w:val="18"/>
                <w:szCs w:val="18"/>
                <w:lang w:val="en-GB"/>
              </w:rPr>
              <w:t>C</w:t>
            </w:r>
            <w:r w:rsidR="00DB380F" w:rsidRPr="005E1CFA">
              <w:rPr>
                <w:iCs/>
                <w:sz w:val="18"/>
                <w:szCs w:val="18"/>
                <w:lang w:val="en-GB"/>
              </w:rPr>
              <w:t>hildren</w:t>
            </w:r>
            <w:r w:rsidRPr="005E1CFA">
              <w:rPr>
                <w:iCs/>
                <w:sz w:val="18"/>
                <w:szCs w:val="18"/>
                <w:lang w:val="en-GB"/>
              </w:rPr>
              <w:t>:</w:t>
            </w:r>
            <w:r w:rsidR="00DB380F" w:rsidRPr="005E1CFA">
              <w:rPr>
                <w:iCs/>
                <w:sz w:val="18"/>
                <w:szCs w:val="18"/>
                <w:lang w:val="en-GB"/>
              </w:rPr>
              <w:t xml:space="preserve"> 12%</w:t>
            </w:r>
            <w:r w:rsidR="00DB380F" w:rsidRPr="005E1CFA">
              <w:rPr>
                <w:b/>
                <w:iCs/>
                <w:sz w:val="18"/>
                <w:szCs w:val="18"/>
                <w:lang w:val="en-GB"/>
              </w:rPr>
              <w:t xml:space="preserve"> </w:t>
            </w:r>
          </w:p>
        </w:tc>
        <w:tc>
          <w:tcPr>
            <w:tcW w:w="775" w:type="pct"/>
          </w:tcPr>
          <w:p w14:paraId="47AFEF20" w14:textId="56EC1C86" w:rsidR="001B4F7C" w:rsidRPr="005E1CFA" w:rsidRDefault="00DB380F" w:rsidP="002249DD">
            <w:pPr>
              <w:contextualSpacing/>
              <w:rPr>
                <w:sz w:val="18"/>
                <w:szCs w:val="18"/>
                <w:lang w:val="en-GB"/>
              </w:rPr>
            </w:pPr>
            <w:r w:rsidRPr="005E1CFA">
              <w:rPr>
                <w:b/>
                <w:sz w:val="18"/>
                <w:szCs w:val="18"/>
                <w:lang w:val="en-GB"/>
              </w:rPr>
              <w:t>Data source</w:t>
            </w:r>
            <w:r w:rsidRPr="005E1CFA">
              <w:rPr>
                <w:sz w:val="18"/>
                <w:szCs w:val="18"/>
                <w:lang w:val="en-GB"/>
              </w:rPr>
              <w:t xml:space="preserve"> </w:t>
            </w:r>
          </w:p>
          <w:p w14:paraId="44B8C9ED" w14:textId="3B0F1E7E" w:rsidR="00DB380F" w:rsidRPr="005E1CFA" w:rsidRDefault="00DB380F" w:rsidP="002249DD">
            <w:pPr>
              <w:contextualSpacing/>
              <w:rPr>
                <w:rFonts w:eastAsiaTheme="minorHAnsi"/>
                <w:sz w:val="18"/>
                <w:szCs w:val="18"/>
                <w:lang w:val="en-GB"/>
              </w:rPr>
            </w:pPr>
            <w:r w:rsidRPr="005E1CFA">
              <w:rPr>
                <w:sz w:val="18"/>
                <w:szCs w:val="18"/>
                <w:lang w:val="en-GB"/>
              </w:rPr>
              <w:t xml:space="preserve">Ministry of Humanitarian Affairs and Disaster Management </w:t>
            </w:r>
            <w:r w:rsidR="001B4F7C" w:rsidRPr="005E1CFA">
              <w:rPr>
                <w:sz w:val="18"/>
                <w:szCs w:val="18"/>
                <w:lang w:val="en-GB"/>
              </w:rPr>
              <w:t>r</w:t>
            </w:r>
            <w:r w:rsidRPr="005E1CFA">
              <w:rPr>
                <w:sz w:val="18"/>
                <w:szCs w:val="18"/>
                <w:lang w:val="en-GB"/>
              </w:rPr>
              <w:t xml:space="preserve">eports </w:t>
            </w:r>
          </w:p>
          <w:p w14:paraId="00275E12" w14:textId="0EDB4130" w:rsidR="00DB380F" w:rsidRPr="005E1CFA" w:rsidRDefault="00DB380F" w:rsidP="002249DD">
            <w:pPr>
              <w:pStyle w:val="ListParagraph"/>
              <w:ind w:left="0"/>
              <w:rPr>
                <w:sz w:val="18"/>
                <w:szCs w:val="18"/>
                <w:lang w:val="en-GB"/>
              </w:rPr>
            </w:pPr>
          </w:p>
          <w:p w14:paraId="015099A8" w14:textId="4E118B22" w:rsidR="00DB380F" w:rsidRPr="005E1CFA" w:rsidRDefault="00DB380F" w:rsidP="002249DD">
            <w:pPr>
              <w:contextualSpacing/>
              <w:rPr>
                <w:sz w:val="18"/>
                <w:szCs w:val="18"/>
                <w:lang w:val="en-GB"/>
              </w:rPr>
            </w:pPr>
            <w:r w:rsidRPr="005E1CFA">
              <w:rPr>
                <w:sz w:val="18"/>
                <w:szCs w:val="18"/>
                <w:lang w:val="en-GB"/>
              </w:rPr>
              <w:t xml:space="preserve">National Bureau of Statistics </w:t>
            </w:r>
            <w:r w:rsidR="001B4F7C" w:rsidRPr="005E1CFA">
              <w:rPr>
                <w:sz w:val="18"/>
                <w:szCs w:val="18"/>
                <w:lang w:val="en-GB"/>
              </w:rPr>
              <w:t>r</w:t>
            </w:r>
            <w:r w:rsidRPr="005E1CFA">
              <w:rPr>
                <w:sz w:val="18"/>
                <w:szCs w:val="18"/>
                <w:lang w:val="en-GB"/>
              </w:rPr>
              <w:t xml:space="preserve">eports </w:t>
            </w:r>
          </w:p>
          <w:p w14:paraId="0C236F98" w14:textId="0C6097DF" w:rsidR="00DB380F" w:rsidRPr="005E1CFA" w:rsidRDefault="00DB380F" w:rsidP="002249DD">
            <w:pPr>
              <w:pStyle w:val="ListParagraph"/>
              <w:ind w:left="0"/>
              <w:rPr>
                <w:sz w:val="18"/>
                <w:szCs w:val="18"/>
                <w:lang w:val="en-GB"/>
              </w:rPr>
            </w:pPr>
          </w:p>
          <w:p w14:paraId="467CC67D" w14:textId="109C42F3" w:rsidR="00DB380F" w:rsidRPr="005E1CFA" w:rsidRDefault="00DB380F" w:rsidP="002249DD">
            <w:pPr>
              <w:contextualSpacing/>
              <w:rPr>
                <w:sz w:val="18"/>
                <w:szCs w:val="18"/>
                <w:lang w:val="en-GB"/>
              </w:rPr>
            </w:pPr>
            <w:r w:rsidRPr="005E1CFA">
              <w:rPr>
                <w:sz w:val="18"/>
                <w:szCs w:val="18"/>
                <w:lang w:val="en-GB"/>
              </w:rPr>
              <w:t xml:space="preserve">South Sudan Relief and Rehabilitation Commission </w:t>
            </w:r>
            <w:r w:rsidR="001B4F7C" w:rsidRPr="005E1CFA">
              <w:rPr>
                <w:sz w:val="18"/>
                <w:szCs w:val="18"/>
                <w:lang w:val="en-GB"/>
              </w:rPr>
              <w:t>r</w:t>
            </w:r>
            <w:r w:rsidRPr="005E1CFA">
              <w:rPr>
                <w:sz w:val="18"/>
                <w:szCs w:val="18"/>
                <w:lang w:val="en-GB"/>
              </w:rPr>
              <w:t xml:space="preserve">eports. </w:t>
            </w:r>
          </w:p>
          <w:p w14:paraId="3BD78546" w14:textId="70AEF9C9" w:rsidR="00DB380F" w:rsidRPr="005E1CFA" w:rsidRDefault="00DB380F" w:rsidP="002249DD">
            <w:pPr>
              <w:pStyle w:val="ListParagraph"/>
              <w:ind w:left="0"/>
              <w:rPr>
                <w:sz w:val="18"/>
                <w:szCs w:val="18"/>
                <w:lang w:val="en-GB"/>
              </w:rPr>
            </w:pPr>
          </w:p>
          <w:p w14:paraId="56209C6E" w14:textId="743D776B" w:rsidR="00DB380F" w:rsidRPr="005E1CFA" w:rsidRDefault="00DB380F" w:rsidP="002249DD">
            <w:pPr>
              <w:contextualSpacing/>
              <w:rPr>
                <w:sz w:val="18"/>
                <w:szCs w:val="18"/>
                <w:lang w:val="en-GB"/>
              </w:rPr>
            </w:pPr>
            <w:r w:rsidRPr="005E1CFA">
              <w:rPr>
                <w:sz w:val="18"/>
                <w:szCs w:val="18"/>
                <w:lang w:val="en-GB"/>
              </w:rPr>
              <w:t>H</w:t>
            </w:r>
            <w:r w:rsidR="001B4F7C" w:rsidRPr="005E1CFA">
              <w:rPr>
                <w:sz w:val="18"/>
                <w:szCs w:val="18"/>
                <w:lang w:val="en-GB"/>
              </w:rPr>
              <w:t>ousehold</w:t>
            </w:r>
            <w:r w:rsidRPr="005E1CFA">
              <w:rPr>
                <w:sz w:val="18"/>
                <w:szCs w:val="18"/>
                <w:lang w:val="en-GB"/>
              </w:rPr>
              <w:t xml:space="preserve"> </w:t>
            </w:r>
            <w:r w:rsidR="001B4F7C" w:rsidRPr="005E1CFA">
              <w:rPr>
                <w:sz w:val="18"/>
                <w:szCs w:val="18"/>
                <w:lang w:val="en-GB"/>
              </w:rPr>
              <w:t>s</w:t>
            </w:r>
            <w:r w:rsidRPr="005E1CFA">
              <w:rPr>
                <w:sz w:val="18"/>
                <w:szCs w:val="18"/>
                <w:lang w:val="en-GB"/>
              </w:rPr>
              <w:t>urvey indicators</w:t>
            </w:r>
          </w:p>
          <w:p w14:paraId="3C1E052C" w14:textId="03B18192" w:rsidR="00DB380F" w:rsidRPr="005E1CFA" w:rsidRDefault="00DB380F" w:rsidP="002249DD">
            <w:pPr>
              <w:contextualSpacing/>
              <w:rPr>
                <w:sz w:val="18"/>
                <w:szCs w:val="18"/>
                <w:lang w:val="en-GB"/>
              </w:rPr>
            </w:pPr>
          </w:p>
          <w:p w14:paraId="360543B2" w14:textId="751B323D" w:rsidR="001B4F7C" w:rsidRPr="005E1CFA" w:rsidRDefault="00DB380F" w:rsidP="002249DD">
            <w:pPr>
              <w:contextualSpacing/>
              <w:rPr>
                <w:b/>
                <w:sz w:val="18"/>
                <w:szCs w:val="18"/>
                <w:lang w:val="en-GB"/>
              </w:rPr>
            </w:pPr>
            <w:r w:rsidRPr="005E1CFA">
              <w:rPr>
                <w:b/>
                <w:sz w:val="18"/>
                <w:szCs w:val="18"/>
                <w:lang w:val="en-GB"/>
              </w:rPr>
              <w:t xml:space="preserve">Frequency </w:t>
            </w:r>
          </w:p>
          <w:p w14:paraId="66B94153" w14:textId="0D3874C3" w:rsidR="00DB380F" w:rsidRPr="005E1CFA" w:rsidRDefault="001B4F7C" w:rsidP="002249DD">
            <w:pPr>
              <w:contextualSpacing/>
              <w:rPr>
                <w:sz w:val="18"/>
                <w:szCs w:val="18"/>
                <w:lang w:val="en-GB"/>
              </w:rPr>
            </w:pPr>
            <w:r w:rsidRPr="005E1CFA">
              <w:rPr>
                <w:sz w:val="18"/>
                <w:szCs w:val="18"/>
                <w:lang w:val="en-GB"/>
              </w:rPr>
              <w:t>Q</w:t>
            </w:r>
            <w:r w:rsidR="00DB380F" w:rsidRPr="005E1CFA">
              <w:rPr>
                <w:sz w:val="18"/>
                <w:szCs w:val="18"/>
                <w:lang w:val="en-GB"/>
              </w:rPr>
              <w:t xml:space="preserve">uarterly and </w:t>
            </w:r>
            <w:r w:rsidRPr="005E1CFA">
              <w:rPr>
                <w:sz w:val="18"/>
                <w:szCs w:val="18"/>
                <w:lang w:val="en-GB"/>
              </w:rPr>
              <w:t>a</w:t>
            </w:r>
            <w:r w:rsidR="00DB380F" w:rsidRPr="005E1CFA">
              <w:rPr>
                <w:sz w:val="18"/>
                <w:szCs w:val="18"/>
                <w:lang w:val="en-GB"/>
              </w:rPr>
              <w:t>nnual</w:t>
            </w:r>
          </w:p>
          <w:p w14:paraId="6C0BECE9" w14:textId="4BC460BB" w:rsidR="00DB380F" w:rsidRPr="005E1CFA" w:rsidRDefault="00DB380F" w:rsidP="002249DD">
            <w:pPr>
              <w:contextualSpacing/>
              <w:rPr>
                <w:b/>
                <w:sz w:val="18"/>
                <w:szCs w:val="18"/>
                <w:lang w:val="en-GB"/>
              </w:rPr>
            </w:pPr>
          </w:p>
          <w:p w14:paraId="2D16BD2D" w14:textId="49E42179" w:rsidR="00DB380F" w:rsidRPr="005E1CFA" w:rsidRDefault="00DB380F" w:rsidP="002249DD">
            <w:pPr>
              <w:contextualSpacing/>
              <w:rPr>
                <w:b/>
                <w:sz w:val="18"/>
                <w:szCs w:val="18"/>
                <w:lang w:val="en-GB"/>
              </w:rPr>
            </w:pPr>
            <w:r w:rsidRPr="005E1CFA">
              <w:rPr>
                <w:b/>
                <w:sz w:val="18"/>
                <w:szCs w:val="18"/>
                <w:lang w:val="en-GB"/>
              </w:rPr>
              <w:t>Responsibility</w:t>
            </w:r>
          </w:p>
          <w:p w14:paraId="208C85BB" w14:textId="4E4FC0C1" w:rsidR="001B4F7C" w:rsidRPr="005E1CFA" w:rsidRDefault="001B4F7C" w:rsidP="002249DD">
            <w:pPr>
              <w:contextualSpacing/>
              <w:rPr>
                <w:b/>
                <w:sz w:val="18"/>
                <w:szCs w:val="18"/>
                <w:lang w:val="en-GB"/>
              </w:rPr>
            </w:pPr>
            <w:r w:rsidRPr="005E1CFA">
              <w:rPr>
                <w:sz w:val="18"/>
                <w:szCs w:val="18"/>
                <w:lang w:val="en-GB"/>
              </w:rPr>
              <w:t>Ministry of Health, Wo</w:t>
            </w:r>
            <w:r w:rsidR="00416E0E">
              <w:rPr>
                <w:sz w:val="18"/>
                <w:szCs w:val="18"/>
                <w:lang w:val="en-GB"/>
              </w:rPr>
              <w:t>rld Health Organization reports</w:t>
            </w:r>
          </w:p>
        </w:tc>
        <w:tc>
          <w:tcPr>
            <w:tcW w:w="2062" w:type="pct"/>
          </w:tcPr>
          <w:p w14:paraId="49F31DBE" w14:textId="205CE270" w:rsidR="00DB380F" w:rsidRPr="005E1CFA" w:rsidRDefault="00DB380F" w:rsidP="002249DD">
            <w:pPr>
              <w:rPr>
                <w:iCs/>
                <w:sz w:val="18"/>
                <w:szCs w:val="18"/>
                <w:lang w:val="en-GB"/>
              </w:rPr>
            </w:pPr>
            <w:r w:rsidRPr="005E1CFA">
              <w:rPr>
                <w:b/>
                <w:iCs/>
                <w:sz w:val="18"/>
                <w:szCs w:val="18"/>
                <w:lang w:val="en-GB"/>
              </w:rPr>
              <w:t>Output 1.1</w:t>
            </w:r>
            <w:r w:rsidR="00826C23" w:rsidRPr="005E1CFA">
              <w:rPr>
                <w:b/>
                <w:iCs/>
                <w:sz w:val="18"/>
                <w:szCs w:val="18"/>
                <w:lang w:val="en-GB"/>
              </w:rPr>
              <w:t>.</w:t>
            </w:r>
            <w:r w:rsidRPr="005E1CFA">
              <w:rPr>
                <w:iCs/>
                <w:sz w:val="18"/>
                <w:szCs w:val="18"/>
                <w:lang w:val="en-GB"/>
              </w:rPr>
              <w:t xml:space="preserve"> Effective institutional, and draft policy frameworks  in place to enhance the implementation of disaster and climate risk management measures at national and subnational levels</w:t>
            </w:r>
          </w:p>
          <w:p w14:paraId="0EC8CE74" w14:textId="77777777" w:rsidR="00DB380F" w:rsidRPr="005E1CFA" w:rsidRDefault="00DB380F" w:rsidP="002249DD">
            <w:pPr>
              <w:rPr>
                <w:iCs/>
                <w:sz w:val="18"/>
                <w:szCs w:val="18"/>
                <w:lang w:val="en-GB"/>
              </w:rPr>
            </w:pPr>
          </w:p>
          <w:p w14:paraId="48A4F61B" w14:textId="2D026592" w:rsidR="00DB380F" w:rsidRPr="005E1CFA" w:rsidRDefault="00DB380F" w:rsidP="002249DD">
            <w:pPr>
              <w:rPr>
                <w:sz w:val="18"/>
                <w:szCs w:val="18"/>
                <w:lang w:val="en-GB"/>
              </w:rPr>
            </w:pPr>
            <w:r w:rsidRPr="005E1CFA">
              <w:rPr>
                <w:b/>
                <w:iCs/>
                <w:sz w:val="18"/>
                <w:szCs w:val="18"/>
                <w:lang w:val="en-GB"/>
              </w:rPr>
              <w:t>Indicator 1</w:t>
            </w:r>
            <w:r w:rsidR="00826C23" w:rsidRPr="005E1CFA">
              <w:rPr>
                <w:b/>
                <w:iCs/>
                <w:sz w:val="18"/>
                <w:szCs w:val="18"/>
                <w:lang w:val="en-GB"/>
              </w:rPr>
              <w:t>.</w:t>
            </w:r>
            <w:r w:rsidRPr="005E1CFA">
              <w:rPr>
                <w:iCs/>
                <w:sz w:val="18"/>
                <w:szCs w:val="18"/>
                <w:lang w:val="en-GB"/>
              </w:rPr>
              <w:t xml:space="preserve"> </w:t>
            </w:r>
            <w:r w:rsidRPr="005E1CFA">
              <w:rPr>
                <w:sz w:val="18"/>
                <w:szCs w:val="18"/>
                <w:lang w:val="en-GB"/>
              </w:rPr>
              <w:t xml:space="preserve">Number of </w:t>
            </w:r>
            <w:r w:rsidR="003E4CDF" w:rsidRPr="005E1CFA">
              <w:rPr>
                <w:sz w:val="18"/>
                <w:szCs w:val="18"/>
                <w:lang w:val="en-GB"/>
              </w:rPr>
              <w:t>disaster</w:t>
            </w:r>
            <w:r w:rsidR="00826C23" w:rsidRPr="005E1CFA">
              <w:rPr>
                <w:sz w:val="18"/>
                <w:szCs w:val="18"/>
                <w:lang w:val="en-GB"/>
              </w:rPr>
              <w:t>-</w:t>
            </w:r>
            <w:r w:rsidR="003E4CDF" w:rsidRPr="005E1CFA">
              <w:rPr>
                <w:sz w:val="18"/>
                <w:szCs w:val="18"/>
                <w:lang w:val="en-GB"/>
              </w:rPr>
              <w:t xml:space="preserve">prone </w:t>
            </w:r>
            <w:r w:rsidRPr="005E1CFA">
              <w:rPr>
                <w:sz w:val="18"/>
                <w:szCs w:val="18"/>
                <w:lang w:val="en-GB"/>
              </w:rPr>
              <w:t xml:space="preserve">states with a </w:t>
            </w:r>
            <w:r w:rsidRPr="005E1CFA">
              <w:rPr>
                <w:bCs/>
                <w:sz w:val="18"/>
                <w:szCs w:val="18"/>
                <w:lang w:val="en-GB"/>
              </w:rPr>
              <w:t>disaster risk reduction strategy</w:t>
            </w:r>
            <w:r w:rsidR="00826C23" w:rsidRPr="005E1CFA">
              <w:rPr>
                <w:bCs/>
                <w:sz w:val="18"/>
                <w:szCs w:val="18"/>
                <w:lang w:val="en-GB"/>
              </w:rPr>
              <w:t xml:space="preserve"> and </w:t>
            </w:r>
            <w:r w:rsidRPr="005E1CFA">
              <w:rPr>
                <w:bCs/>
                <w:sz w:val="18"/>
                <w:szCs w:val="18"/>
                <w:lang w:val="en-GB"/>
              </w:rPr>
              <w:t xml:space="preserve">action plan adopted </w:t>
            </w:r>
            <w:r w:rsidRPr="005E1CFA">
              <w:rPr>
                <w:sz w:val="18"/>
                <w:szCs w:val="18"/>
                <w:lang w:val="en-GB"/>
              </w:rPr>
              <w:t xml:space="preserve">with clearly defined institutional responsibilities and multi-stakeholder coordination mechanisms </w:t>
            </w:r>
          </w:p>
          <w:p w14:paraId="7B824BF6" w14:textId="77777777" w:rsidR="00DB380F" w:rsidRPr="005E1CFA" w:rsidRDefault="00DB380F" w:rsidP="002249DD">
            <w:pPr>
              <w:rPr>
                <w:iCs/>
                <w:sz w:val="18"/>
                <w:szCs w:val="18"/>
                <w:lang w:val="en-GB"/>
              </w:rPr>
            </w:pPr>
            <w:r w:rsidRPr="005E1CFA">
              <w:rPr>
                <w:b/>
                <w:iCs/>
                <w:sz w:val="18"/>
                <w:szCs w:val="18"/>
                <w:lang w:val="en-GB"/>
              </w:rPr>
              <w:t>Baseline:</w:t>
            </w:r>
            <w:r w:rsidRPr="005E1CFA">
              <w:rPr>
                <w:iCs/>
                <w:sz w:val="18"/>
                <w:szCs w:val="18"/>
                <w:lang w:val="en-GB"/>
              </w:rPr>
              <w:t xml:space="preserve"> 0</w:t>
            </w:r>
          </w:p>
          <w:p w14:paraId="50A91A9F" w14:textId="77777777" w:rsidR="00DB380F" w:rsidRPr="005E1CFA" w:rsidRDefault="00DB380F" w:rsidP="002249DD">
            <w:pPr>
              <w:rPr>
                <w:iCs/>
                <w:sz w:val="18"/>
                <w:szCs w:val="18"/>
                <w:lang w:val="en-GB"/>
              </w:rPr>
            </w:pPr>
            <w:r w:rsidRPr="005E1CFA">
              <w:rPr>
                <w:b/>
                <w:iCs/>
                <w:sz w:val="18"/>
                <w:szCs w:val="18"/>
                <w:lang w:val="en-GB"/>
              </w:rPr>
              <w:t>Target</w:t>
            </w:r>
            <w:r w:rsidRPr="005E1CFA">
              <w:rPr>
                <w:iCs/>
                <w:sz w:val="18"/>
                <w:szCs w:val="18"/>
                <w:lang w:val="en-GB"/>
              </w:rPr>
              <w:t xml:space="preserve">: 4 </w:t>
            </w:r>
          </w:p>
          <w:p w14:paraId="026F2227" w14:textId="4CF930C8" w:rsidR="00DB380F" w:rsidRPr="005E1CFA" w:rsidRDefault="00DB380F" w:rsidP="002249DD">
            <w:pPr>
              <w:pStyle w:val="Default"/>
              <w:rPr>
                <w:rFonts w:ascii="Times New Roman" w:hAnsi="Times New Roman" w:cs="Times New Roman"/>
                <w:iCs/>
                <w:color w:val="auto"/>
                <w:sz w:val="18"/>
                <w:szCs w:val="18"/>
                <w:lang w:val="en-GB"/>
              </w:rPr>
            </w:pPr>
            <w:r w:rsidRPr="005E1CFA">
              <w:rPr>
                <w:rFonts w:ascii="Times New Roman" w:hAnsi="Times New Roman" w:cs="Times New Roman"/>
                <w:b/>
                <w:iCs/>
                <w:color w:val="auto"/>
                <w:sz w:val="18"/>
                <w:szCs w:val="18"/>
                <w:lang w:val="en-GB"/>
              </w:rPr>
              <w:t>Data source</w:t>
            </w:r>
            <w:r w:rsidRPr="005E1CFA">
              <w:rPr>
                <w:rFonts w:ascii="Times New Roman" w:hAnsi="Times New Roman" w:cs="Times New Roman"/>
                <w:iCs/>
                <w:color w:val="auto"/>
                <w:sz w:val="18"/>
                <w:szCs w:val="18"/>
                <w:lang w:val="en-GB"/>
              </w:rPr>
              <w:t xml:space="preserve">: Ministry of Humanitarian Affairs </w:t>
            </w:r>
            <w:r w:rsidR="00416E0E">
              <w:rPr>
                <w:rFonts w:ascii="Times New Roman" w:hAnsi="Times New Roman" w:cs="Times New Roman"/>
                <w:iCs/>
                <w:color w:val="auto"/>
                <w:sz w:val="18"/>
                <w:szCs w:val="18"/>
                <w:lang w:val="en-GB"/>
              </w:rPr>
              <w:t>and Disaster Management,</w:t>
            </w:r>
            <w:r w:rsidRPr="005E1CFA">
              <w:rPr>
                <w:rFonts w:ascii="Times New Roman" w:hAnsi="Times New Roman" w:cs="Times New Roman"/>
                <w:iCs/>
                <w:color w:val="auto"/>
                <w:sz w:val="18"/>
                <w:szCs w:val="18"/>
                <w:lang w:val="en-GB"/>
              </w:rPr>
              <w:t xml:space="preserve"> Ministry of Environment</w:t>
            </w:r>
          </w:p>
          <w:p w14:paraId="7C7DE437" w14:textId="77777777" w:rsidR="00DB380F" w:rsidRPr="005E1CFA" w:rsidRDefault="00DB380F" w:rsidP="002249DD">
            <w:pPr>
              <w:pStyle w:val="Default"/>
              <w:rPr>
                <w:rFonts w:ascii="Times New Roman" w:hAnsi="Times New Roman" w:cs="Times New Roman"/>
                <w:b/>
                <w:color w:val="auto"/>
                <w:sz w:val="18"/>
                <w:szCs w:val="18"/>
                <w:lang w:val="en-GB"/>
              </w:rPr>
            </w:pPr>
          </w:p>
        </w:tc>
        <w:tc>
          <w:tcPr>
            <w:tcW w:w="666" w:type="pct"/>
          </w:tcPr>
          <w:p w14:paraId="04A91F14" w14:textId="77777777" w:rsidR="00DB380F" w:rsidRPr="005E1CFA" w:rsidRDefault="00DB380F" w:rsidP="002249DD">
            <w:pPr>
              <w:rPr>
                <w:iCs/>
                <w:sz w:val="18"/>
                <w:szCs w:val="18"/>
                <w:lang w:val="en-GB"/>
              </w:rPr>
            </w:pPr>
            <w:r w:rsidRPr="005E1CFA">
              <w:rPr>
                <w:iCs/>
                <w:sz w:val="18"/>
                <w:szCs w:val="18"/>
                <w:lang w:val="en-GB"/>
              </w:rPr>
              <w:t xml:space="preserve">Ministry of Humanitarian Affairs and Disaster Management </w:t>
            </w:r>
          </w:p>
          <w:p w14:paraId="6719E781" w14:textId="77777777" w:rsidR="00DB380F" w:rsidRPr="005E1CFA" w:rsidRDefault="00DB380F" w:rsidP="002249DD">
            <w:pPr>
              <w:rPr>
                <w:iCs/>
                <w:sz w:val="18"/>
                <w:szCs w:val="18"/>
                <w:lang w:val="en-GB"/>
              </w:rPr>
            </w:pPr>
          </w:p>
          <w:p w14:paraId="67D32444" w14:textId="77777777" w:rsidR="00DB380F" w:rsidRPr="005E1CFA" w:rsidRDefault="00DB380F" w:rsidP="002249DD">
            <w:pPr>
              <w:rPr>
                <w:iCs/>
                <w:sz w:val="18"/>
                <w:szCs w:val="18"/>
                <w:lang w:val="en-GB"/>
              </w:rPr>
            </w:pPr>
            <w:r w:rsidRPr="005E1CFA">
              <w:rPr>
                <w:iCs/>
                <w:sz w:val="18"/>
                <w:szCs w:val="18"/>
                <w:lang w:val="en-GB"/>
              </w:rPr>
              <w:t xml:space="preserve">WFP </w:t>
            </w:r>
          </w:p>
          <w:p w14:paraId="2A232DD4" w14:textId="77777777" w:rsidR="00DB380F" w:rsidRPr="005E1CFA" w:rsidRDefault="00DB380F" w:rsidP="002249DD">
            <w:pPr>
              <w:rPr>
                <w:iCs/>
                <w:sz w:val="18"/>
                <w:szCs w:val="18"/>
                <w:lang w:val="en-GB"/>
              </w:rPr>
            </w:pPr>
            <w:r w:rsidRPr="005E1CFA">
              <w:rPr>
                <w:iCs/>
                <w:sz w:val="18"/>
                <w:szCs w:val="18"/>
                <w:lang w:val="en-GB"/>
              </w:rPr>
              <w:t xml:space="preserve">FAO </w:t>
            </w:r>
          </w:p>
          <w:p w14:paraId="22A1F1CA" w14:textId="0EB41F82" w:rsidR="00DB380F" w:rsidRPr="005E1CFA" w:rsidRDefault="00416E0E" w:rsidP="002249DD">
            <w:pPr>
              <w:rPr>
                <w:iCs/>
                <w:sz w:val="18"/>
                <w:szCs w:val="18"/>
                <w:lang w:val="en-GB"/>
              </w:rPr>
            </w:pPr>
            <w:r>
              <w:rPr>
                <w:iCs/>
                <w:sz w:val="18"/>
                <w:szCs w:val="18"/>
                <w:lang w:val="en-GB"/>
              </w:rPr>
              <w:t>South Sudan Relief and </w:t>
            </w:r>
            <w:r w:rsidR="00DB380F" w:rsidRPr="005E1CFA">
              <w:rPr>
                <w:iCs/>
                <w:sz w:val="18"/>
                <w:szCs w:val="18"/>
                <w:lang w:val="en-GB"/>
              </w:rPr>
              <w:t xml:space="preserve">Rehabilitation Commission </w:t>
            </w:r>
          </w:p>
          <w:p w14:paraId="39C588B5" w14:textId="77777777" w:rsidR="00DB380F" w:rsidRPr="005E1CFA" w:rsidRDefault="00DB380F" w:rsidP="002249DD">
            <w:pPr>
              <w:rPr>
                <w:iCs/>
                <w:sz w:val="18"/>
                <w:szCs w:val="18"/>
                <w:lang w:val="en-GB"/>
              </w:rPr>
            </w:pPr>
            <w:r w:rsidRPr="005E1CFA">
              <w:rPr>
                <w:iCs/>
                <w:sz w:val="18"/>
                <w:szCs w:val="18"/>
                <w:lang w:val="en-GB"/>
              </w:rPr>
              <w:t>Ministry of Environment and Sustainable development</w:t>
            </w:r>
          </w:p>
          <w:p w14:paraId="6A1A55AD" w14:textId="77777777" w:rsidR="00B71ABA" w:rsidRPr="005E1CFA" w:rsidRDefault="00B71ABA" w:rsidP="002249DD">
            <w:pPr>
              <w:rPr>
                <w:iCs/>
                <w:sz w:val="18"/>
                <w:szCs w:val="18"/>
                <w:lang w:val="en-GB"/>
              </w:rPr>
            </w:pPr>
          </w:p>
          <w:p w14:paraId="0F55CA75" w14:textId="11371251" w:rsidR="00B71ABA" w:rsidRPr="005E1CFA" w:rsidRDefault="00B71ABA" w:rsidP="002249DD">
            <w:pPr>
              <w:rPr>
                <w:iCs/>
                <w:sz w:val="18"/>
                <w:szCs w:val="18"/>
                <w:lang w:val="en-GB"/>
              </w:rPr>
            </w:pPr>
            <w:r w:rsidRPr="005E1CFA">
              <w:rPr>
                <w:i/>
                <w:iCs/>
                <w:sz w:val="18"/>
                <w:szCs w:val="18"/>
                <w:lang w:val="en-GB"/>
              </w:rPr>
              <w:t>Donors:</w:t>
            </w:r>
            <w:r w:rsidRPr="005E1CFA">
              <w:rPr>
                <w:iCs/>
                <w:sz w:val="18"/>
                <w:szCs w:val="18"/>
                <w:lang w:val="en-GB"/>
              </w:rPr>
              <w:t xml:space="preserve"> Government of Japan, G</w:t>
            </w:r>
            <w:r w:rsidR="00EB1091" w:rsidRPr="005E1CFA">
              <w:rPr>
                <w:iCs/>
                <w:sz w:val="18"/>
                <w:szCs w:val="18"/>
                <w:lang w:val="en-GB"/>
              </w:rPr>
              <w:t>lobal Environment Facility</w:t>
            </w:r>
          </w:p>
        </w:tc>
        <w:tc>
          <w:tcPr>
            <w:tcW w:w="649" w:type="pct"/>
          </w:tcPr>
          <w:p w14:paraId="6944A09A" w14:textId="77777777" w:rsidR="00DB380F" w:rsidRPr="005E1CFA" w:rsidRDefault="00DB380F" w:rsidP="002249DD">
            <w:pPr>
              <w:rPr>
                <w:b/>
                <w:sz w:val="18"/>
                <w:szCs w:val="18"/>
                <w:lang w:val="en-GB"/>
              </w:rPr>
            </w:pPr>
            <w:r w:rsidRPr="005E1CFA">
              <w:rPr>
                <w:b/>
                <w:sz w:val="18"/>
                <w:szCs w:val="18"/>
                <w:lang w:val="en-GB"/>
              </w:rPr>
              <w:t>Regular: 0</w:t>
            </w:r>
          </w:p>
          <w:p w14:paraId="7E3C601E" w14:textId="08C658F6" w:rsidR="00DB380F" w:rsidRPr="005E1CFA" w:rsidRDefault="00DB380F" w:rsidP="002249DD">
            <w:pPr>
              <w:rPr>
                <w:b/>
                <w:sz w:val="18"/>
                <w:szCs w:val="18"/>
                <w:lang w:val="en-GB"/>
              </w:rPr>
            </w:pPr>
            <w:r w:rsidRPr="005E1CFA">
              <w:rPr>
                <w:b/>
                <w:sz w:val="18"/>
                <w:szCs w:val="18"/>
                <w:lang w:val="en-GB"/>
              </w:rPr>
              <w:t>Other: 8,000</w:t>
            </w:r>
          </w:p>
          <w:p w14:paraId="6D406099" w14:textId="77777777" w:rsidR="00DB380F" w:rsidRPr="005E1CFA" w:rsidRDefault="00DB380F" w:rsidP="002249DD">
            <w:pPr>
              <w:rPr>
                <w:b/>
                <w:sz w:val="18"/>
                <w:szCs w:val="18"/>
                <w:lang w:val="en-GB"/>
              </w:rPr>
            </w:pPr>
          </w:p>
          <w:p w14:paraId="59C6B79B" w14:textId="555254D5" w:rsidR="00DB380F" w:rsidRPr="005E1CFA" w:rsidRDefault="00DB380F" w:rsidP="002249DD">
            <w:pPr>
              <w:rPr>
                <w:b/>
                <w:sz w:val="18"/>
                <w:szCs w:val="18"/>
                <w:lang w:val="en-GB"/>
              </w:rPr>
            </w:pPr>
          </w:p>
        </w:tc>
      </w:tr>
      <w:tr w:rsidR="000E60D6" w:rsidRPr="005E1CFA" w14:paraId="764EE63C" w14:textId="77777777" w:rsidTr="005003E4">
        <w:trPr>
          <w:trHeight w:val="3392"/>
        </w:trPr>
        <w:tc>
          <w:tcPr>
            <w:tcW w:w="848" w:type="pct"/>
          </w:tcPr>
          <w:p w14:paraId="0D68F4EE" w14:textId="77777777" w:rsidR="00DB380F" w:rsidRPr="005E1CFA" w:rsidRDefault="00DB380F" w:rsidP="002249DD">
            <w:pPr>
              <w:rPr>
                <w:b/>
                <w:iCs/>
                <w:sz w:val="18"/>
                <w:szCs w:val="18"/>
                <w:lang w:val="en-GB"/>
              </w:rPr>
            </w:pPr>
          </w:p>
        </w:tc>
        <w:tc>
          <w:tcPr>
            <w:tcW w:w="775" w:type="pct"/>
          </w:tcPr>
          <w:p w14:paraId="31898F27" w14:textId="528D629E" w:rsidR="00DB380F" w:rsidRPr="005E1CFA" w:rsidRDefault="00DB380F" w:rsidP="002249DD">
            <w:pPr>
              <w:rPr>
                <w:sz w:val="18"/>
                <w:szCs w:val="18"/>
                <w:lang w:val="en-GB"/>
              </w:rPr>
            </w:pPr>
          </w:p>
        </w:tc>
        <w:tc>
          <w:tcPr>
            <w:tcW w:w="2062" w:type="pct"/>
          </w:tcPr>
          <w:p w14:paraId="05458611" w14:textId="150D2F2D" w:rsidR="00DB380F" w:rsidRPr="005E1CFA" w:rsidRDefault="00DB380F" w:rsidP="002249DD">
            <w:pPr>
              <w:autoSpaceDE w:val="0"/>
              <w:autoSpaceDN w:val="0"/>
              <w:adjustRightInd w:val="0"/>
              <w:rPr>
                <w:sz w:val="18"/>
                <w:szCs w:val="18"/>
                <w:lang w:val="en-GB"/>
              </w:rPr>
            </w:pPr>
            <w:r w:rsidRPr="005E1CFA">
              <w:rPr>
                <w:b/>
                <w:iCs/>
                <w:sz w:val="18"/>
                <w:szCs w:val="18"/>
                <w:lang w:val="en-GB"/>
              </w:rPr>
              <w:t>Output 1.2.</w:t>
            </w:r>
            <w:r w:rsidRPr="005E1CFA">
              <w:rPr>
                <w:b/>
                <w:sz w:val="18"/>
                <w:szCs w:val="18"/>
                <w:lang w:val="en-GB"/>
              </w:rPr>
              <w:t xml:space="preserve"> </w:t>
            </w:r>
            <w:r w:rsidR="005D4E59" w:rsidRPr="005E1CFA">
              <w:rPr>
                <w:sz w:val="18"/>
                <w:szCs w:val="18"/>
                <w:lang w:val="en-GB"/>
              </w:rPr>
              <w:t>Vulnerable population</w:t>
            </w:r>
            <w:r w:rsidRPr="005E1CFA">
              <w:rPr>
                <w:sz w:val="18"/>
                <w:szCs w:val="18"/>
                <w:lang w:val="en-GB"/>
              </w:rPr>
              <w:t xml:space="preserve"> groups have access t</w:t>
            </w:r>
            <w:r w:rsidRPr="005E1CFA">
              <w:rPr>
                <w:iCs/>
                <w:sz w:val="18"/>
                <w:szCs w:val="18"/>
                <w:lang w:val="en-GB"/>
              </w:rPr>
              <w:t xml:space="preserve">o </w:t>
            </w:r>
            <w:r w:rsidR="00995F8D" w:rsidRPr="005E1CFA">
              <w:rPr>
                <w:iCs/>
                <w:sz w:val="18"/>
                <w:szCs w:val="18"/>
                <w:lang w:val="en-GB"/>
              </w:rPr>
              <w:t>tuberculosis</w:t>
            </w:r>
            <w:r w:rsidRPr="005E1CFA">
              <w:rPr>
                <w:iCs/>
                <w:sz w:val="18"/>
                <w:szCs w:val="18"/>
                <w:lang w:val="en-GB"/>
              </w:rPr>
              <w:t xml:space="preserve">, HIV and AIDS prevention, care, </w:t>
            </w:r>
            <w:r w:rsidR="00E456EF" w:rsidRPr="005E1CFA">
              <w:rPr>
                <w:iCs/>
                <w:sz w:val="18"/>
                <w:szCs w:val="18"/>
                <w:lang w:val="en-GB"/>
              </w:rPr>
              <w:t xml:space="preserve">and </w:t>
            </w:r>
            <w:r w:rsidRPr="005E1CFA">
              <w:rPr>
                <w:iCs/>
                <w:sz w:val="18"/>
                <w:szCs w:val="18"/>
                <w:lang w:val="en-GB"/>
              </w:rPr>
              <w:t>treatment</w:t>
            </w:r>
            <w:r w:rsidRPr="005E1CFA">
              <w:rPr>
                <w:b/>
                <w:iCs/>
                <w:sz w:val="18"/>
                <w:szCs w:val="18"/>
                <w:lang w:val="en-GB"/>
              </w:rPr>
              <w:t xml:space="preserve"> </w:t>
            </w:r>
          </w:p>
          <w:p w14:paraId="5734E4CF" w14:textId="35D79AC7" w:rsidR="00DB380F" w:rsidRPr="005E1CFA" w:rsidRDefault="00DB380F" w:rsidP="002249DD">
            <w:pPr>
              <w:rPr>
                <w:iCs/>
                <w:sz w:val="18"/>
                <w:szCs w:val="18"/>
                <w:lang w:val="en-GB"/>
              </w:rPr>
            </w:pPr>
            <w:r w:rsidRPr="005E1CFA">
              <w:rPr>
                <w:b/>
                <w:sz w:val="18"/>
                <w:szCs w:val="18"/>
                <w:lang w:val="en-GB"/>
              </w:rPr>
              <w:t>Indicator 1</w:t>
            </w:r>
            <w:r w:rsidR="003046F5" w:rsidRPr="005E1CFA">
              <w:rPr>
                <w:b/>
                <w:sz w:val="18"/>
                <w:szCs w:val="18"/>
                <w:lang w:val="en-GB"/>
              </w:rPr>
              <w:t>.</w:t>
            </w:r>
            <w:r w:rsidR="003046F5" w:rsidRPr="005E1CFA">
              <w:rPr>
                <w:sz w:val="18"/>
                <w:szCs w:val="18"/>
                <w:lang w:val="en-GB"/>
              </w:rPr>
              <w:t xml:space="preserve"> </w:t>
            </w:r>
            <w:r w:rsidRPr="005E1CFA">
              <w:rPr>
                <w:sz w:val="18"/>
                <w:szCs w:val="18"/>
                <w:lang w:val="en-GB"/>
              </w:rPr>
              <w:t xml:space="preserve">Number of people who have access to HIV and AIDS treatment services. </w:t>
            </w:r>
          </w:p>
          <w:p w14:paraId="233AC09A" w14:textId="66822EB6" w:rsidR="00DB380F" w:rsidRPr="005E1CFA" w:rsidRDefault="00DB380F"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Baseline:</w:t>
            </w:r>
            <w:r w:rsidR="005D4E59" w:rsidRPr="005E1CFA">
              <w:rPr>
                <w:rFonts w:ascii="Times New Roman" w:hAnsi="Times New Roman" w:cs="Times New Roman"/>
                <w:color w:val="auto"/>
                <w:sz w:val="18"/>
                <w:szCs w:val="18"/>
                <w:lang w:val="en-GB"/>
              </w:rPr>
              <w:t xml:space="preserve"> </w:t>
            </w:r>
            <w:r w:rsidRPr="005E1CFA">
              <w:rPr>
                <w:rFonts w:ascii="Times New Roman" w:hAnsi="Times New Roman" w:cs="Times New Roman"/>
                <w:color w:val="auto"/>
                <w:sz w:val="18"/>
                <w:szCs w:val="18"/>
                <w:lang w:val="en-GB"/>
              </w:rPr>
              <w:t>11,845</w:t>
            </w:r>
            <w:r w:rsidR="00683156" w:rsidRPr="005E1CFA">
              <w:rPr>
                <w:rFonts w:ascii="Times New Roman" w:hAnsi="Times New Roman" w:cs="Times New Roman"/>
                <w:color w:val="auto"/>
                <w:sz w:val="18"/>
                <w:szCs w:val="18"/>
                <w:lang w:val="en-GB"/>
              </w:rPr>
              <w:t xml:space="preserve"> (63% female)</w:t>
            </w:r>
          </w:p>
          <w:p w14:paraId="1FFBA0E6" w14:textId="57E778D0" w:rsidR="00DB380F" w:rsidRPr="005E1CFA" w:rsidRDefault="00DB380F"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Target:</w:t>
            </w:r>
            <w:r w:rsidR="005D4E59" w:rsidRPr="005E1CFA">
              <w:rPr>
                <w:rFonts w:ascii="Times New Roman" w:hAnsi="Times New Roman" w:cs="Times New Roman"/>
                <w:color w:val="auto"/>
                <w:sz w:val="18"/>
                <w:szCs w:val="18"/>
                <w:lang w:val="en-GB"/>
              </w:rPr>
              <w:t xml:space="preserve"> </w:t>
            </w:r>
            <w:r w:rsidRPr="005E1CFA">
              <w:rPr>
                <w:rFonts w:ascii="Times New Roman" w:hAnsi="Times New Roman" w:cs="Times New Roman"/>
                <w:color w:val="auto"/>
                <w:sz w:val="18"/>
                <w:szCs w:val="18"/>
                <w:lang w:val="en-GB"/>
              </w:rPr>
              <w:t>30,500</w:t>
            </w:r>
            <w:r w:rsidR="00D2286C" w:rsidRPr="005E1CFA">
              <w:rPr>
                <w:rFonts w:ascii="Times New Roman" w:hAnsi="Times New Roman" w:cs="Times New Roman"/>
                <w:color w:val="auto"/>
                <w:sz w:val="18"/>
                <w:szCs w:val="18"/>
                <w:lang w:val="en-GB"/>
              </w:rPr>
              <w:t xml:space="preserve"> (66% female) </w:t>
            </w:r>
          </w:p>
          <w:p w14:paraId="13585FF0" w14:textId="2B599E6F" w:rsidR="00DB380F" w:rsidRPr="005E1CFA" w:rsidRDefault="00DB380F" w:rsidP="002249DD">
            <w:pPr>
              <w:pStyle w:val="Default"/>
              <w:rPr>
                <w:rFonts w:ascii="Times New Roman" w:hAnsi="Times New Roman" w:cs="Times New Roman"/>
                <w:iCs/>
                <w:color w:val="auto"/>
                <w:sz w:val="18"/>
                <w:szCs w:val="18"/>
                <w:lang w:val="en-GB"/>
              </w:rPr>
            </w:pPr>
            <w:r w:rsidRPr="005E1CFA">
              <w:rPr>
                <w:rFonts w:ascii="Times New Roman" w:hAnsi="Times New Roman" w:cs="Times New Roman"/>
                <w:b/>
                <w:iCs/>
                <w:color w:val="auto"/>
                <w:sz w:val="18"/>
                <w:szCs w:val="18"/>
                <w:lang w:val="en-GB"/>
              </w:rPr>
              <w:t xml:space="preserve">Data source: </w:t>
            </w:r>
            <w:r w:rsidRPr="005E1CFA">
              <w:rPr>
                <w:rFonts w:ascii="Times New Roman" w:hAnsi="Times New Roman" w:cs="Times New Roman"/>
                <w:iCs/>
                <w:color w:val="auto"/>
                <w:sz w:val="18"/>
                <w:szCs w:val="18"/>
                <w:lang w:val="en-GB"/>
              </w:rPr>
              <w:t xml:space="preserve">Ministry of Health and </w:t>
            </w:r>
            <w:r w:rsidR="00E456EF" w:rsidRPr="005E1CFA">
              <w:rPr>
                <w:rFonts w:ascii="Times New Roman" w:hAnsi="Times New Roman" w:cs="Times New Roman"/>
                <w:iCs/>
                <w:color w:val="auto"/>
                <w:sz w:val="18"/>
                <w:szCs w:val="18"/>
                <w:lang w:val="en-GB"/>
              </w:rPr>
              <w:t>WHO</w:t>
            </w:r>
            <w:r w:rsidRPr="005E1CFA">
              <w:rPr>
                <w:rFonts w:ascii="Times New Roman" w:hAnsi="Times New Roman" w:cs="Times New Roman"/>
                <w:iCs/>
                <w:color w:val="auto"/>
                <w:sz w:val="18"/>
                <w:szCs w:val="18"/>
                <w:lang w:val="en-GB"/>
              </w:rPr>
              <w:t xml:space="preserve"> </w:t>
            </w:r>
          </w:p>
          <w:p w14:paraId="40653F7F" w14:textId="77777777" w:rsidR="00DB380F" w:rsidRPr="005E1CFA" w:rsidRDefault="00DB380F" w:rsidP="002249DD">
            <w:pPr>
              <w:autoSpaceDE w:val="0"/>
              <w:autoSpaceDN w:val="0"/>
              <w:adjustRightInd w:val="0"/>
              <w:rPr>
                <w:bCs/>
                <w:sz w:val="18"/>
                <w:szCs w:val="18"/>
                <w:lang w:val="en-GB"/>
              </w:rPr>
            </w:pPr>
          </w:p>
          <w:p w14:paraId="0741C5A7" w14:textId="072639B5" w:rsidR="00DB380F" w:rsidRPr="005E1CFA" w:rsidRDefault="00DB380F" w:rsidP="002249DD">
            <w:pPr>
              <w:rPr>
                <w:b/>
                <w:sz w:val="18"/>
                <w:szCs w:val="18"/>
                <w:lang w:val="en-GB"/>
              </w:rPr>
            </w:pPr>
            <w:r w:rsidRPr="005E1CFA">
              <w:rPr>
                <w:b/>
                <w:sz w:val="18"/>
                <w:szCs w:val="18"/>
                <w:lang w:val="en-GB"/>
              </w:rPr>
              <w:t xml:space="preserve">Indicator 2. </w:t>
            </w:r>
            <w:r w:rsidRPr="005E1CFA">
              <w:rPr>
                <w:sz w:val="18"/>
                <w:szCs w:val="18"/>
                <w:lang w:val="en-GB"/>
              </w:rPr>
              <w:t xml:space="preserve">Proportion of </w:t>
            </w:r>
            <w:r w:rsidR="00995F8D" w:rsidRPr="005E1CFA">
              <w:rPr>
                <w:sz w:val="18"/>
                <w:szCs w:val="18"/>
                <w:lang w:val="en-GB"/>
              </w:rPr>
              <w:t>t</w:t>
            </w:r>
            <w:r w:rsidRPr="005E1CFA">
              <w:rPr>
                <w:sz w:val="18"/>
                <w:szCs w:val="18"/>
                <w:lang w:val="en-GB"/>
              </w:rPr>
              <w:t xml:space="preserve">uberculosis patients </w:t>
            </w:r>
            <w:r w:rsidR="005D4E59" w:rsidRPr="005E1CFA">
              <w:rPr>
                <w:sz w:val="18"/>
                <w:szCs w:val="18"/>
                <w:lang w:val="en-GB"/>
              </w:rPr>
              <w:t>and suspects undergoing provider-</w:t>
            </w:r>
            <w:r w:rsidRPr="005E1CFA">
              <w:rPr>
                <w:sz w:val="18"/>
                <w:szCs w:val="18"/>
                <w:lang w:val="en-GB"/>
              </w:rPr>
              <w:t xml:space="preserve">initiated HIV </w:t>
            </w:r>
            <w:r w:rsidR="005E1CFA" w:rsidRPr="005E1CFA">
              <w:rPr>
                <w:sz w:val="18"/>
                <w:szCs w:val="18"/>
                <w:lang w:val="en-GB"/>
              </w:rPr>
              <w:t>counselling</w:t>
            </w:r>
            <w:r w:rsidRPr="005E1CFA">
              <w:rPr>
                <w:sz w:val="18"/>
                <w:szCs w:val="18"/>
                <w:lang w:val="en-GB"/>
              </w:rPr>
              <w:t xml:space="preserve"> and testing</w:t>
            </w:r>
            <w:r w:rsidRPr="005E1CFA">
              <w:rPr>
                <w:b/>
                <w:sz w:val="18"/>
                <w:szCs w:val="18"/>
                <w:lang w:val="en-GB"/>
              </w:rPr>
              <w:t xml:space="preserve"> </w:t>
            </w:r>
          </w:p>
          <w:p w14:paraId="01485B55" w14:textId="77777777" w:rsidR="00DB380F" w:rsidRPr="005E1CFA" w:rsidRDefault="00DB380F"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Baseline</w:t>
            </w:r>
            <w:r w:rsidR="005D4E59" w:rsidRPr="005E1CFA">
              <w:rPr>
                <w:rFonts w:ascii="Times New Roman" w:hAnsi="Times New Roman" w:cs="Times New Roman"/>
                <w:b/>
                <w:color w:val="auto"/>
                <w:sz w:val="18"/>
                <w:szCs w:val="18"/>
                <w:lang w:val="en-GB"/>
              </w:rPr>
              <w:t>:</w:t>
            </w:r>
            <w:r w:rsidR="005D4E59" w:rsidRPr="005E1CFA">
              <w:rPr>
                <w:rFonts w:ascii="Times New Roman" w:hAnsi="Times New Roman" w:cs="Times New Roman"/>
                <w:color w:val="auto"/>
                <w:sz w:val="18"/>
                <w:szCs w:val="18"/>
                <w:lang w:val="en-GB"/>
              </w:rPr>
              <w:t xml:space="preserve"> </w:t>
            </w:r>
            <w:r w:rsidRPr="005E1CFA">
              <w:rPr>
                <w:rFonts w:ascii="Times New Roman" w:hAnsi="Times New Roman" w:cs="Times New Roman"/>
                <w:color w:val="auto"/>
                <w:sz w:val="18"/>
                <w:szCs w:val="18"/>
                <w:lang w:val="en-GB"/>
              </w:rPr>
              <w:t>64%</w:t>
            </w:r>
          </w:p>
          <w:p w14:paraId="4FE4802E" w14:textId="77777777" w:rsidR="00DB380F" w:rsidRPr="005E1CFA" w:rsidRDefault="00DB380F"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Target:</w:t>
            </w:r>
            <w:r w:rsidR="005D4E59" w:rsidRPr="005E1CFA">
              <w:rPr>
                <w:rFonts w:ascii="Times New Roman" w:hAnsi="Times New Roman" w:cs="Times New Roman"/>
                <w:color w:val="auto"/>
                <w:sz w:val="18"/>
                <w:szCs w:val="18"/>
                <w:lang w:val="en-GB"/>
              </w:rPr>
              <w:t xml:space="preserve"> </w:t>
            </w:r>
            <w:r w:rsidRPr="005E1CFA">
              <w:rPr>
                <w:rFonts w:ascii="Times New Roman" w:hAnsi="Times New Roman" w:cs="Times New Roman"/>
                <w:color w:val="auto"/>
                <w:sz w:val="18"/>
                <w:szCs w:val="18"/>
                <w:lang w:val="en-GB"/>
              </w:rPr>
              <w:t xml:space="preserve"> 90%</w:t>
            </w:r>
          </w:p>
          <w:p w14:paraId="0C163650" w14:textId="2DAF2314" w:rsidR="00DB380F" w:rsidRPr="005E1CFA" w:rsidRDefault="00DB380F" w:rsidP="002249DD">
            <w:pPr>
              <w:pStyle w:val="Default"/>
              <w:rPr>
                <w:rFonts w:ascii="Times New Roman" w:hAnsi="Times New Roman" w:cs="Times New Roman"/>
                <w:iCs/>
                <w:color w:val="auto"/>
                <w:sz w:val="18"/>
                <w:szCs w:val="18"/>
                <w:lang w:val="en-GB"/>
              </w:rPr>
            </w:pPr>
            <w:r w:rsidRPr="005E1CFA">
              <w:rPr>
                <w:rFonts w:ascii="Times New Roman" w:hAnsi="Times New Roman" w:cs="Times New Roman"/>
                <w:b/>
                <w:iCs/>
                <w:color w:val="auto"/>
                <w:sz w:val="18"/>
                <w:szCs w:val="18"/>
                <w:lang w:val="en-GB"/>
              </w:rPr>
              <w:t>Data source</w:t>
            </w:r>
            <w:r w:rsidR="001B0A28" w:rsidRPr="005E1CFA">
              <w:rPr>
                <w:rFonts w:ascii="Times New Roman" w:hAnsi="Times New Roman" w:cs="Times New Roman"/>
                <w:b/>
                <w:iCs/>
                <w:color w:val="auto"/>
                <w:sz w:val="18"/>
                <w:szCs w:val="18"/>
                <w:lang w:val="en-GB"/>
              </w:rPr>
              <w:t>s</w:t>
            </w:r>
            <w:r w:rsidRPr="005E1CFA">
              <w:rPr>
                <w:rFonts w:ascii="Times New Roman" w:hAnsi="Times New Roman" w:cs="Times New Roman"/>
                <w:b/>
                <w:iCs/>
                <w:color w:val="auto"/>
                <w:sz w:val="18"/>
                <w:szCs w:val="18"/>
                <w:lang w:val="en-GB"/>
              </w:rPr>
              <w:t>:</w:t>
            </w:r>
            <w:r w:rsidRPr="005E1CFA">
              <w:rPr>
                <w:rFonts w:ascii="Times New Roman" w:hAnsi="Times New Roman" w:cs="Times New Roman"/>
                <w:iCs/>
                <w:color w:val="auto"/>
                <w:sz w:val="18"/>
                <w:szCs w:val="18"/>
                <w:lang w:val="en-GB"/>
              </w:rPr>
              <w:t xml:space="preserve"> Ministry of Health</w:t>
            </w:r>
            <w:r w:rsidR="001B0A28" w:rsidRPr="005E1CFA">
              <w:rPr>
                <w:rFonts w:ascii="Times New Roman" w:hAnsi="Times New Roman" w:cs="Times New Roman"/>
                <w:iCs/>
                <w:color w:val="auto"/>
                <w:sz w:val="18"/>
                <w:szCs w:val="18"/>
                <w:lang w:val="en-GB"/>
              </w:rPr>
              <w:t>,</w:t>
            </w:r>
            <w:r w:rsidRPr="005E1CFA">
              <w:rPr>
                <w:rFonts w:ascii="Times New Roman" w:hAnsi="Times New Roman" w:cs="Times New Roman"/>
                <w:iCs/>
                <w:color w:val="auto"/>
                <w:sz w:val="18"/>
                <w:szCs w:val="18"/>
                <w:lang w:val="en-GB"/>
              </w:rPr>
              <w:t xml:space="preserve"> </w:t>
            </w:r>
            <w:r w:rsidR="00E456EF" w:rsidRPr="005E1CFA">
              <w:rPr>
                <w:rFonts w:ascii="Times New Roman" w:hAnsi="Times New Roman" w:cs="Times New Roman"/>
                <w:iCs/>
                <w:color w:val="auto"/>
                <w:sz w:val="18"/>
                <w:szCs w:val="18"/>
                <w:lang w:val="en-GB"/>
              </w:rPr>
              <w:t>WHO</w:t>
            </w:r>
          </w:p>
          <w:p w14:paraId="4B2E5296" w14:textId="77777777" w:rsidR="00DB380F" w:rsidRPr="005E1CFA" w:rsidRDefault="00DB380F" w:rsidP="002249DD">
            <w:pPr>
              <w:rPr>
                <w:iCs/>
                <w:sz w:val="18"/>
                <w:szCs w:val="18"/>
                <w:lang w:val="en-GB"/>
              </w:rPr>
            </w:pPr>
          </w:p>
        </w:tc>
        <w:tc>
          <w:tcPr>
            <w:tcW w:w="666" w:type="pct"/>
          </w:tcPr>
          <w:p w14:paraId="4B230ED2" w14:textId="77777777" w:rsidR="00DB380F" w:rsidRPr="005E1CFA" w:rsidRDefault="00DB380F" w:rsidP="002249DD">
            <w:pPr>
              <w:contextualSpacing/>
              <w:rPr>
                <w:rFonts w:eastAsiaTheme="minorHAnsi"/>
                <w:sz w:val="18"/>
                <w:szCs w:val="18"/>
                <w:lang w:val="en-GB"/>
              </w:rPr>
            </w:pPr>
            <w:r w:rsidRPr="005E1CFA">
              <w:rPr>
                <w:sz w:val="18"/>
                <w:szCs w:val="18"/>
                <w:lang w:val="en-GB"/>
              </w:rPr>
              <w:t xml:space="preserve">Ministry of Health </w:t>
            </w:r>
          </w:p>
          <w:p w14:paraId="1AFC6F53" w14:textId="77777777" w:rsidR="00DB380F" w:rsidRPr="005E1CFA" w:rsidRDefault="00DB380F" w:rsidP="002249DD">
            <w:pPr>
              <w:contextualSpacing/>
              <w:rPr>
                <w:sz w:val="18"/>
                <w:szCs w:val="18"/>
                <w:lang w:val="en-GB"/>
              </w:rPr>
            </w:pPr>
            <w:r w:rsidRPr="005E1CFA">
              <w:rPr>
                <w:sz w:val="18"/>
                <w:szCs w:val="18"/>
                <w:lang w:val="en-GB"/>
              </w:rPr>
              <w:t xml:space="preserve">South Sudan </w:t>
            </w:r>
          </w:p>
          <w:p w14:paraId="61477F3E" w14:textId="77777777" w:rsidR="00DB380F" w:rsidRPr="005E1CFA" w:rsidRDefault="00DB380F" w:rsidP="002249DD">
            <w:pPr>
              <w:contextualSpacing/>
              <w:rPr>
                <w:sz w:val="18"/>
                <w:szCs w:val="18"/>
                <w:lang w:val="en-GB"/>
              </w:rPr>
            </w:pPr>
          </w:p>
          <w:p w14:paraId="0EE9614A" w14:textId="77777777" w:rsidR="00DB380F" w:rsidRPr="005E1CFA" w:rsidRDefault="00DB380F" w:rsidP="002249DD">
            <w:pPr>
              <w:contextualSpacing/>
              <w:rPr>
                <w:sz w:val="18"/>
                <w:szCs w:val="18"/>
                <w:lang w:val="en-GB"/>
              </w:rPr>
            </w:pPr>
            <w:r w:rsidRPr="005E1CFA">
              <w:rPr>
                <w:sz w:val="18"/>
                <w:szCs w:val="18"/>
                <w:lang w:val="en-GB"/>
              </w:rPr>
              <w:t>HIV/AIDS Commission</w:t>
            </w:r>
          </w:p>
          <w:p w14:paraId="2A461FB6" w14:textId="77777777" w:rsidR="00DB380F" w:rsidRPr="005E1CFA" w:rsidRDefault="00DB380F" w:rsidP="002249DD">
            <w:pPr>
              <w:contextualSpacing/>
              <w:rPr>
                <w:sz w:val="18"/>
                <w:szCs w:val="18"/>
                <w:lang w:val="en-GB"/>
              </w:rPr>
            </w:pPr>
          </w:p>
          <w:p w14:paraId="5F3B5C10" w14:textId="32E173EF" w:rsidR="00DB380F" w:rsidRPr="005E1CFA" w:rsidRDefault="00E456EF" w:rsidP="002249DD">
            <w:pPr>
              <w:contextualSpacing/>
              <w:rPr>
                <w:sz w:val="18"/>
                <w:szCs w:val="18"/>
                <w:lang w:val="en-GB"/>
              </w:rPr>
            </w:pPr>
            <w:r w:rsidRPr="005E1CFA">
              <w:rPr>
                <w:sz w:val="18"/>
                <w:szCs w:val="18"/>
                <w:lang w:val="en-GB"/>
              </w:rPr>
              <w:t xml:space="preserve">United Nations Children’s Fund </w:t>
            </w:r>
          </w:p>
          <w:p w14:paraId="0347AE94" w14:textId="77777777" w:rsidR="00DB380F" w:rsidRPr="005E1CFA" w:rsidRDefault="00DB380F" w:rsidP="002249DD">
            <w:pPr>
              <w:ind w:left="33"/>
              <w:contextualSpacing/>
              <w:rPr>
                <w:sz w:val="18"/>
                <w:szCs w:val="18"/>
                <w:lang w:val="en-GB"/>
              </w:rPr>
            </w:pPr>
          </w:p>
          <w:p w14:paraId="7001124B" w14:textId="77777777" w:rsidR="00DB380F" w:rsidRPr="005E1CFA" w:rsidRDefault="00DB380F" w:rsidP="002249DD">
            <w:pPr>
              <w:ind w:left="33"/>
              <w:contextualSpacing/>
              <w:rPr>
                <w:sz w:val="18"/>
                <w:szCs w:val="18"/>
                <w:lang w:val="en-GB"/>
              </w:rPr>
            </w:pPr>
            <w:r w:rsidRPr="005E1CFA">
              <w:rPr>
                <w:sz w:val="18"/>
                <w:szCs w:val="18"/>
                <w:lang w:val="en-GB"/>
              </w:rPr>
              <w:t>WHO</w:t>
            </w:r>
          </w:p>
          <w:p w14:paraId="46EB5840" w14:textId="77777777" w:rsidR="00E456EF" w:rsidRPr="005E1CFA" w:rsidRDefault="00E456EF" w:rsidP="002249DD">
            <w:pPr>
              <w:rPr>
                <w:iCs/>
                <w:sz w:val="18"/>
                <w:szCs w:val="18"/>
                <w:lang w:val="en-GB"/>
              </w:rPr>
            </w:pPr>
          </w:p>
          <w:p w14:paraId="7427BFBB" w14:textId="0E295E1C" w:rsidR="00B71ABA" w:rsidRPr="005E1CFA" w:rsidRDefault="00B71ABA" w:rsidP="002249DD">
            <w:pPr>
              <w:rPr>
                <w:iCs/>
                <w:sz w:val="18"/>
                <w:szCs w:val="18"/>
                <w:lang w:val="en-GB"/>
              </w:rPr>
            </w:pPr>
            <w:r w:rsidRPr="005E1CFA">
              <w:rPr>
                <w:i/>
                <w:iCs/>
                <w:sz w:val="18"/>
                <w:szCs w:val="18"/>
                <w:lang w:val="en-GB"/>
              </w:rPr>
              <w:t>Donor:</w:t>
            </w:r>
            <w:r w:rsidRPr="005E1CFA">
              <w:rPr>
                <w:iCs/>
                <w:sz w:val="18"/>
                <w:szCs w:val="18"/>
                <w:lang w:val="en-GB"/>
              </w:rPr>
              <w:t xml:space="preserve"> Global Fund for HIV/AIDS, </w:t>
            </w:r>
            <w:r w:rsidR="00E456EF" w:rsidRPr="005E1CFA">
              <w:rPr>
                <w:iCs/>
                <w:sz w:val="18"/>
                <w:szCs w:val="18"/>
                <w:lang w:val="en-GB"/>
              </w:rPr>
              <w:t>T</w:t>
            </w:r>
            <w:r w:rsidR="00995F8D" w:rsidRPr="005E1CFA">
              <w:rPr>
                <w:iCs/>
                <w:sz w:val="18"/>
                <w:szCs w:val="18"/>
                <w:lang w:val="en-GB"/>
              </w:rPr>
              <w:t>uberculosis</w:t>
            </w:r>
            <w:r w:rsidRPr="005E1CFA">
              <w:rPr>
                <w:iCs/>
                <w:sz w:val="18"/>
                <w:szCs w:val="18"/>
                <w:lang w:val="en-GB"/>
              </w:rPr>
              <w:t xml:space="preserve"> and Malaria </w:t>
            </w:r>
          </w:p>
        </w:tc>
        <w:tc>
          <w:tcPr>
            <w:tcW w:w="649" w:type="pct"/>
          </w:tcPr>
          <w:p w14:paraId="33F35CD9" w14:textId="77777777" w:rsidR="00DB380F" w:rsidRPr="005E1CFA" w:rsidRDefault="00DB380F" w:rsidP="002249DD">
            <w:pPr>
              <w:rPr>
                <w:b/>
                <w:sz w:val="18"/>
                <w:szCs w:val="18"/>
                <w:lang w:val="en-GB"/>
              </w:rPr>
            </w:pPr>
            <w:r w:rsidRPr="005E1CFA">
              <w:rPr>
                <w:b/>
                <w:sz w:val="18"/>
                <w:szCs w:val="18"/>
                <w:lang w:val="en-GB"/>
              </w:rPr>
              <w:t>Regular: 0</w:t>
            </w:r>
          </w:p>
          <w:p w14:paraId="4F94FA28" w14:textId="640C1A2F" w:rsidR="00DB380F" w:rsidRPr="005E1CFA" w:rsidRDefault="00DB380F" w:rsidP="002249DD">
            <w:pPr>
              <w:rPr>
                <w:b/>
                <w:sz w:val="18"/>
                <w:szCs w:val="18"/>
                <w:lang w:val="en-GB"/>
              </w:rPr>
            </w:pPr>
            <w:r w:rsidRPr="005E1CFA">
              <w:rPr>
                <w:b/>
                <w:sz w:val="18"/>
                <w:szCs w:val="18"/>
                <w:lang w:val="en-GB"/>
              </w:rPr>
              <w:t>Other: 55,900</w:t>
            </w:r>
          </w:p>
          <w:p w14:paraId="214DA9EC" w14:textId="77777777" w:rsidR="00DB380F" w:rsidRPr="005E1CFA" w:rsidRDefault="00DB380F" w:rsidP="002249DD">
            <w:pPr>
              <w:rPr>
                <w:b/>
                <w:sz w:val="18"/>
                <w:szCs w:val="18"/>
                <w:lang w:val="en-GB"/>
              </w:rPr>
            </w:pPr>
          </w:p>
          <w:p w14:paraId="34D1F91F" w14:textId="77777777" w:rsidR="00DB380F" w:rsidRPr="005E1CFA" w:rsidRDefault="00DB380F" w:rsidP="002249DD">
            <w:pPr>
              <w:rPr>
                <w:b/>
                <w:sz w:val="18"/>
                <w:szCs w:val="18"/>
                <w:lang w:val="en-GB"/>
              </w:rPr>
            </w:pPr>
          </w:p>
        </w:tc>
      </w:tr>
      <w:tr w:rsidR="00DB380F" w:rsidRPr="005E1CFA" w14:paraId="748CE196" w14:textId="77777777" w:rsidTr="005003E4">
        <w:trPr>
          <w:trHeight w:val="25"/>
        </w:trPr>
        <w:tc>
          <w:tcPr>
            <w:tcW w:w="5000" w:type="pct"/>
            <w:gridSpan w:val="5"/>
          </w:tcPr>
          <w:p w14:paraId="4BE3930B" w14:textId="1166671C" w:rsidR="00DB380F" w:rsidRPr="005E1CFA" w:rsidRDefault="00E456EF" w:rsidP="002249DD">
            <w:pPr>
              <w:rPr>
                <w:sz w:val="18"/>
                <w:szCs w:val="18"/>
                <w:lang w:val="en-GB"/>
              </w:rPr>
            </w:pPr>
            <w:r w:rsidRPr="005E1CFA">
              <w:rPr>
                <w:b/>
                <w:bCs/>
                <w:sz w:val="18"/>
                <w:szCs w:val="18"/>
                <w:lang w:val="en-GB"/>
              </w:rPr>
              <w:t xml:space="preserve">National priority or goal. </w:t>
            </w:r>
            <w:r w:rsidRPr="005E1CFA">
              <w:rPr>
                <w:bCs/>
                <w:i/>
                <w:sz w:val="18"/>
                <w:szCs w:val="18"/>
                <w:lang w:val="en-GB"/>
              </w:rPr>
              <w:t>Note:</w:t>
            </w:r>
            <w:r w:rsidRPr="005E1CFA">
              <w:rPr>
                <w:bCs/>
                <w:sz w:val="18"/>
                <w:szCs w:val="18"/>
                <w:lang w:val="en-GB"/>
              </w:rPr>
              <w:t xml:space="preserve"> There is no national development plan beyond June 2016</w:t>
            </w:r>
          </w:p>
        </w:tc>
      </w:tr>
    </w:tbl>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7"/>
        <w:gridCol w:w="2265"/>
        <w:gridCol w:w="5921"/>
        <w:gridCol w:w="2049"/>
        <w:gridCol w:w="1900"/>
      </w:tblGrid>
      <w:tr w:rsidR="00DB380F" w:rsidRPr="005E1CFA" w14:paraId="1F4AD48E" w14:textId="77777777" w:rsidTr="008D05D9">
        <w:trPr>
          <w:trHeight w:val="350"/>
        </w:trPr>
        <w:tc>
          <w:tcPr>
            <w:tcW w:w="5000" w:type="pct"/>
            <w:gridSpan w:val="5"/>
          </w:tcPr>
          <w:p w14:paraId="5BB73A77" w14:textId="08C9824D" w:rsidR="00DB380F" w:rsidRPr="005E1CFA" w:rsidRDefault="00DB380F" w:rsidP="002249DD">
            <w:pPr>
              <w:rPr>
                <w:b/>
                <w:sz w:val="18"/>
                <w:szCs w:val="18"/>
                <w:lang w:val="en-GB"/>
              </w:rPr>
            </w:pPr>
            <w:r w:rsidRPr="005E1CFA">
              <w:rPr>
                <w:b/>
                <w:bCs/>
                <w:sz w:val="18"/>
                <w:szCs w:val="18"/>
                <w:lang w:val="en-GB"/>
              </w:rPr>
              <w:t xml:space="preserve">ICF </w:t>
            </w:r>
            <w:r w:rsidR="00E456EF" w:rsidRPr="005E1CFA">
              <w:rPr>
                <w:b/>
                <w:bCs/>
                <w:sz w:val="18"/>
                <w:szCs w:val="18"/>
                <w:lang w:val="en-GB"/>
              </w:rPr>
              <w:t xml:space="preserve">outcome involving </w:t>
            </w:r>
            <w:r w:rsidRPr="005E1CFA">
              <w:rPr>
                <w:b/>
                <w:bCs/>
                <w:sz w:val="18"/>
                <w:szCs w:val="18"/>
                <w:lang w:val="en-GB"/>
              </w:rPr>
              <w:t xml:space="preserve">UNDP </w:t>
            </w:r>
            <w:r w:rsidR="00E456EF" w:rsidRPr="005E1CFA">
              <w:rPr>
                <w:b/>
                <w:bCs/>
                <w:sz w:val="18"/>
                <w:szCs w:val="18"/>
                <w:lang w:val="en-GB"/>
              </w:rPr>
              <w:t xml:space="preserve">No. </w:t>
            </w:r>
            <w:r w:rsidRPr="005E1CFA">
              <w:rPr>
                <w:b/>
                <w:bCs/>
                <w:sz w:val="18"/>
                <w:szCs w:val="18"/>
                <w:lang w:val="en-GB"/>
              </w:rPr>
              <w:t>2</w:t>
            </w:r>
            <w:r w:rsidR="00E456EF" w:rsidRPr="005E1CFA">
              <w:rPr>
                <w:b/>
                <w:bCs/>
                <w:sz w:val="18"/>
                <w:szCs w:val="18"/>
                <w:lang w:val="en-GB"/>
              </w:rPr>
              <w:t>.</w:t>
            </w:r>
            <w:r w:rsidRPr="005E1CFA">
              <w:rPr>
                <w:sz w:val="18"/>
                <w:szCs w:val="18"/>
                <w:lang w:val="en-GB"/>
              </w:rPr>
              <w:t xml:space="preserve"> </w:t>
            </w:r>
            <w:r w:rsidRPr="005E1CFA">
              <w:rPr>
                <w:rFonts w:eastAsiaTheme="minorHAnsi"/>
                <w:b/>
                <w:sz w:val="18"/>
                <w:szCs w:val="18"/>
                <w:lang w:val="en-GB"/>
              </w:rPr>
              <w:t xml:space="preserve">Local </w:t>
            </w:r>
            <w:r w:rsidR="00E456EF" w:rsidRPr="005E1CFA">
              <w:rPr>
                <w:rFonts w:eastAsiaTheme="minorHAnsi"/>
                <w:b/>
                <w:sz w:val="18"/>
                <w:szCs w:val="18"/>
                <w:lang w:val="en-GB"/>
              </w:rPr>
              <w:t>e</w:t>
            </w:r>
            <w:r w:rsidRPr="005E1CFA">
              <w:rPr>
                <w:rFonts w:eastAsiaTheme="minorHAnsi"/>
                <w:b/>
                <w:sz w:val="18"/>
                <w:szCs w:val="18"/>
                <w:lang w:val="en-GB"/>
              </w:rPr>
              <w:t xml:space="preserve">conomy </w:t>
            </w:r>
            <w:r w:rsidR="00E456EF" w:rsidRPr="005E1CFA">
              <w:rPr>
                <w:rFonts w:eastAsiaTheme="minorHAnsi"/>
                <w:b/>
                <w:sz w:val="18"/>
                <w:szCs w:val="18"/>
                <w:lang w:val="en-GB"/>
              </w:rPr>
              <w:t>r</w:t>
            </w:r>
            <w:r w:rsidRPr="005E1CFA">
              <w:rPr>
                <w:rFonts w:eastAsiaTheme="minorHAnsi"/>
                <w:b/>
                <w:sz w:val="18"/>
                <w:szCs w:val="18"/>
                <w:lang w:val="en-GB"/>
              </w:rPr>
              <w:t>einvigorated</w:t>
            </w:r>
          </w:p>
        </w:tc>
      </w:tr>
      <w:tr w:rsidR="00DB380F" w:rsidRPr="005E1CFA" w14:paraId="7E01F993" w14:textId="77777777" w:rsidTr="008D05D9">
        <w:trPr>
          <w:trHeight w:val="341"/>
        </w:trPr>
        <w:tc>
          <w:tcPr>
            <w:tcW w:w="5000" w:type="pct"/>
            <w:gridSpan w:val="5"/>
          </w:tcPr>
          <w:p w14:paraId="14C8FF97" w14:textId="359869BD" w:rsidR="00DB380F" w:rsidRPr="005E1CFA" w:rsidRDefault="00E456EF" w:rsidP="002249DD">
            <w:pPr>
              <w:rPr>
                <w:b/>
                <w:sz w:val="18"/>
                <w:szCs w:val="18"/>
                <w:lang w:val="en-GB"/>
              </w:rPr>
            </w:pPr>
            <w:r w:rsidRPr="005E1CFA">
              <w:rPr>
                <w:b/>
                <w:bCs/>
                <w:sz w:val="18"/>
                <w:szCs w:val="18"/>
                <w:lang w:val="en-GB"/>
              </w:rPr>
              <w:t xml:space="preserve">Related strategic plan outcome </w:t>
            </w:r>
            <w:r w:rsidR="00DB380F" w:rsidRPr="005E1CFA">
              <w:rPr>
                <w:b/>
                <w:bCs/>
                <w:sz w:val="18"/>
                <w:szCs w:val="18"/>
                <w:lang w:val="en-GB"/>
              </w:rPr>
              <w:t>5</w:t>
            </w:r>
            <w:r w:rsidRPr="005E1CFA">
              <w:rPr>
                <w:b/>
                <w:bCs/>
                <w:sz w:val="18"/>
                <w:szCs w:val="18"/>
                <w:lang w:val="en-GB"/>
              </w:rPr>
              <w:t>.</w:t>
            </w:r>
            <w:r w:rsidR="00DB380F" w:rsidRPr="005E1CFA">
              <w:rPr>
                <w:rFonts w:eastAsia="Calibri"/>
                <w:sz w:val="18"/>
                <w:szCs w:val="18"/>
                <w:lang w:val="en-GB"/>
              </w:rPr>
              <w:t xml:space="preserve"> </w:t>
            </w:r>
            <w:r w:rsidR="00DB380F" w:rsidRPr="005E1CFA">
              <w:rPr>
                <w:b/>
                <w:bCs/>
                <w:sz w:val="18"/>
                <w:szCs w:val="18"/>
                <w:lang w:val="en-GB"/>
              </w:rPr>
              <w:t xml:space="preserve">Growth and development are inclusive and sustainable, incorporating productive capacities that create employment and livelihoods for the poor and excluded </w:t>
            </w:r>
          </w:p>
        </w:tc>
      </w:tr>
      <w:tr w:rsidR="000E60D6" w:rsidRPr="005E1CFA" w14:paraId="48AA11D8" w14:textId="77777777" w:rsidTr="008D05D9">
        <w:trPr>
          <w:trHeight w:val="64"/>
        </w:trPr>
        <w:tc>
          <w:tcPr>
            <w:tcW w:w="848" w:type="pct"/>
          </w:tcPr>
          <w:p w14:paraId="525F2D69" w14:textId="331D401E" w:rsidR="00E456EF" w:rsidRPr="005E1CFA" w:rsidRDefault="00DB380F" w:rsidP="002249DD">
            <w:pPr>
              <w:tabs>
                <w:tab w:val="left" w:pos="1620"/>
              </w:tabs>
              <w:rPr>
                <w:bCs/>
                <w:iCs/>
                <w:sz w:val="18"/>
                <w:szCs w:val="18"/>
                <w:lang w:val="en-GB"/>
              </w:rPr>
            </w:pPr>
            <w:r w:rsidRPr="005E1CFA">
              <w:rPr>
                <w:b/>
                <w:bCs/>
                <w:iCs/>
                <w:sz w:val="18"/>
                <w:szCs w:val="18"/>
                <w:lang w:val="en-GB"/>
              </w:rPr>
              <w:t>Indicator 3.1</w:t>
            </w:r>
            <w:r w:rsidRPr="005E1CFA">
              <w:rPr>
                <w:bCs/>
                <w:iCs/>
                <w:sz w:val="18"/>
                <w:szCs w:val="18"/>
                <w:lang w:val="en-GB"/>
              </w:rPr>
              <w:t xml:space="preserve"> </w:t>
            </w:r>
          </w:p>
          <w:p w14:paraId="21178772" w14:textId="04318B2E" w:rsidR="00DB380F" w:rsidRPr="005E1CFA" w:rsidRDefault="00DB380F" w:rsidP="002249DD">
            <w:pPr>
              <w:tabs>
                <w:tab w:val="left" w:pos="1620"/>
              </w:tabs>
              <w:rPr>
                <w:sz w:val="18"/>
                <w:szCs w:val="18"/>
                <w:lang w:val="en-GB"/>
              </w:rPr>
            </w:pPr>
            <w:r w:rsidRPr="005E1CFA">
              <w:rPr>
                <w:sz w:val="18"/>
                <w:szCs w:val="18"/>
                <w:lang w:val="en-GB"/>
              </w:rPr>
              <w:t>Number of value</w:t>
            </w:r>
            <w:r w:rsidR="00E456EF" w:rsidRPr="005E1CFA">
              <w:rPr>
                <w:sz w:val="18"/>
                <w:szCs w:val="18"/>
                <w:lang w:val="en-GB"/>
              </w:rPr>
              <w:t>-</w:t>
            </w:r>
            <w:r w:rsidRPr="005E1CFA">
              <w:rPr>
                <w:sz w:val="18"/>
                <w:szCs w:val="18"/>
                <w:lang w:val="en-GB"/>
              </w:rPr>
              <w:t xml:space="preserve">chain enabling strategies in agricultural and allied sectors </w:t>
            </w:r>
          </w:p>
          <w:p w14:paraId="1EB3D9E3" w14:textId="77777777" w:rsidR="00DB380F" w:rsidRPr="005E1CFA" w:rsidRDefault="00DB380F" w:rsidP="002249DD">
            <w:pPr>
              <w:tabs>
                <w:tab w:val="left" w:pos="1620"/>
              </w:tabs>
              <w:rPr>
                <w:sz w:val="18"/>
                <w:szCs w:val="18"/>
                <w:lang w:val="en-GB"/>
              </w:rPr>
            </w:pPr>
          </w:p>
          <w:p w14:paraId="74BA9927" w14:textId="77777777" w:rsidR="00DB380F" w:rsidRPr="005E1CFA" w:rsidRDefault="003D6FBA" w:rsidP="002249DD">
            <w:pPr>
              <w:pStyle w:val="Default"/>
              <w:rPr>
                <w:rFonts w:ascii="Times New Roman" w:hAnsi="Times New Roman" w:cs="Times New Roman"/>
                <w:color w:val="auto"/>
                <w:sz w:val="18"/>
                <w:szCs w:val="18"/>
                <w:lang w:val="en-GB"/>
              </w:rPr>
            </w:pPr>
            <w:r w:rsidRPr="005E1CFA">
              <w:rPr>
                <w:rFonts w:ascii="Times New Roman" w:hAnsi="Times New Roman" w:cs="Times New Roman"/>
                <w:i/>
                <w:color w:val="auto"/>
                <w:sz w:val="18"/>
                <w:szCs w:val="18"/>
                <w:lang w:val="en-GB"/>
              </w:rPr>
              <w:t>Baseline:</w:t>
            </w:r>
            <w:r w:rsidR="00DB380F" w:rsidRPr="005E1CFA">
              <w:rPr>
                <w:rFonts w:ascii="Times New Roman" w:hAnsi="Times New Roman" w:cs="Times New Roman"/>
                <w:color w:val="auto"/>
                <w:sz w:val="18"/>
                <w:szCs w:val="18"/>
                <w:lang w:val="en-GB"/>
              </w:rPr>
              <w:t xml:space="preserve"> 2 </w:t>
            </w:r>
          </w:p>
          <w:p w14:paraId="35925625" w14:textId="77777777" w:rsidR="00DB380F" w:rsidRPr="005E1CFA" w:rsidRDefault="003D6FBA" w:rsidP="002249DD">
            <w:pPr>
              <w:pStyle w:val="Default"/>
              <w:rPr>
                <w:rFonts w:ascii="Times New Roman" w:hAnsi="Times New Roman" w:cs="Times New Roman"/>
                <w:color w:val="auto"/>
                <w:sz w:val="18"/>
                <w:szCs w:val="18"/>
                <w:lang w:val="en-GB"/>
              </w:rPr>
            </w:pPr>
            <w:r w:rsidRPr="005E1CFA">
              <w:rPr>
                <w:rFonts w:ascii="Times New Roman" w:hAnsi="Times New Roman" w:cs="Times New Roman"/>
                <w:i/>
                <w:color w:val="auto"/>
                <w:sz w:val="18"/>
                <w:szCs w:val="18"/>
                <w:lang w:val="en-GB"/>
              </w:rPr>
              <w:t>Target:</w:t>
            </w:r>
            <w:r w:rsidR="00DB380F" w:rsidRPr="005E1CFA">
              <w:rPr>
                <w:rFonts w:ascii="Times New Roman" w:hAnsi="Times New Roman" w:cs="Times New Roman"/>
                <w:color w:val="auto"/>
                <w:sz w:val="18"/>
                <w:szCs w:val="18"/>
                <w:lang w:val="en-GB"/>
              </w:rPr>
              <w:t xml:space="preserve"> 6</w:t>
            </w:r>
          </w:p>
          <w:p w14:paraId="49FF8F59" w14:textId="77777777" w:rsidR="00DB380F" w:rsidRPr="005E1CFA" w:rsidRDefault="00DB380F" w:rsidP="002249DD">
            <w:pPr>
              <w:tabs>
                <w:tab w:val="left" w:pos="1620"/>
              </w:tabs>
              <w:rPr>
                <w:bCs/>
                <w:iCs/>
                <w:sz w:val="18"/>
                <w:szCs w:val="18"/>
                <w:lang w:val="en-GB"/>
              </w:rPr>
            </w:pPr>
          </w:p>
          <w:p w14:paraId="3761757E" w14:textId="77777777" w:rsidR="00E456EF" w:rsidRPr="005E1CFA" w:rsidRDefault="00DB380F" w:rsidP="002249DD">
            <w:pPr>
              <w:tabs>
                <w:tab w:val="left" w:pos="1620"/>
              </w:tabs>
              <w:rPr>
                <w:b/>
                <w:bCs/>
                <w:iCs/>
                <w:sz w:val="18"/>
                <w:szCs w:val="18"/>
                <w:lang w:val="en-GB"/>
              </w:rPr>
            </w:pPr>
            <w:r w:rsidRPr="005E1CFA">
              <w:rPr>
                <w:b/>
                <w:bCs/>
                <w:iCs/>
                <w:sz w:val="18"/>
                <w:szCs w:val="18"/>
                <w:lang w:val="en-GB"/>
              </w:rPr>
              <w:t>Indicator 3.2</w:t>
            </w:r>
          </w:p>
          <w:p w14:paraId="6C2B353A" w14:textId="7BB513BD" w:rsidR="00DB380F" w:rsidRPr="005E1CFA" w:rsidRDefault="00DB380F" w:rsidP="002249DD">
            <w:pPr>
              <w:tabs>
                <w:tab w:val="left" w:pos="1620"/>
              </w:tabs>
              <w:rPr>
                <w:bCs/>
                <w:iCs/>
                <w:sz w:val="18"/>
                <w:szCs w:val="18"/>
                <w:lang w:val="en-GB"/>
              </w:rPr>
            </w:pPr>
            <w:r w:rsidRPr="005E1CFA">
              <w:rPr>
                <w:bCs/>
                <w:iCs/>
                <w:sz w:val="18"/>
                <w:szCs w:val="18"/>
                <w:lang w:val="en-GB"/>
              </w:rPr>
              <w:t xml:space="preserve">Number of registered cooperatives and micro small and medium size enterprises </w:t>
            </w:r>
          </w:p>
          <w:p w14:paraId="50A5E17D" w14:textId="77777777" w:rsidR="00DB380F" w:rsidRPr="005E1CFA" w:rsidRDefault="003D6FBA" w:rsidP="002249DD">
            <w:pPr>
              <w:tabs>
                <w:tab w:val="left" w:pos="1620"/>
              </w:tabs>
              <w:rPr>
                <w:bCs/>
                <w:iCs/>
                <w:sz w:val="18"/>
                <w:szCs w:val="18"/>
                <w:lang w:val="en-GB"/>
              </w:rPr>
            </w:pPr>
            <w:r w:rsidRPr="005E1CFA">
              <w:rPr>
                <w:bCs/>
                <w:i/>
                <w:iCs/>
                <w:sz w:val="18"/>
                <w:szCs w:val="18"/>
                <w:lang w:val="en-GB"/>
              </w:rPr>
              <w:t>Baseline:</w:t>
            </w:r>
            <w:r w:rsidRPr="005E1CFA">
              <w:rPr>
                <w:bCs/>
                <w:iCs/>
                <w:sz w:val="18"/>
                <w:szCs w:val="18"/>
                <w:lang w:val="en-GB"/>
              </w:rPr>
              <w:t xml:space="preserve"> </w:t>
            </w:r>
            <w:r w:rsidR="00DB380F" w:rsidRPr="005E1CFA">
              <w:rPr>
                <w:bCs/>
                <w:iCs/>
                <w:sz w:val="18"/>
                <w:szCs w:val="18"/>
                <w:lang w:val="en-GB"/>
              </w:rPr>
              <w:t xml:space="preserve"> 70</w:t>
            </w:r>
          </w:p>
          <w:p w14:paraId="06C85626" w14:textId="77777777" w:rsidR="00DB380F" w:rsidRPr="005E1CFA" w:rsidRDefault="003D6FBA" w:rsidP="002249DD">
            <w:pPr>
              <w:tabs>
                <w:tab w:val="left" w:pos="1620"/>
              </w:tabs>
              <w:rPr>
                <w:bCs/>
                <w:iCs/>
                <w:sz w:val="18"/>
                <w:szCs w:val="18"/>
                <w:lang w:val="en-GB"/>
              </w:rPr>
            </w:pPr>
            <w:r w:rsidRPr="005E1CFA">
              <w:rPr>
                <w:bCs/>
                <w:i/>
                <w:iCs/>
                <w:sz w:val="18"/>
                <w:szCs w:val="18"/>
                <w:lang w:val="en-GB"/>
              </w:rPr>
              <w:t>Target:</w:t>
            </w:r>
            <w:r w:rsidRPr="005E1CFA">
              <w:rPr>
                <w:bCs/>
                <w:iCs/>
                <w:sz w:val="18"/>
                <w:szCs w:val="18"/>
                <w:lang w:val="en-GB"/>
              </w:rPr>
              <w:t xml:space="preserve"> </w:t>
            </w:r>
            <w:r w:rsidR="00DB380F" w:rsidRPr="005E1CFA">
              <w:rPr>
                <w:bCs/>
                <w:iCs/>
                <w:sz w:val="18"/>
                <w:szCs w:val="18"/>
                <w:lang w:val="en-GB"/>
              </w:rPr>
              <w:t xml:space="preserve"> 130</w:t>
            </w:r>
          </w:p>
          <w:p w14:paraId="4E9DAC32" w14:textId="77777777" w:rsidR="00DB380F" w:rsidRPr="005E1CFA" w:rsidRDefault="00DB380F" w:rsidP="002249DD">
            <w:pPr>
              <w:rPr>
                <w:b/>
                <w:iCs/>
                <w:sz w:val="18"/>
                <w:szCs w:val="18"/>
                <w:lang w:val="en-GB"/>
              </w:rPr>
            </w:pPr>
          </w:p>
        </w:tc>
        <w:tc>
          <w:tcPr>
            <w:tcW w:w="775" w:type="pct"/>
          </w:tcPr>
          <w:p w14:paraId="1F0CC59A" w14:textId="6CC3240E" w:rsidR="005F3501" w:rsidRPr="005E1CFA" w:rsidRDefault="00DB380F" w:rsidP="002249DD">
            <w:pPr>
              <w:autoSpaceDE w:val="0"/>
              <w:autoSpaceDN w:val="0"/>
              <w:spacing w:after="60"/>
              <w:rPr>
                <w:rFonts w:eastAsia="Calibri"/>
                <w:sz w:val="18"/>
                <w:szCs w:val="18"/>
                <w:lang w:val="en-GB"/>
              </w:rPr>
            </w:pPr>
            <w:r w:rsidRPr="005E1CFA">
              <w:rPr>
                <w:rFonts w:eastAsia="Calibri"/>
                <w:sz w:val="18"/>
                <w:szCs w:val="18"/>
                <w:lang w:val="en-GB"/>
              </w:rPr>
              <w:t xml:space="preserve">Ministry of Agriculture, </w:t>
            </w:r>
            <w:r w:rsidR="00E456EF" w:rsidRPr="005E1CFA">
              <w:rPr>
                <w:rFonts w:eastAsia="Calibri"/>
                <w:sz w:val="18"/>
                <w:szCs w:val="18"/>
                <w:lang w:val="en-GB"/>
              </w:rPr>
              <w:t>F</w:t>
            </w:r>
            <w:r w:rsidRPr="005E1CFA">
              <w:rPr>
                <w:rFonts w:eastAsia="Calibri"/>
                <w:sz w:val="18"/>
                <w:szCs w:val="18"/>
                <w:lang w:val="en-GB"/>
              </w:rPr>
              <w:t>orestry, Cooperatives and Rural Development</w:t>
            </w:r>
          </w:p>
          <w:p w14:paraId="10ADB271" w14:textId="489CB9C8" w:rsidR="005F3501" w:rsidRPr="005E1CFA" w:rsidRDefault="00DB380F" w:rsidP="002249DD">
            <w:pPr>
              <w:autoSpaceDE w:val="0"/>
              <w:autoSpaceDN w:val="0"/>
              <w:spacing w:after="60"/>
              <w:rPr>
                <w:rFonts w:eastAsia="Calibri"/>
                <w:sz w:val="18"/>
                <w:szCs w:val="18"/>
                <w:lang w:val="en-GB"/>
              </w:rPr>
            </w:pPr>
            <w:r w:rsidRPr="005E1CFA">
              <w:rPr>
                <w:rFonts w:eastAsia="Calibri"/>
                <w:sz w:val="18"/>
                <w:szCs w:val="18"/>
                <w:lang w:val="en-GB"/>
              </w:rPr>
              <w:t>Ministry of Trade</w:t>
            </w:r>
            <w:r w:rsidR="00E456EF" w:rsidRPr="005E1CFA">
              <w:rPr>
                <w:rFonts w:eastAsia="Calibri"/>
                <w:sz w:val="18"/>
                <w:szCs w:val="18"/>
                <w:lang w:val="en-GB"/>
              </w:rPr>
              <w:t>,</w:t>
            </w:r>
            <w:r w:rsidRPr="005E1CFA">
              <w:rPr>
                <w:rFonts w:eastAsia="Calibri"/>
                <w:sz w:val="18"/>
                <w:szCs w:val="18"/>
                <w:lang w:val="en-GB"/>
              </w:rPr>
              <w:t xml:space="preserve"> Industry and Investment reports </w:t>
            </w:r>
          </w:p>
          <w:p w14:paraId="0147FFDA" w14:textId="3F9010C9" w:rsidR="005F3501" w:rsidRPr="005E1CFA" w:rsidRDefault="00DB380F" w:rsidP="002249DD">
            <w:pPr>
              <w:autoSpaceDE w:val="0"/>
              <w:autoSpaceDN w:val="0"/>
              <w:spacing w:after="60"/>
              <w:rPr>
                <w:rFonts w:eastAsia="Calibri"/>
                <w:sz w:val="18"/>
                <w:szCs w:val="18"/>
                <w:lang w:val="en-GB"/>
              </w:rPr>
            </w:pPr>
            <w:r w:rsidRPr="005E1CFA">
              <w:rPr>
                <w:rFonts w:eastAsia="Calibri"/>
                <w:sz w:val="18"/>
                <w:szCs w:val="18"/>
                <w:lang w:val="en-GB"/>
              </w:rPr>
              <w:t xml:space="preserve">South Sudan Business </w:t>
            </w:r>
            <w:r w:rsidR="00E456EF" w:rsidRPr="005E1CFA">
              <w:rPr>
                <w:rFonts w:eastAsia="Calibri"/>
                <w:sz w:val="18"/>
                <w:szCs w:val="18"/>
                <w:lang w:val="en-GB"/>
              </w:rPr>
              <w:t>R</w:t>
            </w:r>
            <w:r w:rsidRPr="005E1CFA">
              <w:rPr>
                <w:rFonts w:eastAsia="Calibri"/>
                <w:sz w:val="18"/>
                <w:szCs w:val="18"/>
                <w:lang w:val="en-GB"/>
              </w:rPr>
              <w:t xml:space="preserve">egistry Department </w:t>
            </w:r>
          </w:p>
          <w:p w14:paraId="11E3E371" w14:textId="104F7D09" w:rsidR="00DB380F" w:rsidRPr="005E1CFA" w:rsidRDefault="00DB380F" w:rsidP="002249DD">
            <w:pPr>
              <w:autoSpaceDE w:val="0"/>
              <w:autoSpaceDN w:val="0"/>
              <w:spacing w:after="60"/>
              <w:rPr>
                <w:rFonts w:eastAsia="Calibri"/>
                <w:sz w:val="18"/>
                <w:szCs w:val="18"/>
                <w:lang w:val="en-GB"/>
              </w:rPr>
            </w:pPr>
            <w:r w:rsidRPr="005E1CFA">
              <w:rPr>
                <w:rFonts w:eastAsia="Calibri"/>
                <w:sz w:val="18"/>
                <w:szCs w:val="18"/>
                <w:lang w:val="en-GB"/>
              </w:rPr>
              <w:t xml:space="preserve">Ministry of Justice and Constitutional Development records </w:t>
            </w:r>
          </w:p>
          <w:p w14:paraId="6E992164" w14:textId="77777777" w:rsidR="00DB380F" w:rsidRPr="005E1CFA" w:rsidRDefault="00DB380F" w:rsidP="002249DD">
            <w:pPr>
              <w:rPr>
                <w:sz w:val="18"/>
                <w:szCs w:val="18"/>
                <w:lang w:val="en-GB"/>
              </w:rPr>
            </w:pPr>
            <w:r w:rsidRPr="005E1CFA">
              <w:rPr>
                <w:rFonts w:eastAsia="Calibri"/>
                <w:sz w:val="18"/>
                <w:szCs w:val="18"/>
                <w:lang w:val="en-GB"/>
              </w:rPr>
              <w:t>UNDP reports</w:t>
            </w:r>
          </w:p>
        </w:tc>
        <w:tc>
          <w:tcPr>
            <w:tcW w:w="2026" w:type="pct"/>
          </w:tcPr>
          <w:p w14:paraId="03A2F424" w14:textId="77777777" w:rsidR="00DB380F" w:rsidRPr="005E1CFA" w:rsidRDefault="00DB380F"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bCs/>
                <w:color w:val="auto"/>
                <w:sz w:val="18"/>
                <w:szCs w:val="18"/>
                <w:lang w:val="en-GB"/>
              </w:rPr>
              <w:t>Output</w:t>
            </w:r>
            <w:r w:rsidR="00CF33A7" w:rsidRPr="005E1CFA">
              <w:rPr>
                <w:rFonts w:ascii="Times New Roman" w:hAnsi="Times New Roman" w:cs="Times New Roman"/>
                <w:b/>
                <w:bCs/>
                <w:color w:val="auto"/>
                <w:sz w:val="18"/>
                <w:szCs w:val="18"/>
                <w:lang w:val="en-GB"/>
              </w:rPr>
              <w:t xml:space="preserve"> 2</w:t>
            </w:r>
            <w:r w:rsidRPr="005E1CFA">
              <w:rPr>
                <w:rFonts w:ascii="Times New Roman" w:hAnsi="Times New Roman" w:cs="Times New Roman"/>
                <w:b/>
                <w:bCs/>
                <w:color w:val="auto"/>
                <w:sz w:val="18"/>
                <w:szCs w:val="18"/>
                <w:lang w:val="en-GB"/>
              </w:rPr>
              <w:t xml:space="preserve">.1. </w:t>
            </w:r>
            <w:r w:rsidRPr="005E1CFA">
              <w:rPr>
                <w:rFonts w:ascii="Times New Roman" w:hAnsi="Times New Roman" w:cs="Times New Roman"/>
                <w:color w:val="auto"/>
                <w:sz w:val="18"/>
                <w:szCs w:val="18"/>
                <w:lang w:val="en-GB"/>
              </w:rPr>
              <w:t>Sustainable livelihood opportunities created for crisis</w:t>
            </w:r>
            <w:r w:rsidR="005D4E59" w:rsidRPr="005E1CFA">
              <w:rPr>
                <w:rFonts w:ascii="Times New Roman" w:hAnsi="Times New Roman" w:cs="Times New Roman"/>
                <w:color w:val="auto"/>
                <w:sz w:val="18"/>
                <w:szCs w:val="18"/>
                <w:lang w:val="en-GB"/>
              </w:rPr>
              <w:t>-</w:t>
            </w:r>
            <w:r w:rsidRPr="005E1CFA">
              <w:rPr>
                <w:rFonts w:ascii="Times New Roman" w:hAnsi="Times New Roman" w:cs="Times New Roman"/>
                <w:color w:val="auto"/>
                <w:sz w:val="18"/>
                <w:szCs w:val="18"/>
                <w:lang w:val="en-GB"/>
              </w:rPr>
              <w:t>affected men and women</w:t>
            </w:r>
          </w:p>
          <w:p w14:paraId="1D7CB178" w14:textId="77777777" w:rsidR="00DB380F" w:rsidRPr="005E1CFA" w:rsidRDefault="00DB380F" w:rsidP="002249DD">
            <w:pPr>
              <w:pStyle w:val="Default"/>
              <w:rPr>
                <w:rFonts w:ascii="Times New Roman" w:hAnsi="Times New Roman" w:cs="Times New Roman"/>
                <w:color w:val="auto"/>
                <w:sz w:val="18"/>
                <w:szCs w:val="18"/>
                <w:lang w:val="en-GB"/>
              </w:rPr>
            </w:pPr>
          </w:p>
          <w:p w14:paraId="53B0F866" w14:textId="4536D823" w:rsidR="00DB380F" w:rsidRPr="005E1CFA" w:rsidRDefault="00DB380F"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Indicator 1</w:t>
            </w:r>
            <w:r w:rsidR="005F3501" w:rsidRPr="005E1CFA">
              <w:rPr>
                <w:rFonts w:ascii="Times New Roman" w:hAnsi="Times New Roman" w:cs="Times New Roman"/>
                <w:b/>
                <w:color w:val="auto"/>
                <w:sz w:val="18"/>
                <w:szCs w:val="18"/>
                <w:lang w:val="en-GB"/>
              </w:rPr>
              <w:t>.</w:t>
            </w:r>
            <w:r w:rsidRPr="005E1CFA">
              <w:rPr>
                <w:rFonts w:ascii="Times New Roman" w:hAnsi="Times New Roman" w:cs="Times New Roman"/>
                <w:color w:val="auto"/>
                <w:sz w:val="18"/>
                <w:szCs w:val="18"/>
                <w:lang w:val="en-GB"/>
              </w:rPr>
              <w:t xml:space="preserve"> Number </w:t>
            </w:r>
            <w:r w:rsidR="00C126BC" w:rsidRPr="005E1CFA">
              <w:rPr>
                <w:rFonts w:ascii="Times New Roman" w:hAnsi="Times New Roman" w:cs="Times New Roman"/>
                <w:color w:val="auto"/>
                <w:sz w:val="18"/>
                <w:szCs w:val="18"/>
                <w:lang w:val="en-GB"/>
              </w:rPr>
              <w:t xml:space="preserve">of </w:t>
            </w:r>
            <w:r w:rsidRPr="005E1CFA">
              <w:rPr>
                <w:rFonts w:ascii="Times New Roman" w:hAnsi="Times New Roman" w:cs="Times New Roman"/>
                <w:color w:val="auto"/>
                <w:sz w:val="18"/>
                <w:szCs w:val="18"/>
                <w:lang w:val="en-GB"/>
              </w:rPr>
              <w:t xml:space="preserve">women and men </w:t>
            </w:r>
            <w:r w:rsidR="003D6FBA" w:rsidRPr="005E1CFA">
              <w:rPr>
                <w:rFonts w:ascii="Times New Roman" w:hAnsi="Times New Roman" w:cs="Times New Roman"/>
                <w:color w:val="auto"/>
                <w:sz w:val="18"/>
                <w:szCs w:val="18"/>
                <w:lang w:val="en-GB"/>
              </w:rPr>
              <w:t>(</w:t>
            </w:r>
            <w:r w:rsidR="005D4E59" w:rsidRPr="005E1CFA">
              <w:rPr>
                <w:rFonts w:ascii="Times New Roman" w:hAnsi="Times New Roman" w:cs="Times New Roman"/>
                <w:color w:val="auto"/>
                <w:sz w:val="18"/>
                <w:szCs w:val="18"/>
                <w:lang w:val="en-GB"/>
              </w:rPr>
              <w:t xml:space="preserve">including in </w:t>
            </w:r>
            <w:r w:rsidR="00690AC1" w:rsidRPr="005E1CFA">
              <w:rPr>
                <w:rFonts w:ascii="Times New Roman" w:hAnsi="Times New Roman" w:cs="Times New Roman"/>
                <w:color w:val="auto"/>
                <w:sz w:val="18"/>
                <w:szCs w:val="18"/>
                <w:lang w:val="en-GB"/>
              </w:rPr>
              <w:t xml:space="preserve">internally displaced persons’ </w:t>
            </w:r>
            <w:r w:rsidR="00CF3006" w:rsidRPr="005E1CFA">
              <w:rPr>
                <w:rFonts w:ascii="Times New Roman" w:hAnsi="Times New Roman" w:cs="Times New Roman"/>
                <w:color w:val="auto"/>
                <w:sz w:val="18"/>
                <w:szCs w:val="18"/>
                <w:lang w:val="en-GB"/>
              </w:rPr>
              <w:t xml:space="preserve">camps </w:t>
            </w:r>
            <w:r w:rsidR="005D4E59" w:rsidRPr="005E1CFA">
              <w:rPr>
                <w:rFonts w:ascii="Times New Roman" w:hAnsi="Times New Roman" w:cs="Times New Roman"/>
                <w:color w:val="auto"/>
                <w:sz w:val="18"/>
                <w:szCs w:val="18"/>
                <w:lang w:val="en-GB"/>
              </w:rPr>
              <w:t>and host communities</w:t>
            </w:r>
            <w:r w:rsidR="003D6FBA" w:rsidRPr="005E1CFA">
              <w:rPr>
                <w:rFonts w:ascii="Times New Roman" w:hAnsi="Times New Roman" w:cs="Times New Roman"/>
                <w:color w:val="auto"/>
                <w:sz w:val="18"/>
                <w:szCs w:val="18"/>
                <w:lang w:val="en-GB"/>
              </w:rPr>
              <w:t>)</w:t>
            </w:r>
            <w:r w:rsidR="005D4E59" w:rsidRPr="005E1CFA">
              <w:rPr>
                <w:rFonts w:ascii="Times New Roman" w:hAnsi="Times New Roman" w:cs="Times New Roman"/>
                <w:color w:val="auto"/>
                <w:sz w:val="18"/>
                <w:szCs w:val="18"/>
                <w:lang w:val="en-GB"/>
              </w:rPr>
              <w:t xml:space="preserve"> </w:t>
            </w:r>
            <w:r w:rsidRPr="005E1CFA">
              <w:rPr>
                <w:rFonts w:ascii="Times New Roman" w:hAnsi="Times New Roman" w:cs="Times New Roman"/>
                <w:color w:val="auto"/>
                <w:sz w:val="18"/>
                <w:szCs w:val="18"/>
                <w:lang w:val="en-GB"/>
              </w:rPr>
              <w:t xml:space="preserve">benefiting from income generating opportunities and other diversified livelihood opportunities. </w:t>
            </w:r>
          </w:p>
          <w:p w14:paraId="4736368C" w14:textId="77777777" w:rsidR="00DB380F" w:rsidRPr="005E1CFA" w:rsidRDefault="00DB380F"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Baseline:</w:t>
            </w:r>
            <w:r w:rsidRPr="005E1CFA">
              <w:rPr>
                <w:rFonts w:ascii="Times New Roman" w:hAnsi="Times New Roman" w:cs="Times New Roman"/>
                <w:color w:val="auto"/>
                <w:sz w:val="18"/>
                <w:szCs w:val="18"/>
                <w:lang w:val="en-GB"/>
              </w:rPr>
              <w:t xml:space="preserve"> 500 (35% female)</w:t>
            </w:r>
          </w:p>
          <w:p w14:paraId="05D77C5E" w14:textId="4A4885C9" w:rsidR="00DB380F" w:rsidRPr="005E1CFA" w:rsidRDefault="00DB380F"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Target:</w:t>
            </w:r>
            <w:r w:rsidR="005D4E59" w:rsidRPr="005E1CFA">
              <w:rPr>
                <w:rFonts w:ascii="Times New Roman" w:hAnsi="Times New Roman" w:cs="Times New Roman"/>
                <w:b/>
                <w:color w:val="auto"/>
                <w:sz w:val="18"/>
                <w:szCs w:val="18"/>
                <w:lang w:val="en-GB"/>
              </w:rPr>
              <w:t xml:space="preserve"> </w:t>
            </w:r>
            <w:r w:rsidR="00071C13" w:rsidRPr="005E1CFA">
              <w:rPr>
                <w:rFonts w:ascii="Times New Roman" w:hAnsi="Times New Roman" w:cs="Times New Roman"/>
                <w:color w:val="auto"/>
                <w:sz w:val="18"/>
                <w:szCs w:val="18"/>
                <w:lang w:val="en-GB"/>
              </w:rPr>
              <w:t>10</w:t>
            </w:r>
            <w:r w:rsidRPr="005E1CFA">
              <w:rPr>
                <w:rFonts w:ascii="Times New Roman" w:hAnsi="Times New Roman" w:cs="Times New Roman"/>
                <w:color w:val="auto"/>
                <w:sz w:val="18"/>
                <w:szCs w:val="18"/>
                <w:lang w:val="en-GB"/>
              </w:rPr>
              <w:t>,</w:t>
            </w:r>
            <w:r w:rsidR="005D4E59" w:rsidRPr="005E1CFA">
              <w:rPr>
                <w:rFonts w:ascii="Times New Roman" w:hAnsi="Times New Roman" w:cs="Times New Roman"/>
                <w:color w:val="auto"/>
                <w:sz w:val="18"/>
                <w:szCs w:val="18"/>
                <w:lang w:val="en-GB"/>
              </w:rPr>
              <w:t>0</w:t>
            </w:r>
            <w:r w:rsidRPr="005E1CFA">
              <w:rPr>
                <w:rFonts w:ascii="Times New Roman" w:hAnsi="Times New Roman" w:cs="Times New Roman"/>
                <w:color w:val="auto"/>
                <w:sz w:val="18"/>
                <w:szCs w:val="18"/>
                <w:lang w:val="en-GB"/>
              </w:rPr>
              <w:t>00 (50% female)</w:t>
            </w:r>
          </w:p>
          <w:p w14:paraId="7E8D2BBE" w14:textId="7528BE49" w:rsidR="005F3501" w:rsidRPr="005E1CFA" w:rsidRDefault="00DB380F" w:rsidP="002249DD">
            <w:pPr>
              <w:pStyle w:val="Default"/>
              <w:rPr>
                <w:rFonts w:ascii="Times New Roman" w:hAnsi="Times New Roman" w:cs="Times New Roman"/>
                <w:iCs/>
                <w:color w:val="auto"/>
                <w:sz w:val="18"/>
                <w:szCs w:val="18"/>
                <w:lang w:val="en-GB"/>
              </w:rPr>
            </w:pPr>
            <w:r w:rsidRPr="005E1CFA">
              <w:rPr>
                <w:rFonts w:ascii="Times New Roman" w:hAnsi="Times New Roman" w:cs="Times New Roman"/>
                <w:b/>
                <w:iCs/>
                <w:color w:val="auto"/>
                <w:sz w:val="18"/>
                <w:szCs w:val="18"/>
                <w:lang w:val="en-GB"/>
              </w:rPr>
              <w:t>Data source</w:t>
            </w:r>
            <w:r w:rsidR="001B0A28" w:rsidRPr="005E1CFA">
              <w:rPr>
                <w:rFonts w:ascii="Times New Roman" w:hAnsi="Times New Roman" w:cs="Times New Roman"/>
                <w:b/>
                <w:iCs/>
                <w:color w:val="auto"/>
                <w:sz w:val="18"/>
                <w:szCs w:val="18"/>
                <w:lang w:val="en-GB"/>
              </w:rPr>
              <w:t>s</w:t>
            </w:r>
            <w:r w:rsidRPr="005E1CFA">
              <w:rPr>
                <w:rFonts w:ascii="Times New Roman" w:hAnsi="Times New Roman" w:cs="Times New Roman"/>
                <w:b/>
                <w:iCs/>
                <w:color w:val="auto"/>
                <w:sz w:val="18"/>
                <w:szCs w:val="18"/>
                <w:lang w:val="en-GB"/>
              </w:rPr>
              <w:t>:</w:t>
            </w:r>
            <w:r w:rsidRPr="005E1CFA">
              <w:rPr>
                <w:rFonts w:ascii="Times New Roman" w:hAnsi="Times New Roman" w:cs="Times New Roman"/>
                <w:iCs/>
                <w:color w:val="auto"/>
                <w:sz w:val="18"/>
                <w:szCs w:val="18"/>
                <w:lang w:val="en-GB"/>
              </w:rPr>
              <w:t xml:space="preserve"> UNDP </w:t>
            </w:r>
            <w:r w:rsidR="005F3501" w:rsidRPr="005E1CFA">
              <w:rPr>
                <w:rFonts w:ascii="Times New Roman" w:hAnsi="Times New Roman" w:cs="Times New Roman"/>
                <w:iCs/>
                <w:color w:val="auto"/>
                <w:sz w:val="18"/>
                <w:szCs w:val="18"/>
                <w:lang w:val="en-GB"/>
              </w:rPr>
              <w:t>p</w:t>
            </w:r>
            <w:r w:rsidRPr="005E1CFA">
              <w:rPr>
                <w:rFonts w:ascii="Times New Roman" w:hAnsi="Times New Roman" w:cs="Times New Roman"/>
                <w:iCs/>
                <w:color w:val="auto"/>
                <w:sz w:val="18"/>
                <w:szCs w:val="18"/>
                <w:lang w:val="en-GB"/>
              </w:rPr>
              <w:t xml:space="preserve">rogramme </w:t>
            </w:r>
            <w:r w:rsidR="005F3501" w:rsidRPr="005E1CFA">
              <w:rPr>
                <w:rFonts w:ascii="Times New Roman" w:hAnsi="Times New Roman" w:cs="Times New Roman"/>
                <w:iCs/>
                <w:color w:val="auto"/>
                <w:sz w:val="18"/>
                <w:szCs w:val="18"/>
                <w:lang w:val="en-GB"/>
              </w:rPr>
              <w:t>e</w:t>
            </w:r>
            <w:r w:rsidRPr="005E1CFA">
              <w:rPr>
                <w:rFonts w:ascii="Times New Roman" w:hAnsi="Times New Roman" w:cs="Times New Roman"/>
                <w:iCs/>
                <w:color w:val="auto"/>
                <w:sz w:val="18"/>
                <w:szCs w:val="18"/>
                <w:lang w:val="en-GB"/>
              </w:rPr>
              <w:t xml:space="preserve">valuation </w:t>
            </w:r>
          </w:p>
          <w:p w14:paraId="36CADE04" w14:textId="3718F23A" w:rsidR="00DB380F" w:rsidRPr="005E1CFA" w:rsidRDefault="005F3501" w:rsidP="002249DD">
            <w:pPr>
              <w:pStyle w:val="Default"/>
              <w:rPr>
                <w:rFonts w:ascii="Times New Roman" w:hAnsi="Times New Roman" w:cs="Times New Roman"/>
                <w:iCs/>
                <w:color w:val="auto"/>
                <w:sz w:val="18"/>
                <w:szCs w:val="18"/>
                <w:lang w:val="en-GB"/>
              </w:rPr>
            </w:pPr>
            <w:r w:rsidRPr="005E1CFA">
              <w:rPr>
                <w:rFonts w:ascii="Times New Roman" w:hAnsi="Times New Roman" w:cs="Times New Roman"/>
                <w:iCs/>
                <w:color w:val="auto"/>
                <w:sz w:val="18"/>
                <w:szCs w:val="18"/>
                <w:lang w:val="en-GB"/>
              </w:rPr>
              <w:t>United Nations Development Assistance Framework</w:t>
            </w:r>
          </w:p>
          <w:p w14:paraId="1FB41E51" w14:textId="77777777" w:rsidR="00DB380F" w:rsidRPr="005E1CFA" w:rsidRDefault="00DB380F" w:rsidP="002249DD">
            <w:pPr>
              <w:pStyle w:val="Default"/>
              <w:rPr>
                <w:rFonts w:ascii="Times New Roman" w:hAnsi="Times New Roman" w:cs="Times New Roman"/>
                <w:color w:val="auto"/>
                <w:sz w:val="18"/>
                <w:szCs w:val="18"/>
                <w:lang w:val="en-GB"/>
              </w:rPr>
            </w:pPr>
          </w:p>
          <w:p w14:paraId="5BFBBB40" w14:textId="77777777" w:rsidR="00DB380F" w:rsidRPr="005E1CFA" w:rsidRDefault="00DB380F" w:rsidP="002249DD">
            <w:pPr>
              <w:autoSpaceDE w:val="0"/>
              <w:autoSpaceDN w:val="0"/>
              <w:adjustRightInd w:val="0"/>
              <w:rPr>
                <w:b/>
                <w:iCs/>
                <w:sz w:val="18"/>
                <w:szCs w:val="18"/>
                <w:lang w:val="en-GB"/>
              </w:rPr>
            </w:pPr>
          </w:p>
        </w:tc>
        <w:tc>
          <w:tcPr>
            <w:tcW w:w="701" w:type="pct"/>
          </w:tcPr>
          <w:p w14:paraId="634B7E6F" w14:textId="531170B6" w:rsidR="00DB380F" w:rsidRPr="005E1CFA" w:rsidRDefault="00DB380F" w:rsidP="002249DD">
            <w:pPr>
              <w:rPr>
                <w:iCs/>
                <w:sz w:val="18"/>
                <w:szCs w:val="18"/>
                <w:lang w:val="en-GB"/>
              </w:rPr>
            </w:pPr>
            <w:r w:rsidRPr="005E1CFA">
              <w:rPr>
                <w:iCs/>
                <w:sz w:val="18"/>
                <w:szCs w:val="18"/>
                <w:lang w:val="en-GB"/>
              </w:rPr>
              <w:t xml:space="preserve">Ministry of Agriculture, </w:t>
            </w:r>
            <w:r w:rsidR="005F3501" w:rsidRPr="005E1CFA">
              <w:rPr>
                <w:iCs/>
                <w:sz w:val="18"/>
                <w:szCs w:val="18"/>
                <w:lang w:val="en-GB"/>
              </w:rPr>
              <w:t>F</w:t>
            </w:r>
            <w:r w:rsidRPr="005E1CFA">
              <w:rPr>
                <w:iCs/>
                <w:sz w:val="18"/>
                <w:szCs w:val="18"/>
                <w:lang w:val="en-GB"/>
              </w:rPr>
              <w:t xml:space="preserve">orestry, Cooperatives and Rural Development </w:t>
            </w:r>
          </w:p>
          <w:p w14:paraId="623E4FA6" w14:textId="77777777" w:rsidR="00DB380F" w:rsidRPr="005E1CFA" w:rsidRDefault="00DB380F" w:rsidP="002249DD">
            <w:pPr>
              <w:rPr>
                <w:iCs/>
                <w:sz w:val="18"/>
                <w:szCs w:val="18"/>
                <w:lang w:val="en-GB"/>
              </w:rPr>
            </w:pPr>
          </w:p>
          <w:p w14:paraId="0B827FA8" w14:textId="77777777" w:rsidR="00DB380F" w:rsidRPr="005E1CFA" w:rsidRDefault="00DB380F" w:rsidP="002249DD">
            <w:pPr>
              <w:rPr>
                <w:iCs/>
                <w:sz w:val="18"/>
                <w:szCs w:val="18"/>
                <w:lang w:val="en-GB"/>
              </w:rPr>
            </w:pPr>
            <w:r w:rsidRPr="005E1CFA">
              <w:rPr>
                <w:iCs/>
                <w:sz w:val="18"/>
                <w:szCs w:val="18"/>
                <w:lang w:val="en-GB"/>
              </w:rPr>
              <w:t xml:space="preserve">Ministry of Trade Industry and Investment  </w:t>
            </w:r>
          </w:p>
          <w:p w14:paraId="2867F62C" w14:textId="77777777" w:rsidR="00DB380F" w:rsidRPr="005E1CFA" w:rsidRDefault="00DB380F" w:rsidP="002249DD">
            <w:pPr>
              <w:rPr>
                <w:iCs/>
                <w:sz w:val="18"/>
                <w:szCs w:val="18"/>
                <w:lang w:val="en-GB"/>
              </w:rPr>
            </w:pPr>
            <w:r w:rsidRPr="005E1CFA">
              <w:rPr>
                <w:iCs/>
                <w:sz w:val="18"/>
                <w:szCs w:val="18"/>
                <w:lang w:val="en-GB"/>
              </w:rPr>
              <w:t xml:space="preserve">South Sudan Chamber of Commerce, Agriculture and Industry </w:t>
            </w:r>
          </w:p>
          <w:p w14:paraId="146BA787" w14:textId="77777777" w:rsidR="005F3501" w:rsidRPr="005E1CFA" w:rsidRDefault="005F3501" w:rsidP="002249DD">
            <w:pPr>
              <w:rPr>
                <w:iCs/>
                <w:sz w:val="18"/>
                <w:szCs w:val="18"/>
                <w:lang w:val="en-GB"/>
              </w:rPr>
            </w:pPr>
          </w:p>
          <w:p w14:paraId="375BBAEB" w14:textId="283400CC" w:rsidR="00DB380F" w:rsidRPr="005E1CFA" w:rsidRDefault="00B71ABA" w:rsidP="002249DD">
            <w:pPr>
              <w:contextualSpacing/>
              <w:rPr>
                <w:sz w:val="18"/>
                <w:szCs w:val="18"/>
                <w:lang w:val="en-GB"/>
              </w:rPr>
            </w:pPr>
            <w:r w:rsidRPr="005E1CFA">
              <w:rPr>
                <w:i/>
                <w:sz w:val="18"/>
                <w:szCs w:val="18"/>
                <w:lang w:val="en-GB"/>
              </w:rPr>
              <w:t>Donor:</w:t>
            </w:r>
            <w:r w:rsidRPr="005E1CFA">
              <w:rPr>
                <w:sz w:val="18"/>
                <w:szCs w:val="18"/>
                <w:lang w:val="en-GB"/>
              </w:rPr>
              <w:t xml:space="preserve"> Bureau for Policy and Partnership Support </w:t>
            </w:r>
          </w:p>
        </w:tc>
        <w:tc>
          <w:tcPr>
            <w:tcW w:w="650" w:type="pct"/>
          </w:tcPr>
          <w:p w14:paraId="551EA768" w14:textId="6E0F6341" w:rsidR="00DB380F" w:rsidRPr="005E1CFA" w:rsidRDefault="00DB380F" w:rsidP="002249DD">
            <w:pPr>
              <w:rPr>
                <w:b/>
                <w:sz w:val="18"/>
                <w:szCs w:val="18"/>
                <w:lang w:val="en-GB"/>
              </w:rPr>
            </w:pPr>
            <w:r w:rsidRPr="005E1CFA">
              <w:rPr>
                <w:b/>
                <w:sz w:val="18"/>
                <w:szCs w:val="18"/>
                <w:lang w:val="en-GB"/>
              </w:rPr>
              <w:t>Regular: 700</w:t>
            </w:r>
          </w:p>
          <w:p w14:paraId="3C12BA26" w14:textId="5F5FA9F3" w:rsidR="00DB380F" w:rsidRPr="005E1CFA" w:rsidRDefault="00DB380F" w:rsidP="002249DD">
            <w:pPr>
              <w:rPr>
                <w:b/>
                <w:sz w:val="18"/>
                <w:szCs w:val="18"/>
                <w:lang w:val="en-GB"/>
              </w:rPr>
            </w:pPr>
            <w:r w:rsidRPr="005E1CFA">
              <w:rPr>
                <w:b/>
                <w:sz w:val="18"/>
                <w:szCs w:val="18"/>
                <w:lang w:val="en-GB"/>
              </w:rPr>
              <w:t>Other: 5,900</w:t>
            </w:r>
          </w:p>
          <w:p w14:paraId="357C2703" w14:textId="77777777" w:rsidR="00DB380F" w:rsidRPr="005E1CFA" w:rsidRDefault="00DB380F" w:rsidP="002249DD">
            <w:pPr>
              <w:rPr>
                <w:b/>
                <w:sz w:val="18"/>
                <w:szCs w:val="18"/>
                <w:lang w:val="en-GB"/>
              </w:rPr>
            </w:pPr>
          </w:p>
          <w:p w14:paraId="25A758C2" w14:textId="77777777" w:rsidR="00DB380F" w:rsidRPr="005E1CFA" w:rsidRDefault="00DB380F" w:rsidP="002249DD">
            <w:pPr>
              <w:rPr>
                <w:b/>
                <w:sz w:val="18"/>
                <w:szCs w:val="18"/>
                <w:lang w:val="en-GB"/>
              </w:rPr>
            </w:pPr>
          </w:p>
          <w:p w14:paraId="2004E152" w14:textId="77777777" w:rsidR="00DB380F" w:rsidRPr="005E1CFA" w:rsidRDefault="00DB380F" w:rsidP="002249DD">
            <w:pPr>
              <w:rPr>
                <w:b/>
                <w:sz w:val="18"/>
                <w:szCs w:val="18"/>
                <w:lang w:val="en-GB"/>
              </w:rPr>
            </w:pPr>
          </w:p>
          <w:p w14:paraId="7644CE45" w14:textId="77777777" w:rsidR="00DB380F" w:rsidRPr="005E1CFA" w:rsidRDefault="00DB380F" w:rsidP="002249DD">
            <w:pPr>
              <w:rPr>
                <w:b/>
                <w:sz w:val="18"/>
                <w:szCs w:val="18"/>
                <w:lang w:val="en-GB"/>
              </w:rPr>
            </w:pPr>
          </w:p>
        </w:tc>
      </w:tr>
    </w:tbl>
    <w:tbl>
      <w:tblPr>
        <w:tblStyle w:val="TableGrid"/>
        <w:tblW w:w="5238" w:type="pct"/>
        <w:tblLayout w:type="fixed"/>
        <w:tblLook w:val="00A0" w:firstRow="1" w:lastRow="0" w:firstColumn="1" w:lastColumn="0" w:noHBand="0" w:noVBand="0"/>
      </w:tblPr>
      <w:tblGrid>
        <w:gridCol w:w="2477"/>
        <w:gridCol w:w="2265"/>
        <w:gridCol w:w="5921"/>
        <w:gridCol w:w="2049"/>
        <w:gridCol w:w="1900"/>
      </w:tblGrid>
      <w:tr w:rsidR="000E60D6" w:rsidRPr="005E1CFA" w14:paraId="56FFA16F" w14:textId="77777777" w:rsidTr="008D05D9">
        <w:trPr>
          <w:trHeight w:val="2491"/>
        </w:trPr>
        <w:tc>
          <w:tcPr>
            <w:tcW w:w="848" w:type="pct"/>
          </w:tcPr>
          <w:p w14:paraId="3F7B7126" w14:textId="77777777" w:rsidR="00DB380F" w:rsidRPr="005E1CFA" w:rsidRDefault="00DB380F" w:rsidP="002249DD">
            <w:pPr>
              <w:rPr>
                <w:b/>
                <w:iCs/>
                <w:sz w:val="18"/>
                <w:szCs w:val="18"/>
                <w:lang w:val="en-GB"/>
              </w:rPr>
            </w:pPr>
          </w:p>
        </w:tc>
        <w:tc>
          <w:tcPr>
            <w:tcW w:w="775" w:type="pct"/>
          </w:tcPr>
          <w:p w14:paraId="7DB084EF" w14:textId="77777777" w:rsidR="00DB380F" w:rsidRPr="005E1CFA" w:rsidRDefault="00DB380F" w:rsidP="002249DD">
            <w:pPr>
              <w:rPr>
                <w:sz w:val="18"/>
                <w:szCs w:val="18"/>
                <w:lang w:val="en-GB"/>
              </w:rPr>
            </w:pPr>
          </w:p>
        </w:tc>
        <w:tc>
          <w:tcPr>
            <w:tcW w:w="2026" w:type="pct"/>
          </w:tcPr>
          <w:p w14:paraId="77E8C59F" w14:textId="4426AA50" w:rsidR="00DB380F" w:rsidRPr="005E1CFA" w:rsidRDefault="00DB380F"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bCs/>
                <w:color w:val="auto"/>
                <w:sz w:val="18"/>
                <w:szCs w:val="18"/>
                <w:lang w:val="en-GB"/>
              </w:rPr>
              <w:t xml:space="preserve">Output </w:t>
            </w:r>
            <w:r w:rsidR="00CF33A7" w:rsidRPr="005E1CFA">
              <w:rPr>
                <w:rFonts w:ascii="Times New Roman" w:hAnsi="Times New Roman" w:cs="Times New Roman"/>
                <w:b/>
                <w:bCs/>
                <w:color w:val="auto"/>
                <w:sz w:val="18"/>
                <w:szCs w:val="18"/>
                <w:lang w:val="en-GB"/>
              </w:rPr>
              <w:t>2</w:t>
            </w:r>
            <w:r w:rsidRPr="005E1CFA">
              <w:rPr>
                <w:rFonts w:ascii="Times New Roman" w:hAnsi="Times New Roman" w:cs="Times New Roman"/>
                <w:b/>
                <w:bCs/>
                <w:color w:val="auto"/>
                <w:sz w:val="18"/>
                <w:szCs w:val="18"/>
                <w:lang w:val="en-GB"/>
              </w:rPr>
              <w:t>.2</w:t>
            </w:r>
            <w:r w:rsidR="001B0A28" w:rsidRPr="005E1CFA">
              <w:rPr>
                <w:rFonts w:ascii="Times New Roman" w:hAnsi="Times New Roman" w:cs="Times New Roman"/>
                <w:b/>
                <w:bCs/>
                <w:color w:val="auto"/>
                <w:sz w:val="18"/>
                <w:szCs w:val="18"/>
                <w:lang w:val="en-GB"/>
              </w:rPr>
              <w:t>.</w:t>
            </w:r>
            <w:r w:rsidRPr="005E1CFA">
              <w:rPr>
                <w:rFonts w:ascii="Times New Roman" w:hAnsi="Times New Roman" w:cs="Times New Roman"/>
                <w:b/>
                <w:bCs/>
                <w:color w:val="auto"/>
                <w:sz w:val="18"/>
                <w:szCs w:val="18"/>
                <w:lang w:val="en-GB"/>
              </w:rPr>
              <w:t xml:space="preserve"> </w:t>
            </w:r>
            <w:r w:rsidRPr="005E1CFA">
              <w:rPr>
                <w:rFonts w:ascii="Times New Roman" w:hAnsi="Times New Roman" w:cs="Times New Roman"/>
                <w:color w:val="auto"/>
                <w:sz w:val="18"/>
                <w:szCs w:val="18"/>
                <w:lang w:val="en-GB"/>
              </w:rPr>
              <w:t xml:space="preserve">National data collection, measurement and analytical systems are enabled to monitor and report on national development and sustainable development goals </w:t>
            </w:r>
          </w:p>
          <w:p w14:paraId="37F26E42" w14:textId="77777777" w:rsidR="00DB380F" w:rsidRPr="005E1CFA" w:rsidRDefault="00DB380F" w:rsidP="002249DD">
            <w:pPr>
              <w:pStyle w:val="Default"/>
              <w:rPr>
                <w:rFonts w:ascii="Times New Roman" w:hAnsi="Times New Roman" w:cs="Times New Roman"/>
                <w:color w:val="auto"/>
                <w:sz w:val="18"/>
                <w:szCs w:val="18"/>
                <w:lang w:val="en-GB"/>
              </w:rPr>
            </w:pPr>
          </w:p>
          <w:p w14:paraId="6A7C9970" w14:textId="07DD4E98" w:rsidR="00DB380F" w:rsidRPr="005E1CFA" w:rsidRDefault="00DB380F"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Indicator 1</w:t>
            </w:r>
            <w:r w:rsidR="001B0A28" w:rsidRPr="005E1CFA">
              <w:rPr>
                <w:rFonts w:ascii="Times New Roman" w:hAnsi="Times New Roman" w:cs="Times New Roman"/>
                <w:b/>
                <w:color w:val="auto"/>
                <w:sz w:val="18"/>
                <w:szCs w:val="18"/>
                <w:lang w:val="en-GB"/>
              </w:rPr>
              <w:t>.</w:t>
            </w:r>
            <w:r w:rsidRPr="005E1CFA">
              <w:rPr>
                <w:rFonts w:ascii="Times New Roman" w:hAnsi="Times New Roman" w:cs="Times New Roman"/>
                <w:color w:val="auto"/>
                <w:sz w:val="18"/>
                <w:szCs w:val="18"/>
                <w:lang w:val="en-GB"/>
              </w:rPr>
              <w:t xml:space="preserve">  Number of national develop</w:t>
            </w:r>
            <w:r w:rsidR="002C2DCD">
              <w:rPr>
                <w:rFonts w:ascii="Times New Roman" w:hAnsi="Times New Roman" w:cs="Times New Roman"/>
                <w:color w:val="auto"/>
                <w:sz w:val="18"/>
                <w:szCs w:val="18"/>
                <w:lang w:val="en-GB"/>
              </w:rPr>
              <w:t>ment progress reports developed</w:t>
            </w:r>
            <w:r w:rsidRPr="005E1CFA">
              <w:rPr>
                <w:rFonts w:ascii="Times New Roman" w:hAnsi="Times New Roman" w:cs="Times New Roman"/>
                <w:color w:val="auto"/>
                <w:sz w:val="18"/>
                <w:szCs w:val="18"/>
                <w:lang w:val="en-GB"/>
              </w:rPr>
              <w:t xml:space="preserve"> </w:t>
            </w:r>
          </w:p>
          <w:p w14:paraId="4917581F" w14:textId="77777777" w:rsidR="00DB380F" w:rsidRPr="005E1CFA" w:rsidRDefault="00DB380F"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Baseline:</w:t>
            </w:r>
            <w:r w:rsidRPr="005E1CFA">
              <w:rPr>
                <w:rFonts w:ascii="Times New Roman" w:hAnsi="Times New Roman" w:cs="Times New Roman"/>
                <w:color w:val="auto"/>
                <w:sz w:val="18"/>
                <w:szCs w:val="18"/>
                <w:lang w:val="en-GB"/>
              </w:rPr>
              <w:t xml:space="preserve"> 1</w:t>
            </w:r>
          </w:p>
          <w:p w14:paraId="1F9C6F76" w14:textId="77777777" w:rsidR="00DB380F" w:rsidRPr="005E1CFA" w:rsidRDefault="00DB380F"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Target:</w:t>
            </w:r>
            <w:r w:rsidRPr="005E1CFA">
              <w:rPr>
                <w:rFonts w:ascii="Times New Roman" w:hAnsi="Times New Roman" w:cs="Times New Roman"/>
                <w:color w:val="auto"/>
                <w:sz w:val="18"/>
                <w:szCs w:val="18"/>
                <w:lang w:val="en-GB"/>
              </w:rPr>
              <w:t xml:space="preserve"> 3</w:t>
            </w:r>
          </w:p>
          <w:p w14:paraId="4F6CBF4F" w14:textId="6659AE95" w:rsidR="00DB380F" w:rsidRPr="005E1CFA" w:rsidRDefault="00DB380F" w:rsidP="002249DD">
            <w:pPr>
              <w:autoSpaceDE w:val="0"/>
              <w:autoSpaceDN w:val="0"/>
              <w:adjustRightInd w:val="0"/>
              <w:rPr>
                <w:iCs/>
                <w:sz w:val="18"/>
                <w:szCs w:val="18"/>
                <w:lang w:val="en-GB"/>
              </w:rPr>
            </w:pPr>
            <w:r w:rsidRPr="005E1CFA">
              <w:rPr>
                <w:b/>
                <w:iCs/>
                <w:sz w:val="18"/>
                <w:szCs w:val="18"/>
                <w:lang w:val="en-GB"/>
              </w:rPr>
              <w:t>Data source</w:t>
            </w:r>
            <w:r w:rsidR="001B0A28" w:rsidRPr="005E1CFA">
              <w:rPr>
                <w:b/>
                <w:iCs/>
                <w:sz w:val="18"/>
                <w:szCs w:val="18"/>
                <w:lang w:val="en-GB"/>
              </w:rPr>
              <w:t>s</w:t>
            </w:r>
            <w:r w:rsidRPr="005E1CFA">
              <w:rPr>
                <w:b/>
                <w:iCs/>
                <w:sz w:val="18"/>
                <w:szCs w:val="18"/>
                <w:lang w:val="en-GB"/>
              </w:rPr>
              <w:t>:</w:t>
            </w:r>
            <w:r w:rsidRPr="005E1CFA">
              <w:rPr>
                <w:iCs/>
                <w:sz w:val="18"/>
                <w:szCs w:val="18"/>
                <w:lang w:val="en-GB"/>
              </w:rPr>
              <w:t xml:space="preserve"> Ministry of Finance and Economic Planning , National Bureau of Statistics</w:t>
            </w:r>
          </w:p>
          <w:p w14:paraId="19F41171" w14:textId="77777777" w:rsidR="00CF33A7" w:rsidRPr="005E1CFA" w:rsidRDefault="00CF33A7" w:rsidP="002249DD">
            <w:pPr>
              <w:autoSpaceDE w:val="0"/>
              <w:autoSpaceDN w:val="0"/>
              <w:adjustRightInd w:val="0"/>
              <w:rPr>
                <w:iCs/>
                <w:sz w:val="18"/>
                <w:szCs w:val="18"/>
                <w:lang w:val="en-GB"/>
              </w:rPr>
            </w:pPr>
          </w:p>
          <w:p w14:paraId="434DEA6D" w14:textId="16A0BEC0" w:rsidR="00CF33A7" w:rsidRPr="005E1CFA" w:rsidRDefault="00CF33A7"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Indicator 1</w:t>
            </w:r>
            <w:r w:rsidR="001B0A28" w:rsidRPr="005E1CFA">
              <w:rPr>
                <w:rFonts w:ascii="Times New Roman" w:hAnsi="Times New Roman" w:cs="Times New Roman"/>
                <w:b/>
                <w:color w:val="auto"/>
                <w:sz w:val="18"/>
                <w:szCs w:val="18"/>
                <w:lang w:val="en-GB"/>
              </w:rPr>
              <w:t>.</w:t>
            </w:r>
            <w:r w:rsidRPr="005E1CFA">
              <w:rPr>
                <w:rFonts w:ascii="Times New Roman" w:hAnsi="Times New Roman" w:cs="Times New Roman"/>
                <w:color w:val="auto"/>
                <w:sz w:val="18"/>
                <w:szCs w:val="18"/>
                <w:lang w:val="en-GB"/>
              </w:rPr>
              <w:t xml:space="preserve"> </w:t>
            </w:r>
            <w:r w:rsidR="00B027FE" w:rsidRPr="005E1CFA">
              <w:rPr>
                <w:rFonts w:ascii="Times New Roman" w:hAnsi="Times New Roman" w:cs="Times New Roman"/>
                <w:color w:val="auto"/>
                <w:sz w:val="18"/>
                <w:szCs w:val="18"/>
                <w:lang w:val="en-GB"/>
              </w:rPr>
              <w:t>Data</w:t>
            </w:r>
            <w:r w:rsidRPr="005E1CFA">
              <w:rPr>
                <w:rFonts w:ascii="Times New Roman" w:hAnsi="Times New Roman" w:cs="Times New Roman"/>
                <w:color w:val="auto"/>
                <w:sz w:val="18"/>
                <w:szCs w:val="18"/>
                <w:lang w:val="en-GB"/>
              </w:rPr>
              <w:t xml:space="preserve"> </w:t>
            </w:r>
            <w:r w:rsidR="00B027FE" w:rsidRPr="005E1CFA">
              <w:rPr>
                <w:rFonts w:ascii="Times New Roman" w:hAnsi="Times New Roman" w:cs="Times New Roman"/>
                <w:color w:val="auto"/>
                <w:sz w:val="18"/>
                <w:szCs w:val="18"/>
                <w:lang w:val="en-GB"/>
              </w:rPr>
              <w:t>used in</w:t>
            </w:r>
            <w:r w:rsidRPr="005E1CFA">
              <w:rPr>
                <w:rFonts w:ascii="Times New Roman" w:hAnsi="Times New Roman" w:cs="Times New Roman"/>
                <w:color w:val="auto"/>
                <w:sz w:val="18"/>
                <w:szCs w:val="18"/>
                <w:lang w:val="en-GB"/>
              </w:rPr>
              <w:t xml:space="preserve"> national </w:t>
            </w:r>
            <w:r w:rsidR="00534BF5" w:rsidRPr="005E1CFA">
              <w:rPr>
                <w:rFonts w:ascii="Times New Roman" w:hAnsi="Times New Roman" w:cs="Times New Roman"/>
                <w:color w:val="auto"/>
                <w:sz w:val="18"/>
                <w:szCs w:val="18"/>
                <w:lang w:val="en-GB"/>
              </w:rPr>
              <w:t xml:space="preserve">development progress </w:t>
            </w:r>
            <w:r w:rsidRPr="005E1CFA">
              <w:rPr>
                <w:rFonts w:ascii="Times New Roman" w:hAnsi="Times New Roman" w:cs="Times New Roman"/>
                <w:color w:val="auto"/>
                <w:sz w:val="18"/>
                <w:szCs w:val="18"/>
                <w:lang w:val="en-GB"/>
              </w:rPr>
              <w:t xml:space="preserve">reports </w:t>
            </w:r>
            <w:r w:rsidR="00B027FE" w:rsidRPr="005E1CFA">
              <w:rPr>
                <w:rFonts w:ascii="Times New Roman" w:hAnsi="Times New Roman" w:cs="Times New Roman"/>
                <w:color w:val="auto"/>
                <w:sz w:val="18"/>
                <w:szCs w:val="18"/>
                <w:lang w:val="en-GB"/>
              </w:rPr>
              <w:t>meet the minimum quality</w:t>
            </w:r>
            <w:r w:rsidR="00534BF5" w:rsidRPr="005E1CFA">
              <w:rPr>
                <w:rFonts w:ascii="Times New Roman" w:hAnsi="Times New Roman" w:cs="Times New Roman"/>
                <w:color w:val="auto"/>
                <w:sz w:val="18"/>
                <w:szCs w:val="18"/>
                <w:lang w:val="en-GB"/>
              </w:rPr>
              <w:t xml:space="preserve"> </w:t>
            </w:r>
            <w:r w:rsidR="001B0A28" w:rsidRPr="005E1CFA">
              <w:rPr>
                <w:rFonts w:ascii="Times New Roman" w:hAnsi="Times New Roman" w:cs="Times New Roman"/>
                <w:color w:val="auto"/>
                <w:sz w:val="18"/>
                <w:szCs w:val="18"/>
                <w:lang w:val="en-GB"/>
              </w:rPr>
              <w:t xml:space="preserve">criteria </w:t>
            </w:r>
            <w:r w:rsidR="00534BF5" w:rsidRPr="005E1CFA">
              <w:rPr>
                <w:rFonts w:ascii="Times New Roman" w:hAnsi="Times New Roman" w:cs="Times New Roman"/>
                <w:color w:val="auto"/>
                <w:sz w:val="18"/>
                <w:szCs w:val="18"/>
                <w:lang w:val="en-GB"/>
              </w:rPr>
              <w:t>(consistency, accuracy, timeliness and completeness)</w:t>
            </w:r>
            <w:r w:rsidR="00B027FE" w:rsidRPr="005E1CFA">
              <w:rPr>
                <w:rFonts w:ascii="Times New Roman" w:hAnsi="Times New Roman" w:cs="Times New Roman"/>
                <w:color w:val="auto"/>
                <w:sz w:val="18"/>
                <w:szCs w:val="18"/>
                <w:lang w:val="en-GB"/>
              </w:rPr>
              <w:t xml:space="preserve"> </w:t>
            </w:r>
            <w:r w:rsidR="00534BF5" w:rsidRPr="005E1CFA">
              <w:rPr>
                <w:rFonts w:ascii="Times New Roman" w:hAnsi="Times New Roman" w:cs="Times New Roman"/>
                <w:i/>
                <w:sz w:val="18"/>
                <w:szCs w:val="18"/>
                <w:lang w:val="en-GB"/>
              </w:rPr>
              <w:t>(Scale: 1</w:t>
            </w:r>
            <w:r w:rsidR="001B0A28" w:rsidRPr="005E1CFA">
              <w:rPr>
                <w:rFonts w:ascii="Times New Roman" w:hAnsi="Times New Roman" w:cs="Times New Roman"/>
                <w:i/>
                <w:sz w:val="18"/>
                <w:szCs w:val="18"/>
                <w:lang w:val="en-GB"/>
              </w:rPr>
              <w:t xml:space="preserve"> – </w:t>
            </w:r>
            <w:r w:rsidR="00534BF5" w:rsidRPr="005E1CFA">
              <w:rPr>
                <w:rFonts w:ascii="Times New Roman" w:hAnsi="Times New Roman" w:cs="Times New Roman"/>
                <w:i/>
                <w:sz w:val="18"/>
                <w:szCs w:val="18"/>
                <w:lang w:val="en-GB"/>
              </w:rPr>
              <w:t>does not meet; 2</w:t>
            </w:r>
            <w:r w:rsidR="001B0A28" w:rsidRPr="005E1CFA">
              <w:rPr>
                <w:rFonts w:ascii="Times New Roman" w:hAnsi="Times New Roman" w:cs="Times New Roman"/>
                <w:i/>
                <w:sz w:val="18"/>
                <w:szCs w:val="18"/>
                <w:lang w:val="en-GB"/>
              </w:rPr>
              <w:t xml:space="preserve"> – </w:t>
            </w:r>
            <w:r w:rsidR="00534BF5" w:rsidRPr="005E1CFA">
              <w:rPr>
                <w:rFonts w:ascii="Times New Roman" w:hAnsi="Times New Roman" w:cs="Times New Roman"/>
                <w:i/>
                <w:sz w:val="18"/>
                <w:szCs w:val="18"/>
                <w:lang w:val="en-GB"/>
              </w:rPr>
              <w:t>partly meets; 3</w:t>
            </w:r>
            <w:r w:rsidR="001B0A28" w:rsidRPr="005E1CFA">
              <w:rPr>
                <w:rFonts w:ascii="Times New Roman" w:hAnsi="Times New Roman" w:cs="Times New Roman"/>
                <w:i/>
                <w:sz w:val="18"/>
                <w:szCs w:val="18"/>
                <w:lang w:val="en-GB"/>
              </w:rPr>
              <w:t xml:space="preserve"> – </w:t>
            </w:r>
            <w:r w:rsidR="00534BF5" w:rsidRPr="005E1CFA">
              <w:rPr>
                <w:rFonts w:ascii="Times New Roman" w:hAnsi="Times New Roman" w:cs="Times New Roman"/>
                <w:i/>
                <w:sz w:val="18"/>
                <w:szCs w:val="18"/>
                <w:lang w:val="en-GB"/>
              </w:rPr>
              <w:t>fully meets)</w:t>
            </w:r>
          </w:p>
          <w:p w14:paraId="1F27314A" w14:textId="77777777" w:rsidR="00CF33A7" w:rsidRPr="005E1CFA" w:rsidRDefault="00CF33A7"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Baseline:</w:t>
            </w:r>
            <w:r w:rsidRPr="005E1CFA">
              <w:rPr>
                <w:rFonts w:ascii="Times New Roman" w:hAnsi="Times New Roman" w:cs="Times New Roman"/>
                <w:color w:val="auto"/>
                <w:sz w:val="18"/>
                <w:szCs w:val="18"/>
                <w:lang w:val="en-GB"/>
              </w:rPr>
              <w:t xml:space="preserve"> 1</w:t>
            </w:r>
          </w:p>
          <w:p w14:paraId="3D9AA79E" w14:textId="77777777" w:rsidR="00CF33A7" w:rsidRPr="005E1CFA" w:rsidRDefault="00CF33A7"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Target:</w:t>
            </w:r>
            <w:r w:rsidR="00534BF5" w:rsidRPr="005E1CFA">
              <w:rPr>
                <w:rFonts w:ascii="Times New Roman" w:hAnsi="Times New Roman" w:cs="Times New Roman"/>
                <w:color w:val="auto"/>
                <w:sz w:val="18"/>
                <w:szCs w:val="18"/>
                <w:lang w:val="en-GB"/>
              </w:rPr>
              <w:t xml:space="preserve"> 2</w:t>
            </w:r>
          </w:p>
          <w:p w14:paraId="711D3A07" w14:textId="4483CCEC" w:rsidR="00CF33A7" w:rsidRPr="005E1CFA" w:rsidRDefault="00CF33A7" w:rsidP="002249DD">
            <w:pPr>
              <w:autoSpaceDE w:val="0"/>
              <w:autoSpaceDN w:val="0"/>
              <w:adjustRightInd w:val="0"/>
              <w:rPr>
                <w:b/>
                <w:iCs/>
                <w:sz w:val="18"/>
                <w:szCs w:val="18"/>
                <w:lang w:val="en-GB"/>
              </w:rPr>
            </w:pPr>
            <w:r w:rsidRPr="005E1CFA">
              <w:rPr>
                <w:b/>
                <w:iCs/>
                <w:sz w:val="18"/>
                <w:szCs w:val="18"/>
                <w:lang w:val="en-GB"/>
              </w:rPr>
              <w:t>Data source</w:t>
            </w:r>
            <w:r w:rsidR="001B0A28" w:rsidRPr="005E1CFA">
              <w:rPr>
                <w:b/>
                <w:iCs/>
                <w:sz w:val="18"/>
                <w:szCs w:val="18"/>
                <w:lang w:val="en-GB"/>
              </w:rPr>
              <w:t>s</w:t>
            </w:r>
            <w:r w:rsidRPr="005E1CFA">
              <w:rPr>
                <w:b/>
                <w:iCs/>
                <w:sz w:val="18"/>
                <w:szCs w:val="18"/>
                <w:lang w:val="en-GB"/>
              </w:rPr>
              <w:t>:</w:t>
            </w:r>
            <w:r w:rsidRPr="005E1CFA">
              <w:rPr>
                <w:iCs/>
                <w:sz w:val="18"/>
                <w:szCs w:val="18"/>
                <w:lang w:val="en-GB"/>
              </w:rPr>
              <w:t xml:space="preserve"> Ministry of Finance and Economic Planning , National Bureau of Statistics</w:t>
            </w:r>
          </w:p>
        </w:tc>
        <w:tc>
          <w:tcPr>
            <w:tcW w:w="701" w:type="pct"/>
          </w:tcPr>
          <w:p w14:paraId="09481263" w14:textId="77777777" w:rsidR="00B71ABA" w:rsidRPr="005E1CFA" w:rsidRDefault="00B71ABA" w:rsidP="002249DD">
            <w:pPr>
              <w:contextualSpacing/>
              <w:rPr>
                <w:iCs/>
                <w:sz w:val="18"/>
                <w:szCs w:val="18"/>
                <w:lang w:val="en-GB"/>
              </w:rPr>
            </w:pPr>
            <w:r w:rsidRPr="005E1CFA">
              <w:rPr>
                <w:iCs/>
                <w:sz w:val="18"/>
                <w:szCs w:val="18"/>
                <w:lang w:val="en-GB"/>
              </w:rPr>
              <w:t>Ministry of Finance and Economic Planning</w:t>
            </w:r>
          </w:p>
          <w:p w14:paraId="2CF60C8C" w14:textId="77777777" w:rsidR="00B71ABA" w:rsidRPr="005E1CFA" w:rsidRDefault="00B71ABA" w:rsidP="002249DD">
            <w:pPr>
              <w:contextualSpacing/>
              <w:rPr>
                <w:iCs/>
                <w:sz w:val="18"/>
                <w:szCs w:val="18"/>
                <w:lang w:val="en-GB"/>
              </w:rPr>
            </w:pPr>
          </w:p>
          <w:p w14:paraId="764C339E" w14:textId="77777777" w:rsidR="00DB380F" w:rsidRPr="005E1CFA" w:rsidRDefault="00B71ABA" w:rsidP="002249DD">
            <w:pPr>
              <w:contextualSpacing/>
              <w:rPr>
                <w:iCs/>
                <w:sz w:val="18"/>
                <w:szCs w:val="18"/>
                <w:lang w:val="en-GB"/>
              </w:rPr>
            </w:pPr>
            <w:r w:rsidRPr="005E1CFA">
              <w:rPr>
                <w:iCs/>
                <w:sz w:val="18"/>
                <w:szCs w:val="18"/>
                <w:lang w:val="en-GB"/>
              </w:rPr>
              <w:t>National Bureau of Statistics</w:t>
            </w:r>
          </w:p>
          <w:p w14:paraId="64652FA7" w14:textId="77777777" w:rsidR="00B71ABA" w:rsidRPr="005E1CFA" w:rsidRDefault="00B71ABA" w:rsidP="002249DD">
            <w:pPr>
              <w:contextualSpacing/>
              <w:rPr>
                <w:iCs/>
                <w:sz w:val="18"/>
                <w:szCs w:val="18"/>
                <w:lang w:val="en-GB"/>
              </w:rPr>
            </w:pPr>
          </w:p>
          <w:p w14:paraId="18E2123B" w14:textId="77777777" w:rsidR="00B71ABA" w:rsidRPr="005E1CFA" w:rsidRDefault="00B71ABA" w:rsidP="002249DD">
            <w:pPr>
              <w:contextualSpacing/>
              <w:rPr>
                <w:sz w:val="18"/>
                <w:szCs w:val="18"/>
                <w:lang w:val="en-GB"/>
              </w:rPr>
            </w:pPr>
            <w:r w:rsidRPr="005E1CFA">
              <w:rPr>
                <w:iCs/>
                <w:sz w:val="18"/>
                <w:szCs w:val="18"/>
                <w:lang w:val="en-GB"/>
              </w:rPr>
              <w:t xml:space="preserve">Donor: UNDP </w:t>
            </w:r>
          </w:p>
        </w:tc>
        <w:tc>
          <w:tcPr>
            <w:tcW w:w="650" w:type="pct"/>
          </w:tcPr>
          <w:p w14:paraId="33E21EE0" w14:textId="2FC28AD7" w:rsidR="00DB380F" w:rsidRPr="005E1CFA" w:rsidRDefault="00DB380F" w:rsidP="002249DD">
            <w:pPr>
              <w:rPr>
                <w:b/>
                <w:sz w:val="18"/>
                <w:szCs w:val="18"/>
                <w:lang w:val="en-GB"/>
              </w:rPr>
            </w:pPr>
            <w:r w:rsidRPr="005E1CFA">
              <w:rPr>
                <w:b/>
                <w:sz w:val="18"/>
                <w:szCs w:val="18"/>
                <w:lang w:val="en-GB"/>
              </w:rPr>
              <w:t xml:space="preserve">Regular: </w:t>
            </w:r>
            <w:r w:rsidR="003B5256" w:rsidRPr="005E1CFA">
              <w:rPr>
                <w:b/>
                <w:sz w:val="18"/>
                <w:szCs w:val="18"/>
                <w:lang w:val="en-GB"/>
              </w:rPr>
              <w:t>5</w:t>
            </w:r>
            <w:r w:rsidRPr="005E1CFA">
              <w:rPr>
                <w:b/>
                <w:sz w:val="18"/>
                <w:szCs w:val="18"/>
                <w:lang w:val="en-GB"/>
              </w:rPr>
              <w:t>50</w:t>
            </w:r>
          </w:p>
          <w:p w14:paraId="6D330045" w14:textId="555531B2" w:rsidR="00DB380F" w:rsidRPr="005E1CFA" w:rsidRDefault="00DB380F" w:rsidP="002249DD">
            <w:pPr>
              <w:rPr>
                <w:b/>
                <w:sz w:val="18"/>
                <w:szCs w:val="18"/>
                <w:lang w:val="en-GB"/>
              </w:rPr>
            </w:pPr>
            <w:r w:rsidRPr="005E1CFA">
              <w:rPr>
                <w:b/>
                <w:sz w:val="18"/>
                <w:szCs w:val="18"/>
                <w:lang w:val="en-GB"/>
              </w:rPr>
              <w:t>Other: 200</w:t>
            </w:r>
          </w:p>
          <w:p w14:paraId="589E571E" w14:textId="77777777" w:rsidR="00DB380F" w:rsidRPr="005E1CFA" w:rsidRDefault="00DB380F" w:rsidP="002249DD">
            <w:pPr>
              <w:rPr>
                <w:b/>
                <w:sz w:val="18"/>
                <w:szCs w:val="18"/>
                <w:lang w:val="en-GB"/>
              </w:rPr>
            </w:pPr>
          </w:p>
          <w:p w14:paraId="69860F23" w14:textId="77777777" w:rsidR="00DB380F" w:rsidRPr="005E1CFA" w:rsidRDefault="00DB380F" w:rsidP="002249DD">
            <w:pPr>
              <w:rPr>
                <w:b/>
                <w:sz w:val="18"/>
                <w:szCs w:val="18"/>
                <w:lang w:val="en-GB"/>
              </w:rPr>
            </w:pPr>
          </w:p>
        </w:tc>
      </w:tr>
      <w:tr w:rsidR="00DB380F" w:rsidRPr="005E1CFA" w14:paraId="7BC3BD70" w14:textId="77777777" w:rsidTr="008D05D9">
        <w:trPr>
          <w:trHeight w:val="25"/>
        </w:trPr>
        <w:tc>
          <w:tcPr>
            <w:tcW w:w="5000" w:type="pct"/>
            <w:gridSpan w:val="5"/>
          </w:tcPr>
          <w:p w14:paraId="27E0F27F" w14:textId="56F0E93E" w:rsidR="00DB380F" w:rsidRPr="005E1CFA" w:rsidRDefault="001B0A28" w:rsidP="002249DD">
            <w:pPr>
              <w:rPr>
                <w:sz w:val="18"/>
                <w:szCs w:val="18"/>
                <w:lang w:val="en-GB"/>
              </w:rPr>
            </w:pPr>
            <w:r w:rsidRPr="005E1CFA">
              <w:rPr>
                <w:b/>
                <w:bCs/>
                <w:sz w:val="18"/>
                <w:szCs w:val="18"/>
                <w:lang w:val="en-GB"/>
              </w:rPr>
              <w:t xml:space="preserve">National priority or goal. </w:t>
            </w:r>
            <w:r w:rsidRPr="005E1CFA">
              <w:rPr>
                <w:bCs/>
                <w:i/>
                <w:sz w:val="18"/>
                <w:szCs w:val="18"/>
                <w:lang w:val="en-GB"/>
              </w:rPr>
              <w:t>Note:</w:t>
            </w:r>
            <w:r w:rsidRPr="005E1CFA">
              <w:rPr>
                <w:bCs/>
                <w:sz w:val="18"/>
                <w:szCs w:val="18"/>
                <w:lang w:val="en-GB"/>
              </w:rPr>
              <w:t xml:space="preserve"> There is no national development plan beyond June 2016</w:t>
            </w:r>
          </w:p>
        </w:tc>
      </w:tr>
      <w:tr w:rsidR="00DB380F" w:rsidRPr="005E1CFA" w14:paraId="10510761" w14:textId="77777777" w:rsidTr="008D05D9">
        <w:trPr>
          <w:trHeight w:val="124"/>
        </w:trPr>
        <w:tc>
          <w:tcPr>
            <w:tcW w:w="5000" w:type="pct"/>
            <w:gridSpan w:val="5"/>
          </w:tcPr>
          <w:p w14:paraId="1F476095" w14:textId="501CDB42" w:rsidR="00DB380F" w:rsidRPr="005E1CFA" w:rsidRDefault="00DB380F" w:rsidP="002249DD">
            <w:pPr>
              <w:rPr>
                <w:sz w:val="18"/>
                <w:szCs w:val="18"/>
                <w:lang w:val="en-GB"/>
              </w:rPr>
            </w:pPr>
            <w:r w:rsidRPr="005E1CFA">
              <w:rPr>
                <w:b/>
                <w:bCs/>
                <w:sz w:val="18"/>
                <w:szCs w:val="18"/>
                <w:lang w:val="en-GB"/>
              </w:rPr>
              <w:t xml:space="preserve">ICF </w:t>
            </w:r>
            <w:r w:rsidR="001B0A28" w:rsidRPr="005E1CFA">
              <w:rPr>
                <w:b/>
                <w:bCs/>
                <w:sz w:val="18"/>
                <w:szCs w:val="18"/>
                <w:lang w:val="en-GB"/>
              </w:rPr>
              <w:t xml:space="preserve">outcome involving </w:t>
            </w:r>
            <w:r w:rsidRPr="005E1CFA">
              <w:rPr>
                <w:b/>
                <w:bCs/>
                <w:sz w:val="18"/>
                <w:szCs w:val="18"/>
                <w:lang w:val="en-GB"/>
              </w:rPr>
              <w:t>UNDP</w:t>
            </w:r>
            <w:r w:rsidR="001B0A28" w:rsidRPr="005E1CFA">
              <w:rPr>
                <w:b/>
                <w:bCs/>
                <w:sz w:val="18"/>
                <w:szCs w:val="18"/>
                <w:lang w:val="en-GB"/>
              </w:rPr>
              <w:t xml:space="preserve"> No. </w:t>
            </w:r>
            <w:r w:rsidRPr="005E1CFA">
              <w:rPr>
                <w:b/>
                <w:bCs/>
                <w:sz w:val="18"/>
                <w:szCs w:val="18"/>
                <w:lang w:val="en-GB"/>
              </w:rPr>
              <w:t>3</w:t>
            </w:r>
            <w:r w:rsidR="002C2DCD">
              <w:rPr>
                <w:b/>
                <w:bCs/>
                <w:sz w:val="18"/>
                <w:szCs w:val="18"/>
                <w:lang w:val="en-GB"/>
              </w:rPr>
              <w:t>.</w:t>
            </w:r>
            <w:r w:rsidRPr="005E1CFA">
              <w:rPr>
                <w:sz w:val="18"/>
                <w:szCs w:val="18"/>
                <w:lang w:val="en-GB"/>
              </w:rPr>
              <w:t xml:space="preserve"> Peace and </w:t>
            </w:r>
            <w:r w:rsidR="001B0A28" w:rsidRPr="005E1CFA">
              <w:rPr>
                <w:sz w:val="18"/>
                <w:szCs w:val="18"/>
                <w:lang w:val="en-GB"/>
              </w:rPr>
              <w:t>g</w:t>
            </w:r>
            <w:r w:rsidRPr="005E1CFA">
              <w:rPr>
                <w:sz w:val="18"/>
                <w:szCs w:val="18"/>
                <w:lang w:val="en-GB"/>
              </w:rPr>
              <w:t xml:space="preserve">overnance </w:t>
            </w:r>
            <w:r w:rsidR="001B0A28" w:rsidRPr="005E1CFA">
              <w:rPr>
                <w:sz w:val="18"/>
                <w:szCs w:val="18"/>
                <w:lang w:val="en-GB"/>
              </w:rPr>
              <w:t>s</w:t>
            </w:r>
            <w:r w:rsidRPr="005E1CFA">
              <w:rPr>
                <w:sz w:val="18"/>
                <w:szCs w:val="18"/>
                <w:lang w:val="en-GB"/>
              </w:rPr>
              <w:t>trengthened</w:t>
            </w:r>
          </w:p>
        </w:tc>
      </w:tr>
      <w:tr w:rsidR="00DB380F" w:rsidRPr="005E1CFA" w14:paraId="589C3637" w14:textId="77777777" w:rsidTr="008D05D9">
        <w:trPr>
          <w:trHeight w:val="238"/>
        </w:trPr>
        <w:tc>
          <w:tcPr>
            <w:tcW w:w="5000" w:type="pct"/>
            <w:gridSpan w:val="5"/>
          </w:tcPr>
          <w:p w14:paraId="0F94C026" w14:textId="6E1E2536" w:rsidR="00DB380F" w:rsidRPr="005E1CFA" w:rsidRDefault="001B0A28" w:rsidP="002249DD">
            <w:pPr>
              <w:autoSpaceDE w:val="0"/>
              <w:autoSpaceDN w:val="0"/>
              <w:adjustRightInd w:val="0"/>
              <w:rPr>
                <w:b/>
                <w:bCs/>
                <w:sz w:val="18"/>
                <w:szCs w:val="18"/>
                <w:lang w:val="en-GB"/>
              </w:rPr>
            </w:pPr>
            <w:r w:rsidRPr="005E1CFA">
              <w:rPr>
                <w:b/>
                <w:bCs/>
                <w:sz w:val="18"/>
                <w:szCs w:val="18"/>
                <w:lang w:val="en-GB"/>
              </w:rPr>
              <w:t xml:space="preserve">Related strategic plan outcome </w:t>
            </w:r>
            <w:r w:rsidR="002C2DCD">
              <w:rPr>
                <w:b/>
                <w:bCs/>
                <w:sz w:val="18"/>
                <w:szCs w:val="18"/>
                <w:lang w:val="en-GB"/>
              </w:rPr>
              <w:t>3.</w:t>
            </w:r>
            <w:r w:rsidR="00DB380F" w:rsidRPr="005E1CFA">
              <w:rPr>
                <w:b/>
                <w:bCs/>
                <w:sz w:val="18"/>
                <w:szCs w:val="18"/>
                <w:lang w:val="en-GB"/>
              </w:rPr>
              <w:t xml:space="preserve"> Countries have strengthened institutions to progressively deliver universal access to basic services</w:t>
            </w:r>
          </w:p>
        </w:tc>
      </w:tr>
      <w:tr w:rsidR="00790417" w:rsidRPr="005E1CFA" w14:paraId="2097C307" w14:textId="77777777" w:rsidTr="008D05D9">
        <w:trPr>
          <w:trHeight w:val="170"/>
        </w:trPr>
        <w:tc>
          <w:tcPr>
            <w:tcW w:w="848" w:type="pct"/>
            <w:vMerge w:val="restart"/>
          </w:tcPr>
          <w:p w14:paraId="6D362DAD" w14:textId="77777777" w:rsidR="00790417" w:rsidRPr="005E1CFA" w:rsidRDefault="00790417" w:rsidP="002249DD">
            <w:pPr>
              <w:rPr>
                <w:bCs/>
                <w:sz w:val="18"/>
                <w:szCs w:val="18"/>
                <w:lang w:val="en-GB"/>
              </w:rPr>
            </w:pPr>
            <w:r w:rsidRPr="005E1CFA">
              <w:rPr>
                <w:b/>
                <w:sz w:val="18"/>
                <w:szCs w:val="18"/>
                <w:lang w:val="en-GB"/>
              </w:rPr>
              <w:t xml:space="preserve">Indicator 1. </w:t>
            </w:r>
            <w:r w:rsidRPr="005E1CFA">
              <w:rPr>
                <w:sz w:val="18"/>
                <w:szCs w:val="18"/>
                <w:lang w:val="en-GB"/>
              </w:rPr>
              <w:t>Number of targeted governance and security reforms implemented</w:t>
            </w:r>
          </w:p>
          <w:p w14:paraId="52833E42" w14:textId="77777777" w:rsidR="00790417" w:rsidRPr="005E1CFA" w:rsidRDefault="00790417" w:rsidP="002249DD">
            <w:pPr>
              <w:rPr>
                <w:b/>
                <w:iCs/>
                <w:sz w:val="18"/>
                <w:szCs w:val="18"/>
                <w:lang w:val="en-GB"/>
              </w:rPr>
            </w:pPr>
            <w:r w:rsidRPr="005E1CFA">
              <w:rPr>
                <w:b/>
                <w:iCs/>
                <w:sz w:val="18"/>
                <w:szCs w:val="18"/>
                <w:lang w:val="en-GB"/>
              </w:rPr>
              <w:t>Baseline</w:t>
            </w:r>
            <w:r w:rsidRPr="005E1CFA">
              <w:rPr>
                <w:iCs/>
                <w:sz w:val="18"/>
                <w:szCs w:val="18"/>
                <w:lang w:val="en-GB"/>
              </w:rPr>
              <w:t>: 0</w:t>
            </w:r>
          </w:p>
          <w:p w14:paraId="0FF83FEC" w14:textId="77777777" w:rsidR="00790417" w:rsidRPr="005E1CFA" w:rsidRDefault="00790417" w:rsidP="002249DD">
            <w:pPr>
              <w:rPr>
                <w:b/>
                <w:iCs/>
                <w:sz w:val="18"/>
                <w:szCs w:val="18"/>
                <w:lang w:val="en-GB"/>
              </w:rPr>
            </w:pPr>
            <w:r w:rsidRPr="005E1CFA">
              <w:rPr>
                <w:b/>
                <w:iCs/>
                <w:sz w:val="18"/>
                <w:szCs w:val="18"/>
                <w:lang w:val="en-GB"/>
              </w:rPr>
              <w:t>Target</w:t>
            </w:r>
            <w:r w:rsidRPr="005E1CFA">
              <w:rPr>
                <w:iCs/>
                <w:sz w:val="18"/>
                <w:szCs w:val="18"/>
                <w:lang w:val="en-GB"/>
              </w:rPr>
              <w:t>: 16</w:t>
            </w:r>
          </w:p>
          <w:p w14:paraId="41B90153" w14:textId="77777777" w:rsidR="00790417" w:rsidRPr="005E1CFA" w:rsidRDefault="00790417" w:rsidP="002249DD">
            <w:pPr>
              <w:contextualSpacing/>
              <w:rPr>
                <w:sz w:val="18"/>
                <w:szCs w:val="18"/>
                <w:lang w:val="en-GB"/>
              </w:rPr>
            </w:pPr>
          </w:p>
          <w:p w14:paraId="717496A8" w14:textId="7EB3B1AE" w:rsidR="00790417" w:rsidRPr="005E1CFA" w:rsidRDefault="00790417" w:rsidP="002249DD">
            <w:pPr>
              <w:contextualSpacing/>
              <w:rPr>
                <w:sz w:val="18"/>
                <w:szCs w:val="18"/>
                <w:lang w:val="en-GB"/>
              </w:rPr>
            </w:pPr>
            <w:r w:rsidRPr="005E1CFA">
              <w:rPr>
                <w:b/>
                <w:sz w:val="18"/>
                <w:szCs w:val="18"/>
                <w:lang w:val="en-GB"/>
              </w:rPr>
              <w:t>Indicator 2</w:t>
            </w:r>
            <w:r w:rsidR="00623C9D" w:rsidRPr="005E1CFA">
              <w:rPr>
                <w:b/>
                <w:sz w:val="18"/>
                <w:szCs w:val="18"/>
                <w:lang w:val="en-GB"/>
              </w:rPr>
              <w:t>.</w:t>
            </w:r>
            <w:r w:rsidRPr="005E1CFA">
              <w:rPr>
                <w:b/>
                <w:sz w:val="18"/>
                <w:szCs w:val="18"/>
                <w:lang w:val="en-GB"/>
              </w:rPr>
              <w:t xml:space="preserve"> </w:t>
            </w:r>
            <w:r w:rsidRPr="005E1CFA">
              <w:rPr>
                <w:sz w:val="18"/>
                <w:szCs w:val="18"/>
                <w:lang w:val="en-GB"/>
              </w:rPr>
              <w:t>Percent of citizens who report increased personal safety and security (disaggregated by gender)</w:t>
            </w:r>
          </w:p>
          <w:p w14:paraId="20C48C24" w14:textId="7296CA62" w:rsidR="00790417" w:rsidRPr="005E1CFA" w:rsidRDefault="00790417" w:rsidP="002249DD">
            <w:pPr>
              <w:contextualSpacing/>
              <w:rPr>
                <w:sz w:val="18"/>
                <w:szCs w:val="18"/>
                <w:lang w:val="en-GB"/>
              </w:rPr>
            </w:pPr>
            <w:r w:rsidRPr="005E1CFA">
              <w:rPr>
                <w:b/>
                <w:sz w:val="18"/>
                <w:szCs w:val="18"/>
                <w:lang w:val="en-GB"/>
              </w:rPr>
              <w:t xml:space="preserve">Baseline: </w:t>
            </w:r>
            <w:r w:rsidRPr="005E1CFA">
              <w:rPr>
                <w:sz w:val="18"/>
                <w:szCs w:val="18"/>
                <w:lang w:val="en-GB"/>
              </w:rPr>
              <w:t xml:space="preserve">32.7% (30% female) </w:t>
            </w:r>
          </w:p>
          <w:p w14:paraId="2F410424" w14:textId="77777777" w:rsidR="00790417" w:rsidRPr="005E1CFA" w:rsidRDefault="00790417" w:rsidP="002249DD">
            <w:pPr>
              <w:contextualSpacing/>
              <w:rPr>
                <w:sz w:val="18"/>
                <w:szCs w:val="18"/>
                <w:lang w:val="en-GB"/>
              </w:rPr>
            </w:pPr>
            <w:r w:rsidRPr="005E1CFA">
              <w:rPr>
                <w:b/>
                <w:sz w:val="18"/>
                <w:szCs w:val="18"/>
                <w:lang w:val="en-GB"/>
              </w:rPr>
              <w:t xml:space="preserve">Target: </w:t>
            </w:r>
            <w:r w:rsidRPr="005E1CFA">
              <w:rPr>
                <w:sz w:val="18"/>
                <w:szCs w:val="18"/>
                <w:lang w:val="en-GB"/>
              </w:rPr>
              <w:t>50% (52% female)</w:t>
            </w:r>
          </w:p>
          <w:p w14:paraId="6C48A25B" w14:textId="77777777" w:rsidR="005D6DE9" w:rsidRPr="005E1CFA" w:rsidRDefault="005D6DE9" w:rsidP="002249DD">
            <w:pPr>
              <w:contextualSpacing/>
              <w:rPr>
                <w:sz w:val="18"/>
                <w:szCs w:val="18"/>
                <w:lang w:val="en-GB"/>
              </w:rPr>
            </w:pPr>
          </w:p>
          <w:p w14:paraId="39896FA0" w14:textId="4EB46B94" w:rsidR="005D6DE9" w:rsidRPr="005E1CFA" w:rsidRDefault="005D6DE9" w:rsidP="002249DD">
            <w:pPr>
              <w:contextualSpacing/>
              <w:rPr>
                <w:sz w:val="18"/>
                <w:szCs w:val="18"/>
                <w:lang w:val="en-GB"/>
              </w:rPr>
            </w:pPr>
            <w:r w:rsidRPr="005E1CFA">
              <w:rPr>
                <w:b/>
                <w:sz w:val="18"/>
                <w:szCs w:val="18"/>
                <w:lang w:val="en-GB"/>
              </w:rPr>
              <w:t>Indicator 3</w:t>
            </w:r>
            <w:r w:rsidR="00623C9D" w:rsidRPr="005E1CFA">
              <w:rPr>
                <w:b/>
                <w:sz w:val="18"/>
                <w:szCs w:val="18"/>
                <w:lang w:val="en-GB"/>
              </w:rPr>
              <w:t>.</w:t>
            </w:r>
            <w:r w:rsidRPr="005E1CFA">
              <w:rPr>
                <w:sz w:val="18"/>
                <w:szCs w:val="18"/>
                <w:lang w:val="en-GB"/>
              </w:rPr>
              <w:t xml:space="preserve"> Percentage of transitional governance mechanism</w:t>
            </w:r>
            <w:r w:rsidR="00E279D5" w:rsidRPr="005E1CFA">
              <w:rPr>
                <w:sz w:val="18"/>
                <w:szCs w:val="18"/>
                <w:lang w:val="en-GB"/>
              </w:rPr>
              <w:t>s</w:t>
            </w:r>
            <w:r w:rsidRPr="005E1CFA">
              <w:rPr>
                <w:sz w:val="18"/>
                <w:szCs w:val="18"/>
                <w:lang w:val="en-GB"/>
              </w:rPr>
              <w:t xml:space="preserve"> with </w:t>
            </w:r>
            <w:r w:rsidR="004D3BA1" w:rsidRPr="005E1CFA">
              <w:rPr>
                <w:sz w:val="18"/>
                <w:szCs w:val="18"/>
                <w:lang w:val="en-GB"/>
              </w:rPr>
              <w:t>the participation of civil society organizations (</w:t>
            </w:r>
            <w:r w:rsidRPr="005E1CFA">
              <w:rPr>
                <w:sz w:val="18"/>
                <w:szCs w:val="18"/>
                <w:lang w:val="en-GB"/>
              </w:rPr>
              <w:t>CSO</w:t>
            </w:r>
            <w:r w:rsidR="004D3BA1" w:rsidRPr="005E1CFA">
              <w:rPr>
                <w:sz w:val="18"/>
                <w:szCs w:val="18"/>
                <w:lang w:val="en-GB"/>
              </w:rPr>
              <w:t>s)</w:t>
            </w:r>
            <w:r w:rsidRPr="005E1CFA">
              <w:rPr>
                <w:sz w:val="18"/>
                <w:szCs w:val="18"/>
                <w:lang w:val="en-GB"/>
              </w:rPr>
              <w:t xml:space="preserve"> and </w:t>
            </w:r>
            <w:r w:rsidR="004D3BA1" w:rsidRPr="005E1CFA">
              <w:rPr>
                <w:sz w:val="18"/>
                <w:szCs w:val="18"/>
                <w:lang w:val="en-GB"/>
              </w:rPr>
              <w:t xml:space="preserve">the </w:t>
            </w:r>
            <w:r w:rsidRPr="005E1CFA">
              <w:rPr>
                <w:sz w:val="18"/>
                <w:szCs w:val="18"/>
                <w:lang w:val="en-GB"/>
              </w:rPr>
              <w:t xml:space="preserve">media </w:t>
            </w:r>
          </w:p>
          <w:p w14:paraId="688C1C9F" w14:textId="77777777" w:rsidR="005D6DE9" w:rsidRPr="005E1CFA" w:rsidRDefault="005D6DE9" w:rsidP="002249DD">
            <w:pPr>
              <w:contextualSpacing/>
              <w:rPr>
                <w:sz w:val="18"/>
                <w:szCs w:val="18"/>
                <w:lang w:val="en-GB"/>
              </w:rPr>
            </w:pPr>
            <w:r w:rsidRPr="005E1CFA">
              <w:rPr>
                <w:b/>
                <w:sz w:val="18"/>
                <w:szCs w:val="18"/>
                <w:lang w:val="en-GB"/>
              </w:rPr>
              <w:t>Baseline</w:t>
            </w:r>
            <w:r w:rsidRPr="005E1CFA">
              <w:rPr>
                <w:sz w:val="18"/>
                <w:szCs w:val="18"/>
                <w:lang w:val="en-GB"/>
              </w:rPr>
              <w:t>: 0</w:t>
            </w:r>
          </w:p>
          <w:p w14:paraId="6232F53F" w14:textId="77777777" w:rsidR="005D6DE9" w:rsidRPr="005E1CFA" w:rsidRDefault="005D6DE9" w:rsidP="002249DD">
            <w:pPr>
              <w:contextualSpacing/>
              <w:rPr>
                <w:sz w:val="18"/>
                <w:szCs w:val="18"/>
                <w:lang w:val="en-GB"/>
              </w:rPr>
            </w:pPr>
            <w:r w:rsidRPr="005E1CFA">
              <w:rPr>
                <w:b/>
                <w:sz w:val="18"/>
                <w:szCs w:val="18"/>
                <w:lang w:val="en-GB"/>
              </w:rPr>
              <w:t>Target:</w:t>
            </w:r>
            <w:r w:rsidRPr="005E1CFA">
              <w:rPr>
                <w:sz w:val="18"/>
                <w:szCs w:val="18"/>
                <w:lang w:val="en-GB"/>
              </w:rPr>
              <w:t xml:space="preserve"> 80%</w:t>
            </w:r>
          </w:p>
          <w:p w14:paraId="57F76AE5" w14:textId="77777777" w:rsidR="00790417" w:rsidRPr="005E1CFA" w:rsidRDefault="00790417" w:rsidP="002249DD">
            <w:pPr>
              <w:contextualSpacing/>
              <w:rPr>
                <w:sz w:val="18"/>
                <w:szCs w:val="18"/>
                <w:lang w:val="en-GB"/>
              </w:rPr>
            </w:pPr>
          </w:p>
          <w:p w14:paraId="49CCBA71" w14:textId="77777777" w:rsidR="00790417" w:rsidRPr="005E1CFA" w:rsidRDefault="00790417" w:rsidP="002249DD">
            <w:pPr>
              <w:contextualSpacing/>
              <w:rPr>
                <w:iCs/>
                <w:sz w:val="18"/>
                <w:szCs w:val="18"/>
                <w:lang w:val="en-GB"/>
              </w:rPr>
            </w:pPr>
          </w:p>
          <w:p w14:paraId="4E19666E" w14:textId="77777777" w:rsidR="00790417" w:rsidRPr="005E1CFA" w:rsidRDefault="00790417" w:rsidP="002249DD">
            <w:pPr>
              <w:contextualSpacing/>
              <w:rPr>
                <w:iCs/>
                <w:sz w:val="18"/>
                <w:szCs w:val="18"/>
                <w:lang w:val="en-GB"/>
              </w:rPr>
            </w:pPr>
          </w:p>
        </w:tc>
        <w:tc>
          <w:tcPr>
            <w:tcW w:w="775" w:type="pct"/>
            <w:vMerge w:val="restart"/>
          </w:tcPr>
          <w:p w14:paraId="3F7B5A96" w14:textId="08DE101E" w:rsidR="00790417" w:rsidRPr="005E1CFA" w:rsidRDefault="00790417" w:rsidP="002249DD">
            <w:pPr>
              <w:autoSpaceDE w:val="0"/>
              <w:autoSpaceDN w:val="0"/>
              <w:adjustRightInd w:val="0"/>
              <w:rPr>
                <w:sz w:val="18"/>
                <w:szCs w:val="18"/>
                <w:lang w:val="en-GB"/>
              </w:rPr>
            </w:pPr>
            <w:r w:rsidRPr="005E1CFA">
              <w:rPr>
                <w:b/>
                <w:sz w:val="18"/>
                <w:szCs w:val="18"/>
                <w:lang w:val="en-GB"/>
              </w:rPr>
              <w:lastRenderedPageBreak/>
              <w:t xml:space="preserve">Data Sources: </w:t>
            </w:r>
            <w:r w:rsidRPr="005E1CFA">
              <w:rPr>
                <w:sz w:val="18"/>
                <w:szCs w:val="18"/>
                <w:lang w:val="en-GB"/>
              </w:rPr>
              <w:t xml:space="preserve">Permanent constitution and </w:t>
            </w:r>
            <w:r w:rsidR="00623C9D" w:rsidRPr="005E1CFA">
              <w:rPr>
                <w:iCs/>
                <w:sz w:val="18"/>
                <w:szCs w:val="18"/>
                <w:lang w:val="en-GB"/>
              </w:rPr>
              <w:t>National Constitution Review Commission (</w:t>
            </w:r>
            <w:r w:rsidRPr="005E1CFA">
              <w:rPr>
                <w:sz w:val="18"/>
                <w:szCs w:val="18"/>
                <w:lang w:val="en-GB"/>
              </w:rPr>
              <w:t>NCRC</w:t>
            </w:r>
            <w:r w:rsidR="00623C9D" w:rsidRPr="005E1CFA">
              <w:rPr>
                <w:sz w:val="18"/>
                <w:szCs w:val="18"/>
                <w:lang w:val="en-GB"/>
              </w:rPr>
              <w:t>)</w:t>
            </w:r>
            <w:r w:rsidRPr="005E1CFA">
              <w:rPr>
                <w:sz w:val="18"/>
                <w:szCs w:val="18"/>
                <w:lang w:val="en-GB"/>
              </w:rPr>
              <w:t xml:space="preserve"> report; Government line ministries reports; national perception survey </w:t>
            </w:r>
          </w:p>
          <w:p w14:paraId="7A4EF10C" w14:textId="77777777" w:rsidR="00790417" w:rsidRPr="005E1CFA" w:rsidRDefault="00790417" w:rsidP="002249DD">
            <w:pPr>
              <w:autoSpaceDE w:val="0"/>
              <w:autoSpaceDN w:val="0"/>
              <w:adjustRightInd w:val="0"/>
              <w:rPr>
                <w:sz w:val="18"/>
                <w:szCs w:val="18"/>
                <w:lang w:val="en-GB"/>
              </w:rPr>
            </w:pPr>
            <w:r w:rsidRPr="005E1CFA">
              <w:rPr>
                <w:b/>
                <w:sz w:val="18"/>
                <w:szCs w:val="18"/>
                <w:lang w:val="en-GB"/>
              </w:rPr>
              <w:t>Frequency</w:t>
            </w:r>
            <w:r w:rsidRPr="005E1CFA">
              <w:rPr>
                <w:sz w:val="18"/>
                <w:szCs w:val="18"/>
                <w:lang w:val="en-GB"/>
              </w:rPr>
              <w:t xml:space="preserve">: Annually </w:t>
            </w:r>
          </w:p>
          <w:p w14:paraId="41826148" w14:textId="276408CC" w:rsidR="00790417" w:rsidRPr="005E1CFA" w:rsidRDefault="00790417" w:rsidP="002249DD">
            <w:pPr>
              <w:autoSpaceDE w:val="0"/>
              <w:autoSpaceDN w:val="0"/>
              <w:adjustRightInd w:val="0"/>
              <w:rPr>
                <w:sz w:val="18"/>
                <w:szCs w:val="18"/>
                <w:lang w:val="en-GB"/>
              </w:rPr>
            </w:pPr>
            <w:r w:rsidRPr="005E1CFA">
              <w:rPr>
                <w:b/>
                <w:sz w:val="18"/>
                <w:szCs w:val="18"/>
                <w:lang w:val="en-GB"/>
              </w:rPr>
              <w:t>Responsibility</w:t>
            </w:r>
            <w:r w:rsidRPr="005E1CFA">
              <w:rPr>
                <w:sz w:val="18"/>
                <w:szCs w:val="18"/>
                <w:lang w:val="en-GB"/>
              </w:rPr>
              <w:t>: UNDP, Ministry of Finance; M</w:t>
            </w:r>
            <w:r w:rsidR="00623C9D" w:rsidRPr="005E1CFA">
              <w:rPr>
                <w:sz w:val="18"/>
                <w:szCs w:val="18"/>
                <w:lang w:val="en-GB"/>
              </w:rPr>
              <w:t>inistry of Justice</w:t>
            </w:r>
            <w:r w:rsidRPr="005E1CFA">
              <w:rPr>
                <w:sz w:val="18"/>
                <w:szCs w:val="18"/>
                <w:lang w:val="en-GB"/>
              </w:rPr>
              <w:t>,</w:t>
            </w:r>
            <w:r w:rsidR="006D2F0F" w:rsidRPr="005E1CFA">
              <w:rPr>
                <w:iCs/>
                <w:sz w:val="18"/>
                <w:szCs w:val="18"/>
                <w:lang w:val="en-GB"/>
              </w:rPr>
              <w:t xml:space="preserve"> Judiciary of South Sudan</w:t>
            </w:r>
            <w:r w:rsidR="00623C9D" w:rsidRPr="005E1CFA">
              <w:rPr>
                <w:iCs/>
                <w:sz w:val="18"/>
                <w:szCs w:val="18"/>
                <w:lang w:val="en-GB"/>
              </w:rPr>
              <w:t>; National Elections Commission (</w:t>
            </w:r>
            <w:r w:rsidRPr="005E1CFA">
              <w:rPr>
                <w:sz w:val="18"/>
                <w:szCs w:val="18"/>
                <w:lang w:val="en-GB"/>
              </w:rPr>
              <w:t>NEC</w:t>
            </w:r>
            <w:r w:rsidR="00623C9D" w:rsidRPr="005E1CFA">
              <w:rPr>
                <w:sz w:val="18"/>
                <w:szCs w:val="18"/>
                <w:lang w:val="en-GB"/>
              </w:rPr>
              <w:t>)</w:t>
            </w:r>
            <w:r w:rsidRPr="005E1CFA">
              <w:rPr>
                <w:sz w:val="18"/>
                <w:szCs w:val="18"/>
                <w:lang w:val="en-GB"/>
              </w:rPr>
              <w:t>, NCRC</w:t>
            </w:r>
          </w:p>
        </w:tc>
        <w:tc>
          <w:tcPr>
            <w:tcW w:w="2026" w:type="pct"/>
          </w:tcPr>
          <w:p w14:paraId="41DACDD0" w14:textId="12C9C70D" w:rsidR="00790417" w:rsidRPr="005E1CFA" w:rsidRDefault="00790417" w:rsidP="002249DD">
            <w:pPr>
              <w:autoSpaceDE w:val="0"/>
              <w:autoSpaceDN w:val="0"/>
              <w:adjustRightInd w:val="0"/>
              <w:rPr>
                <w:sz w:val="18"/>
                <w:szCs w:val="18"/>
                <w:lang w:val="en-GB"/>
              </w:rPr>
            </w:pPr>
            <w:r w:rsidRPr="005E1CFA">
              <w:rPr>
                <w:b/>
                <w:iCs/>
                <w:sz w:val="18"/>
                <w:szCs w:val="18"/>
                <w:lang w:val="en-GB"/>
              </w:rPr>
              <w:t>Output 3.1</w:t>
            </w:r>
            <w:r w:rsidRPr="002C2DCD">
              <w:rPr>
                <w:b/>
                <w:iCs/>
                <w:sz w:val="18"/>
                <w:szCs w:val="18"/>
                <w:lang w:val="en-GB"/>
              </w:rPr>
              <w:t>.</w:t>
            </w:r>
            <w:r w:rsidRPr="005E1CFA">
              <w:rPr>
                <w:iCs/>
                <w:sz w:val="18"/>
                <w:szCs w:val="18"/>
                <w:lang w:val="en-GB"/>
              </w:rPr>
              <w:t xml:space="preserve"> </w:t>
            </w:r>
            <w:r w:rsidRPr="005E1CFA">
              <w:rPr>
                <w:sz w:val="18"/>
                <w:szCs w:val="18"/>
                <w:lang w:val="en-GB"/>
              </w:rPr>
              <w:t xml:space="preserve">Rule of law institutions provide </w:t>
            </w:r>
            <w:r w:rsidR="004D3BA1" w:rsidRPr="005E1CFA">
              <w:rPr>
                <w:sz w:val="18"/>
                <w:szCs w:val="18"/>
                <w:lang w:val="en-GB"/>
              </w:rPr>
              <w:t>high-</w:t>
            </w:r>
            <w:r w:rsidRPr="005E1CFA">
              <w:rPr>
                <w:sz w:val="18"/>
                <w:szCs w:val="18"/>
                <w:lang w:val="en-GB"/>
              </w:rPr>
              <w:t>quality services to an increasing number of people in South Sudan</w:t>
            </w:r>
          </w:p>
          <w:p w14:paraId="0216896C" w14:textId="77777777" w:rsidR="00790417" w:rsidRPr="005E1CFA" w:rsidRDefault="00790417" w:rsidP="002249DD">
            <w:pPr>
              <w:rPr>
                <w:iCs/>
                <w:sz w:val="18"/>
                <w:szCs w:val="18"/>
                <w:lang w:val="en-GB"/>
              </w:rPr>
            </w:pPr>
          </w:p>
          <w:p w14:paraId="35A29414" w14:textId="77777777" w:rsidR="00790417" w:rsidRPr="005E1CFA" w:rsidRDefault="00790417" w:rsidP="002249DD">
            <w:pPr>
              <w:autoSpaceDE w:val="0"/>
              <w:autoSpaceDN w:val="0"/>
              <w:adjustRightInd w:val="0"/>
              <w:rPr>
                <w:bCs/>
                <w:i/>
                <w:sz w:val="18"/>
                <w:szCs w:val="18"/>
                <w:lang w:val="en-GB"/>
              </w:rPr>
            </w:pPr>
            <w:r w:rsidRPr="005E1CFA">
              <w:rPr>
                <w:b/>
                <w:iCs/>
                <w:sz w:val="18"/>
                <w:szCs w:val="18"/>
                <w:lang w:val="en-GB"/>
              </w:rPr>
              <w:t>Indicator 1</w:t>
            </w:r>
            <w:r w:rsidRPr="002C2DCD">
              <w:rPr>
                <w:b/>
                <w:iCs/>
                <w:sz w:val="18"/>
                <w:szCs w:val="18"/>
                <w:lang w:val="en-GB"/>
              </w:rPr>
              <w:t>.</w:t>
            </w:r>
            <w:r w:rsidRPr="005E1CFA">
              <w:rPr>
                <w:iCs/>
                <w:sz w:val="18"/>
                <w:szCs w:val="18"/>
                <w:lang w:val="en-GB"/>
              </w:rPr>
              <w:t xml:space="preserve"> Number of vulnerable persons (women, men, juveniles) provided with emergency police response services </w:t>
            </w:r>
          </w:p>
          <w:p w14:paraId="3917A4AD" w14:textId="77777777" w:rsidR="00790417" w:rsidRPr="005E1CFA" w:rsidRDefault="00790417" w:rsidP="002249DD">
            <w:pPr>
              <w:rPr>
                <w:iCs/>
                <w:sz w:val="18"/>
                <w:szCs w:val="18"/>
                <w:lang w:val="en-GB"/>
              </w:rPr>
            </w:pPr>
            <w:r w:rsidRPr="005E1CFA">
              <w:rPr>
                <w:b/>
                <w:iCs/>
                <w:sz w:val="18"/>
                <w:szCs w:val="18"/>
                <w:lang w:val="en-GB"/>
              </w:rPr>
              <w:t>Baseline:</w:t>
            </w:r>
            <w:r w:rsidRPr="005E1CFA">
              <w:rPr>
                <w:iCs/>
                <w:sz w:val="18"/>
                <w:szCs w:val="18"/>
                <w:lang w:val="en-GB"/>
              </w:rPr>
              <w:t xml:space="preserve"> 10,500 </w:t>
            </w:r>
          </w:p>
          <w:p w14:paraId="5B15506C" w14:textId="77777777" w:rsidR="00790417" w:rsidRPr="005E1CFA" w:rsidRDefault="00790417" w:rsidP="002249DD">
            <w:pPr>
              <w:rPr>
                <w:iCs/>
                <w:sz w:val="18"/>
                <w:szCs w:val="18"/>
                <w:lang w:val="en-GB"/>
              </w:rPr>
            </w:pPr>
            <w:r w:rsidRPr="002C2DCD">
              <w:rPr>
                <w:b/>
                <w:iCs/>
                <w:sz w:val="18"/>
                <w:szCs w:val="18"/>
                <w:lang w:val="en-GB"/>
              </w:rPr>
              <w:t>Target:</w:t>
            </w:r>
            <w:r w:rsidRPr="005E1CFA">
              <w:rPr>
                <w:iCs/>
                <w:sz w:val="18"/>
                <w:szCs w:val="18"/>
                <w:lang w:val="en-GB"/>
              </w:rPr>
              <w:t xml:space="preserve"> 25,000 </w:t>
            </w:r>
          </w:p>
          <w:p w14:paraId="5BBB1553" w14:textId="637BF5B1" w:rsidR="00790417" w:rsidRPr="005E1CFA" w:rsidRDefault="00790417" w:rsidP="002249DD">
            <w:pPr>
              <w:rPr>
                <w:iCs/>
                <w:sz w:val="18"/>
                <w:szCs w:val="18"/>
                <w:lang w:val="en-GB"/>
              </w:rPr>
            </w:pPr>
            <w:r w:rsidRPr="005E1CFA">
              <w:rPr>
                <w:b/>
                <w:iCs/>
                <w:sz w:val="18"/>
                <w:szCs w:val="18"/>
                <w:lang w:val="en-GB"/>
              </w:rPr>
              <w:t>Source:</w:t>
            </w:r>
            <w:r w:rsidRPr="005E1CFA">
              <w:rPr>
                <w:iCs/>
                <w:sz w:val="18"/>
                <w:szCs w:val="18"/>
                <w:lang w:val="en-GB"/>
              </w:rPr>
              <w:t xml:space="preserve"> </w:t>
            </w:r>
            <w:r w:rsidR="004D3BA1" w:rsidRPr="005E1CFA">
              <w:rPr>
                <w:iCs/>
                <w:sz w:val="18"/>
                <w:szCs w:val="18"/>
                <w:lang w:val="en-GB"/>
              </w:rPr>
              <w:t>South Sudan National Police Service (</w:t>
            </w:r>
            <w:r w:rsidRPr="005E1CFA">
              <w:rPr>
                <w:iCs/>
                <w:sz w:val="18"/>
                <w:szCs w:val="18"/>
                <w:lang w:val="en-GB"/>
              </w:rPr>
              <w:t>SSNPS</w:t>
            </w:r>
            <w:r w:rsidR="004D3BA1" w:rsidRPr="005E1CFA">
              <w:rPr>
                <w:iCs/>
                <w:sz w:val="18"/>
                <w:szCs w:val="18"/>
                <w:lang w:val="en-GB"/>
              </w:rPr>
              <w:t>)</w:t>
            </w:r>
            <w:r w:rsidRPr="005E1CFA">
              <w:rPr>
                <w:iCs/>
                <w:sz w:val="18"/>
                <w:szCs w:val="18"/>
                <w:lang w:val="en-GB"/>
              </w:rPr>
              <w:t xml:space="preserve"> reports  </w:t>
            </w:r>
          </w:p>
          <w:p w14:paraId="332E060B" w14:textId="77777777" w:rsidR="00790417" w:rsidRPr="005E1CFA" w:rsidRDefault="00790417" w:rsidP="002249DD">
            <w:pPr>
              <w:rPr>
                <w:iCs/>
                <w:sz w:val="18"/>
                <w:szCs w:val="18"/>
                <w:lang w:val="en-GB"/>
              </w:rPr>
            </w:pPr>
          </w:p>
          <w:p w14:paraId="07AA9543" w14:textId="77777777" w:rsidR="00790417" w:rsidRPr="005E1CFA" w:rsidRDefault="00790417" w:rsidP="002249DD">
            <w:pPr>
              <w:rPr>
                <w:rFonts w:eastAsia="Calibri"/>
                <w:sz w:val="18"/>
                <w:szCs w:val="18"/>
                <w:lang w:val="en-GB"/>
              </w:rPr>
            </w:pPr>
            <w:r w:rsidRPr="005E1CFA">
              <w:rPr>
                <w:rFonts w:eastAsia="Calibri"/>
                <w:b/>
                <w:sz w:val="18"/>
                <w:szCs w:val="18"/>
                <w:lang w:val="en-GB"/>
              </w:rPr>
              <w:t>Indicator 2</w:t>
            </w:r>
            <w:r w:rsidRPr="002C2DCD">
              <w:rPr>
                <w:rFonts w:eastAsia="Calibri"/>
                <w:b/>
                <w:sz w:val="18"/>
                <w:szCs w:val="18"/>
                <w:lang w:val="en-GB"/>
              </w:rPr>
              <w:t>:</w:t>
            </w:r>
            <w:r w:rsidRPr="005E1CFA">
              <w:rPr>
                <w:rFonts w:eastAsia="Calibri"/>
                <w:sz w:val="18"/>
                <w:szCs w:val="18"/>
                <w:lang w:val="en-GB"/>
              </w:rPr>
              <w:t xml:space="preserve"> Number of persons accessing legal aid services, disaggregated by sex </w:t>
            </w:r>
          </w:p>
          <w:p w14:paraId="362CE6D5" w14:textId="77777777" w:rsidR="00790417" w:rsidRPr="005E1CFA" w:rsidRDefault="00790417" w:rsidP="002249DD">
            <w:pPr>
              <w:rPr>
                <w:rFonts w:eastAsia="Calibri"/>
                <w:sz w:val="18"/>
                <w:szCs w:val="18"/>
                <w:lang w:val="en-GB"/>
              </w:rPr>
            </w:pPr>
            <w:r w:rsidRPr="005E1CFA">
              <w:rPr>
                <w:rFonts w:eastAsia="Calibri"/>
                <w:b/>
                <w:sz w:val="18"/>
                <w:szCs w:val="18"/>
                <w:lang w:val="en-GB"/>
              </w:rPr>
              <w:t xml:space="preserve">Baseline: </w:t>
            </w:r>
            <w:r w:rsidRPr="005E1CFA">
              <w:rPr>
                <w:rFonts w:eastAsia="Calibri"/>
                <w:sz w:val="18"/>
                <w:szCs w:val="18"/>
                <w:lang w:val="en-GB"/>
              </w:rPr>
              <w:t>130 (39% female)</w:t>
            </w:r>
          </w:p>
          <w:p w14:paraId="73A05BC2" w14:textId="77777777" w:rsidR="00790417" w:rsidRPr="005E1CFA" w:rsidRDefault="00790417" w:rsidP="002249DD">
            <w:pPr>
              <w:rPr>
                <w:rFonts w:eastAsia="Calibri"/>
                <w:sz w:val="18"/>
                <w:szCs w:val="18"/>
                <w:lang w:val="en-GB"/>
              </w:rPr>
            </w:pPr>
            <w:r w:rsidRPr="005E1CFA">
              <w:rPr>
                <w:rFonts w:eastAsia="Calibri"/>
                <w:b/>
                <w:sz w:val="18"/>
                <w:szCs w:val="18"/>
                <w:lang w:val="en-GB"/>
              </w:rPr>
              <w:t xml:space="preserve">Target: </w:t>
            </w:r>
            <w:r w:rsidR="00AB09C0" w:rsidRPr="005E1CFA">
              <w:rPr>
                <w:rFonts w:eastAsia="Calibri"/>
                <w:sz w:val="18"/>
                <w:szCs w:val="18"/>
                <w:lang w:val="en-GB"/>
              </w:rPr>
              <w:t>6</w:t>
            </w:r>
            <w:r w:rsidRPr="005E1CFA">
              <w:rPr>
                <w:rFonts w:eastAsia="Calibri"/>
                <w:sz w:val="18"/>
                <w:szCs w:val="18"/>
                <w:lang w:val="en-GB"/>
              </w:rPr>
              <w:t>00 (</w:t>
            </w:r>
            <w:r w:rsidR="00AB09C0" w:rsidRPr="005E1CFA">
              <w:rPr>
                <w:rFonts w:eastAsia="Calibri"/>
                <w:sz w:val="18"/>
                <w:szCs w:val="18"/>
                <w:lang w:val="en-GB"/>
              </w:rPr>
              <w:t>50</w:t>
            </w:r>
            <w:r w:rsidRPr="005E1CFA">
              <w:rPr>
                <w:rFonts w:eastAsia="Calibri"/>
                <w:sz w:val="18"/>
                <w:szCs w:val="18"/>
                <w:lang w:val="en-GB"/>
              </w:rPr>
              <w:t xml:space="preserve">% female) </w:t>
            </w:r>
          </w:p>
          <w:p w14:paraId="69ED0E45" w14:textId="77777777" w:rsidR="00790417" w:rsidRPr="005E1CFA" w:rsidRDefault="00790417" w:rsidP="002249DD">
            <w:pPr>
              <w:rPr>
                <w:rFonts w:eastAsia="Calibri"/>
                <w:sz w:val="18"/>
                <w:szCs w:val="18"/>
                <w:lang w:val="en-GB"/>
              </w:rPr>
            </w:pPr>
            <w:r w:rsidRPr="005E1CFA">
              <w:rPr>
                <w:rFonts w:eastAsia="Calibri"/>
                <w:b/>
                <w:sz w:val="18"/>
                <w:szCs w:val="18"/>
                <w:lang w:val="en-GB"/>
              </w:rPr>
              <w:t>Source:</w:t>
            </w:r>
            <w:r w:rsidRPr="005E1CFA">
              <w:rPr>
                <w:rFonts w:eastAsia="Calibri"/>
                <w:sz w:val="18"/>
                <w:szCs w:val="18"/>
                <w:lang w:val="en-GB"/>
              </w:rPr>
              <w:t xml:space="preserve"> Ministry of Justice reports</w:t>
            </w:r>
          </w:p>
        </w:tc>
        <w:tc>
          <w:tcPr>
            <w:tcW w:w="701" w:type="pct"/>
            <w:vMerge w:val="restart"/>
          </w:tcPr>
          <w:p w14:paraId="087652D0" w14:textId="4F93D220" w:rsidR="00790417" w:rsidRPr="005E1CFA" w:rsidRDefault="00790417" w:rsidP="002249DD">
            <w:pPr>
              <w:rPr>
                <w:iCs/>
                <w:sz w:val="18"/>
                <w:szCs w:val="18"/>
                <w:lang w:val="en-GB"/>
              </w:rPr>
            </w:pPr>
            <w:r w:rsidRPr="005E1CFA">
              <w:rPr>
                <w:iCs/>
                <w:sz w:val="18"/>
                <w:szCs w:val="18"/>
                <w:lang w:val="en-GB"/>
              </w:rPr>
              <w:t>Ministry of Justice</w:t>
            </w:r>
            <w:r w:rsidR="004D3BA1" w:rsidRPr="005E1CFA">
              <w:rPr>
                <w:iCs/>
                <w:sz w:val="18"/>
                <w:szCs w:val="18"/>
                <w:lang w:val="en-GB"/>
              </w:rPr>
              <w:t>;</w:t>
            </w:r>
          </w:p>
          <w:p w14:paraId="3E53AF7C" w14:textId="77777777" w:rsidR="00790417" w:rsidRPr="005E1CFA" w:rsidRDefault="00790417" w:rsidP="002249DD">
            <w:pPr>
              <w:rPr>
                <w:iCs/>
                <w:sz w:val="18"/>
                <w:szCs w:val="18"/>
                <w:lang w:val="en-GB"/>
              </w:rPr>
            </w:pPr>
            <w:r w:rsidRPr="005E1CFA">
              <w:rPr>
                <w:iCs/>
                <w:sz w:val="18"/>
                <w:szCs w:val="18"/>
                <w:lang w:val="en-GB"/>
              </w:rPr>
              <w:t>Judiciary of South Sudan</w:t>
            </w:r>
          </w:p>
          <w:p w14:paraId="2B7FEB2F" w14:textId="77777777" w:rsidR="00790417" w:rsidRPr="005E1CFA" w:rsidRDefault="00790417" w:rsidP="002249DD">
            <w:pPr>
              <w:rPr>
                <w:iCs/>
                <w:sz w:val="18"/>
                <w:szCs w:val="18"/>
                <w:lang w:val="en-GB"/>
              </w:rPr>
            </w:pPr>
          </w:p>
          <w:p w14:paraId="7BECAF98" w14:textId="21F117C0" w:rsidR="00790417" w:rsidRPr="005E1CFA" w:rsidRDefault="004D3BA1" w:rsidP="002249DD">
            <w:pPr>
              <w:rPr>
                <w:iCs/>
                <w:sz w:val="18"/>
                <w:szCs w:val="18"/>
                <w:lang w:val="en-GB"/>
              </w:rPr>
            </w:pPr>
            <w:r w:rsidRPr="005E1CFA">
              <w:rPr>
                <w:iCs/>
                <w:sz w:val="18"/>
                <w:szCs w:val="18"/>
                <w:lang w:val="en-GB"/>
              </w:rPr>
              <w:t>SSNPS</w:t>
            </w:r>
            <w:r w:rsidR="00623C9D" w:rsidRPr="005E1CFA">
              <w:rPr>
                <w:iCs/>
                <w:sz w:val="18"/>
                <w:szCs w:val="18"/>
                <w:lang w:val="en-GB"/>
              </w:rPr>
              <w:t>;</w:t>
            </w:r>
            <w:r w:rsidRPr="005E1CFA">
              <w:rPr>
                <w:iCs/>
                <w:sz w:val="18"/>
                <w:szCs w:val="18"/>
                <w:lang w:val="en-GB"/>
              </w:rPr>
              <w:t xml:space="preserve"> </w:t>
            </w:r>
            <w:r w:rsidR="00790417" w:rsidRPr="005E1CFA">
              <w:rPr>
                <w:iCs/>
                <w:sz w:val="18"/>
                <w:szCs w:val="18"/>
                <w:lang w:val="en-GB"/>
              </w:rPr>
              <w:t>National Prison Service of South Sudan</w:t>
            </w:r>
            <w:r w:rsidR="00623C9D" w:rsidRPr="005E1CFA">
              <w:rPr>
                <w:iCs/>
                <w:sz w:val="18"/>
                <w:szCs w:val="18"/>
                <w:lang w:val="en-GB"/>
              </w:rPr>
              <w:t>;</w:t>
            </w:r>
            <w:r w:rsidR="00790417" w:rsidRPr="005E1CFA">
              <w:rPr>
                <w:iCs/>
                <w:sz w:val="18"/>
                <w:szCs w:val="18"/>
                <w:lang w:val="en-GB"/>
              </w:rPr>
              <w:t xml:space="preserve"> </w:t>
            </w:r>
          </w:p>
          <w:p w14:paraId="42194537" w14:textId="021FA356" w:rsidR="00790417" w:rsidRPr="005E1CFA" w:rsidRDefault="00623C9D" w:rsidP="002249DD">
            <w:pPr>
              <w:rPr>
                <w:iCs/>
                <w:sz w:val="18"/>
                <w:szCs w:val="18"/>
                <w:lang w:val="en-GB"/>
              </w:rPr>
            </w:pPr>
            <w:r w:rsidRPr="005E1CFA">
              <w:rPr>
                <w:iCs/>
                <w:sz w:val="18"/>
                <w:szCs w:val="18"/>
                <w:lang w:val="en-GB"/>
              </w:rPr>
              <w:t>NCRC; NEC</w:t>
            </w:r>
            <w:r w:rsidR="004D3BA1" w:rsidRPr="005E1CFA">
              <w:rPr>
                <w:iCs/>
                <w:sz w:val="18"/>
                <w:szCs w:val="18"/>
                <w:lang w:val="en-GB"/>
              </w:rPr>
              <w:t>; Development partners; CSOs, faith-based o</w:t>
            </w:r>
            <w:r w:rsidR="00790417" w:rsidRPr="005E1CFA">
              <w:rPr>
                <w:iCs/>
                <w:sz w:val="18"/>
                <w:szCs w:val="18"/>
                <w:lang w:val="en-GB"/>
              </w:rPr>
              <w:t>rganizatio</w:t>
            </w:r>
            <w:r w:rsidRPr="005E1CFA">
              <w:rPr>
                <w:iCs/>
                <w:sz w:val="18"/>
                <w:szCs w:val="18"/>
                <w:lang w:val="en-GB"/>
              </w:rPr>
              <w:t>ns</w:t>
            </w:r>
            <w:r w:rsidR="00790417" w:rsidRPr="005E1CFA">
              <w:rPr>
                <w:iCs/>
                <w:sz w:val="18"/>
                <w:szCs w:val="18"/>
                <w:lang w:val="en-GB"/>
              </w:rPr>
              <w:t>, traditional lea</w:t>
            </w:r>
            <w:r w:rsidR="004D3BA1" w:rsidRPr="005E1CFA">
              <w:rPr>
                <w:iCs/>
                <w:sz w:val="18"/>
                <w:szCs w:val="18"/>
                <w:lang w:val="en-GB"/>
              </w:rPr>
              <w:t>ders, academia, private sector</w:t>
            </w:r>
          </w:p>
          <w:p w14:paraId="5E813781" w14:textId="77777777" w:rsidR="00B71ABA" w:rsidRPr="005E1CFA" w:rsidRDefault="00B71ABA" w:rsidP="002249DD">
            <w:pPr>
              <w:rPr>
                <w:iCs/>
                <w:sz w:val="18"/>
                <w:szCs w:val="18"/>
                <w:lang w:val="en-GB"/>
              </w:rPr>
            </w:pPr>
          </w:p>
          <w:p w14:paraId="599FC9B2" w14:textId="77777777" w:rsidR="004D3BA1" w:rsidRPr="005E1CFA" w:rsidRDefault="00B71ABA" w:rsidP="002249DD">
            <w:pPr>
              <w:rPr>
                <w:iCs/>
                <w:sz w:val="18"/>
                <w:szCs w:val="18"/>
                <w:lang w:val="en-GB"/>
              </w:rPr>
            </w:pPr>
            <w:r w:rsidRPr="005E1CFA">
              <w:rPr>
                <w:iCs/>
                <w:sz w:val="18"/>
                <w:szCs w:val="18"/>
                <w:lang w:val="en-GB"/>
              </w:rPr>
              <w:t xml:space="preserve">Donors: Governments of Japan, Netherlands, </w:t>
            </w:r>
            <w:r w:rsidR="00623C9D" w:rsidRPr="005E1CFA">
              <w:rPr>
                <w:iCs/>
                <w:sz w:val="18"/>
                <w:szCs w:val="18"/>
                <w:lang w:val="en-GB"/>
              </w:rPr>
              <w:t xml:space="preserve">and </w:t>
            </w:r>
            <w:r w:rsidR="004D3BA1" w:rsidRPr="005E1CFA">
              <w:rPr>
                <w:iCs/>
                <w:sz w:val="18"/>
                <w:szCs w:val="18"/>
                <w:lang w:val="en-GB"/>
              </w:rPr>
              <w:t>Norway</w:t>
            </w:r>
          </w:p>
          <w:p w14:paraId="277DF465" w14:textId="77777777" w:rsidR="004D3BA1" w:rsidRPr="005E1CFA" w:rsidRDefault="004D3BA1" w:rsidP="004D3BA1">
            <w:pPr>
              <w:rPr>
                <w:iCs/>
                <w:sz w:val="18"/>
                <w:szCs w:val="18"/>
                <w:lang w:val="en-GB"/>
              </w:rPr>
            </w:pPr>
          </w:p>
          <w:p w14:paraId="1E3B389E" w14:textId="70F3F235" w:rsidR="00B71ABA" w:rsidRPr="005E1CFA" w:rsidRDefault="00B71ABA" w:rsidP="004D3BA1">
            <w:pPr>
              <w:rPr>
                <w:iCs/>
                <w:sz w:val="18"/>
                <w:szCs w:val="18"/>
                <w:lang w:val="en-GB"/>
              </w:rPr>
            </w:pPr>
            <w:r w:rsidRPr="005E1CFA">
              <w:rPr>
                <w:iCs/>
                <w:sz w:val="18"/>
                <w:szCs w:val="18"/>
                <w:lang w:val="en-GB"/>
              </w:rPr>
              <w:t>Department f</w:t>
            </w:r>
            <w:r w:rsidR="00623C9D" w:rsidRPr="005E1CFA">
              <w:rPr>
                <w:iCs/>
                <w:sz w:val="18"/>
                <w:szCs w:val="18"/>
                <w:lang w:val="en-GB"/>
              </w:rPr>
              <w:t>or International Development (DF</w:t>
            </w:r>
            <w:r w:rsidRPr="005E1CFA">
              <w:rPr>
                <w:iCs/>
                <w:sz w:val="18"/>
                <w:szCs w:val="18"/>
                <w:lang w:val="en-GB"/>
              </w:rPr>
              <w:t>ID), BPPS</w:t>
            </w:r>
          </w:p>
        </w:tc>
        <w:tc>
          <w:tcPr>
            <w:tcW w:w="650" w:type="pct"/>
          </w:tcPr>
          <w:p w14:paraId="60F7B653" w14:textId="7A8FE0E8" w:rsidR="00790417" w:rsidRPr="005E1CFA" w:rsidRDefault="00790417" w:rsidP="002249DD">
            <w:pPr>
              <w:rPr>
                <w:b/>
                <w:sz w:val="18"/>
                <w:szCs w:val="18"/>
                <w:lang w:val="en-GB"/>
              </w:rPr>
            </w:pPr>
            <w:r w:rsidRPr="005E1CFA">
              <w:rPr>
                <w:b/>
                <w:sz w:val="18"/>
                <w:szCs w:val="18"/>
                <w:lang w:val="en-GB"/>
              </w:rPr>
              <w:t>Regular: 895</w:t>
            </w:r>
          </w:p>
          <w:p w14:paraId="1A1A7F72" w14:textId="7CB423CE" w:rsidR="00790417" w:rsidRPr="005E1CFA" w:rsidRDefault="00790417" w:rsidP="002249DD">
            <w:pPr>
              <w:rPr>
                <w:b/>
                <w:sz w:val="18"/>
                <w:szCs w:val="18"/>
                <w:lang w:val="en-GB"/>
              </w:rPr>
            </w:pPr>
            <w:r w:rsidRPr="005E1CFA">
              <w:rPr>
                <w:b/>
                <w:sz w:val="18"/>
                <w:szCs w:val="18"/>
                <w:lang w:val="en-GB"/>
              </w:rPr>
              <w:t>Other: 16,000</w:t>
            </w:r>
          </w:p>
          <w:p w14:paraId="05980478" w14:textId="77777777" w:rsidR="00790417" w:rsidRPr="005E1CFA" w:rsidRDefault="00790417" w:rsidP="002249DD">
            <w:pPr>
              <w:rPr>
                <w:b/>
                <w:sz w:val="18"/>
                <w:szCs w:val="18"/>
                <w:lang w:val="en-GB"/>
              </w:rPr>
            </w:pPr>
          </w:p>
          <w:p w14:paraId="33F03115" w14:textId="25CE9C09" w:rsidR="00790417" w:rsidRPr="005E1CFA" w:rsidRDefault="00790417" w:rsidP="002249DD">
            <w:pPr>
              <w:rPr>
                <w:b/>
                <w:sz w:val="18"/>
                <w:szCs w:val="18"/>
                <w:lang w:val="en-GB"/>
              </w:rPr>
            </w:pPr>
          </w:p>
        </w:tc>
      </w:tr>
      <w:tr w:rsidR="00790417" w:rsidRPr="005E1CFA" w14:paraId="69DF1825" w14:textId="77777777" w:rsidTr="008D05D9">
        <w:trPr>
          <w:trHeight w:val="170"/>
        </w:trPr>
        <w:tc>
          <w:tcPr>
            <w:tcW w:w="848" w:type="pct"/>
            <w:vMerge/>
          </w:tcPr>
          <w:p w14:paraId="7921B98F" w14:textId="6209A7F9" w:rsidR="00790417" w:rsidRPr="005E1CFA" w:rsidRDefault="00790417" w:rsidP="002249DD">
            <w:pPr>
              <w:rPr>
                <w:b/>
                <w:iCs/>
                <w:sz w:val="18"/>
                <w:szCs w:val="18"/>
                <w:lang w:val="en-GB"/>
              </w:rPr>
            </w:pPr>
          </w:p>
        </w:tc>
        <w:tc>
          <w:tcPr>
            <w:tcW w:w="775" w:type="pct"/>
            <w:vMerge/>
          </w:tcPr>
          <w:p w14:paraId="1DD890DF" w14:textId="77777777" w:rsidR="00790417" w:rsidRPr="005E1CFA" w:rsidRDefault="00790417" w:rsidP="002249DD">
            <w:pPr>
              <w:autoSpaceDE w:val="0"/>
              <w:autoSpaceDN w:val="0"/>
              <w:adjustRightInd w:val="0"/>
              <w:rPr>
                <w:b/>
                <w:sz w:val="18"/>
                <w:szCs w:val="18"/>
                <w:lang w:val="en-GB"/>
              </w:rPr>
            </w:pPr>
          </w:p>
        </w:tc>
        <w:tc>
          <w:tcPr>
            <w:tcW w:w="2026" w:type="pct"/>
          </w:tcPr>
          <w:p w14:paraId="183A8079" w14:textId="3CCE8880" w:rsidR="00790417" w:rsidRPr="005E1CFA" w:rsidRDefault="00790417" w:rsidP="002249DD">
            <w:pPr>
              <w:autoSpaceDE w:val="0"/>
              <w:autoSpaceDN w:val="0"/>
              <w:adjustRightInd w:val="0"/>
              <w:rPr>
                <w:iCs/>
                <w:sz w:val="18"/>
                <w:szCs w:val="18"/>
                <w:lang w:val="en-GB"/>
              </w:rPr>
            </w:pPr>
            <w:r w:rsidRPr="005E1CFA">
              <w:rPr>
                <w:b/>
                <w:iCs/>
                <w:sz w:val="18"/>
                <w:szCs w:val="18"/>
                <w:lang w:val="en-GB"/>
              </w:rPr>
              <w:t>Output 3.2</w:t>
            </w:r>
            <w:r w:rsidRPr="002C2DCD">
              <w:rPr>
                <w:b/>
                <w:iCs/>
                <w:sz w:val="18"/>
                <w:szCs w:val="18"/>
                <w:lang w:val="en-GB"/>
              </w:rPr>
              <w:t>.</w:t>
            </w:r>
            <w:r w:rsidRPr="005E1CFA">
              <w:rPr>
                <w:iCs/>
                <w:sz w:val="18"/>
                <w:szCs w:val="18"/>
                <w:lang w:val="en-GB"/>
              </w:rPr>
              <w:t xml:space="preserve"> National constitution</w:t>
            </w:r>
            <w:r w:rsidR="004D3BA1" w:rsidRPr="005E1CFA">
              <w:rPr>
                <w:sz w:val="18"/>
                <w:szCs w:val="18"/>
                <w:lang w:val="en-GB"/>
              </w:rPr>
              <w:t>-</w:t>
            </w:r>
            <w:r w:rsidRPr="005E1CFA">
              <w:rPr>
                <w:sz w:val="18"/>
                <w:szCs w:val="18"/>
                <w:lang w:val="en-GB"/>
              </w:rPr>
              <w:t xml:space="preserve">making and electoral management bodies are able to perform core functions </w:t>
            </w:r>
          </w:p>
          <w:p w14:paraId="175F640C" w14:textId="77777777" w:rsidR="00790417" w:rsidRPr="005E1CFA" w:rsidRDefault="00790417" w:rsidP="002249DD">
            <w:pPr>
              <w:rPr>
                <w:b/>
                <w:iCs/>
                <w:sz w:val="18"/>
                <w:szCs w:val="18"/>
                <w:lang w:val="en-GB"/>
              </w:rPr>
            </w:pPr>
          </w:p>
          <w:p w14:paraId="418DDBC7" w14:textId="7A43F282" w:rsidR="00790417" w:rsidRPr="005E1CFA" w:rsidRDefault="00790417" w:rsidP="002249DD">
            <w:pPr>
              <w:autoSpaceDE w:val="0"/>
              <w:autoSpaceDN w:val="0"/>
              <w:adjustRightInd w:val="0"/>
              <w:rPr>
                <w:sz w:val="18"/>
                <w:szCs w:val="18"/>
                <w:lang w:val="en-GB"/>
              </w:rPr>
            </w:pPr>
            <w:r w:rsidRPr="005E1CFA">
              <w:rPr>
                <w:b/>
                <w:iCs/>
                <w:sz w:val="18"/>
                <w:szCs w:val="18"/>
                <w:lang w:val="en-GB"/>
              </w:rPr>
              <w:t>Indicator 1</w:t>
            </w:r>
            <w:r w:rsidR="004D3BA1" w:rsidRPr="005E1CFA">
              <w:rPr>
                <w:b/>
                <w:iCs/>
                <w:sz w:val="18"/>
                <w:szCs w:val="18"/>
                <w:lang w:val="en-GB"/>
              </w:rPr>
              <w:t>.</w:t>
            </w:r>
            <w:r w:rsidRPr="005E1CFA">
              <w:rPr>
                <w:iCs/>
                <w:sz w:val="18"/>
                <w:szCs w:val="18"/>
                <w:lang w:val="en-GB"/>
              </w:rPr>
              <w:t xml:space="preserve"> Extent to which c</w:t>
            </w:r>
            <w:r w:rsidRPr="005E1CFA">
              <w:rPr>
                <w:sz w:val="18"/>
                <w:szCs w:val="18"/>
                <w:lang w:val="en-GB"/>
              </w:rPr>
              <w:t>onstitution-making and electoral management bodies have institutional capacities to lead constitution review and elections processes (</w:t>
            </w:r>
            <w:r w:rsidRPr="005E1CFA">
              <w:rPr>
                <w:i/>
                <w:sz w:val="18"/>
                <w:szCs w:val="18"/>
                <w:lang w:val="en-GB"/>
              </w:rPr>
              <w:t xml:space="preserve">Scale: </w:t>
            </w:r>
            <w:r w:rsidRPr="005E1CFA">
              <w:rPr>
                <w:sz w:val="18"/>
                <w:szCs w:val="18"/>
                <w:lang w:val="en-GB"/>
              </w:rPr>
              <w:t xml:space="preserve">1: limited capacity; 2:  some capacity; 3: high capacity) </w:t>
            </w:r>
          </w:p>
          <w:p w14:paraId="7A353CB4" w14:textId="77777777" w:rsidR="00790417" w:rsidRPr="005E1CFA" w:rsidRDefault="00790417" w:rsidP="002249DD">
            <w:pPr>
              <w:autoSpaceDE w:val="0"/>
              <w:autoSpaceDN w:val="0"/>
              <w:adjustRightInd w:val="0"/>
              <w:rPr>
                <w:iCs/>
                <w:sz w:val="18"/>
                <w:szCs w:val="18"/>
                <w:lang w:val="en-GB"/>
              </w:rPr>
            </w:pPr>
            <w:r w:rsidRPr="005E1CFA">
              <w:rPr>
                <w:b/>
                <w:iCs/>
                <w:sz w:val="18"/>
                <w:szCs w:val="18"/>
                <w:lang w:val="en-GB"/>
              </w:rPr>
              <w:t>Baseline:</w:t>
            </w:r>
            <w:r w:rsidRPr="005E1CFA">
              <w:rPr>
                <w:iCs/>
                <w:sz w:val="18"/>
                <w:szCs w:val="18"/>
                <w:lang w:val="en-GB"/>
              </w:rPr>
              <w:t xml:space="preserve"> 1 </w:t>
            </w:r>
          </w:p>
          <w:p w14:paraId="6766B64E" w14:textId="77777777" w:rsidR="00790417" w:rsidRPr="005E1CFA" w:rsidRDefault="00790417" w:rsidP="002249DD">
            <w:pPr>
              <w:rPr>
                <w:iCs/>
                <w:sz w:val="18"/>
                <w:szCs w:val="18"/>
                <w:lang w:val="en-GB"/>
              </w:rPr>
            </w:pPr>
            <w:r w:rsidRPr="005E1CFA">
              <w:rPr>
                <w:b/>
                <w:iCs/>
                <w:sz w:val="18"/>
                <w:szCs w:val="18"/>
                <w:lang w:val="en-GB"/>
              </w:rPr>
              <w:lastRenderedPageBreak/>
              <w:t>Target</w:t>
            </w:r>
            <w:r w:rsidRPr="002C2DCD">
              <w:rPr>
                <w:b/>
                <w:iCs/>
                <w:sz w:val="18"/>
                <w:szCs w:val="18"/>
                <w:lang w:val="en-GB"/>
              </w:rPr>
              <w:t>:</w:t>
            </w:r>
            <w:r w:rsidRPr="005E1CFA">
              <w:rPr>
                <w:iCs/>
                <w:sz w:val="18"/>
                <w:szCs w:val="18"/>
                <w:lang w:val="en-GB"/>
              </w:rPr>
              <w:t xml:space="preserve"> 3 </w:t>
            </w:r>
          </w:p>
          <w:p w14:paraId="6A6CC459" w14:textId="39CE1032" w:rsidR="00790417" w:rsidRPr="005E1CFA" w:rsidRDefault="00790417" w:rsidP="002249DD">
            <w:pPr>
              <w:rPr>
                <w:iCs/>
                <w:sz w:val="18"/>
                <w:szCs w:val="18"/>
                <w:lang w:val="en-GB"/>
              </w:rPr>
            </w:pPr>
            <w:r w:rsidRPr="005E1CFA">
              <w:rPr>
                <w:b/>
                <w:iCs/>
                <w:sz w:val="18"/>
                <w:szCs w:val="18"/>
                <w:lang w:val="en-GB"/>
              </w:rPr>
              <w:t>Source:</w:t>
            </w:r>
            <w:r w:rsidRPr="005E1CFA">
              <w:rPr>
                <w:iCs/>
                <w:sz w:val="18"/>
                <w:szCs w:val="18"/>
                <w:lang w:val="en-GB"/>
              </w:rPr>
              <w:t xml:space="preserve"> Na</w:t>
            </w:r>
            <w:r w:rsidR="004D3BA1" w:rsidRPr="005E1CFA">
              <w:rPr>
                <w:iCs/>
                <w:sz w:val="18"/>
                <w:szCs w:val="18"/>
                <w:lang w:val="en-GB"/>
              </w:rPr>
              <w:t>tional Constitution Commission r</w:t>
            </w:r>
            <w:r w:rsidRPr="005E1CFA">
              <w:rPr>
                <w:iCs/>
                <w:sz w:val="18"/>
                <w:szCs w:val="18"/>
                <w:lang w:val="en-GB"/>
              </w:rPr>
              <w:t xml:space="preserve">eport, </w:t>
            </w:r>
            <w:r w:rsidR="004D3BA1" w:rsidRPr="005E1CFA">
              <w:rPr>
                <w:iCs/>
                <w:sz w:val="18"/>
                <w:szCs w:val="18"/>
                <w:lang w:val="en-GB"/>
              </w:rPr>
              <w:t>country programme</w:t>
            </w:r>
            <w:r w:rsidRPr="005E1CFA">
              <w:rPr>
                <w:iCs/>
                <w:sz w:val="18"/>
                <w:szCs w:val="18"/>
                <w:lang w:val="en-GB"/>
              </w:rPr>
              <w:t xml:space="preserve"> evaluation report</w:t>
            </w:r>
          </w:p>
          <w:p w14:paraId="69B56764" w14:textId="77777777" w:rsidR="00790417" w:rsidRPr="005E1CFA" w:rsidRDefault="00790417" w:rsidP="002249DD">
            <w:pPr>
              <w:autoSpaceDE w:val="0"/>
              <w:autoSpaceDN w:val="0"/>
              <w:adjustRightInd w:val="0"/>
              <w:rPr>
                <w:b/>
                <w:iCs/>
                <w:sz w:val="18"/>
                <w:szCs w:val="18"/>
                <w:lang w:val="en-GB"/>
              </w:rPr>
            </w:pPr>
          </w:p>
          <w:p w14:paraId="6F4C5818" w14:textId="65AEACDC" w:rsidR="00790417" w:rsidRPr="005E1CFA" w:rsidRDefault="00790417" w:rsidP="002249DD">
            <w:pPr>
              <w:autoSpaceDE w:val="0"/>
              <w:autoSpaceDN w:val="0"/>
              <w:adjustRightInd w:val="0"/>
              <w:rPr>
                <w:sz w:val="18"/>
                <w:szCs w:val="18"/>
                <w:lang w:val="en-GB"/>
              </w:rPr>
            </w:pPr>
            <w:r w:rsidRPr="005E1CFA">
              <w:rPr>
                <w:b/>
                <w:iCs/>
                <w:sz w:val="18"/>
                <w:szCs w:val="18"/>
                <w:lang w:val="en-GB"/>
              </w:rPr>
              <w:t>Indi</w:t>
            </w:r>
            <w:r w:rsidR="004D3BA1" w:rsidRPr="005E1CFA">
              <w:rPr>
                <w:b/>
                <w:iCs/>
                <w:sz w:val="18"/>
                <w:szCs w:val="18"/>
                <w:lang w:val="en-GB"/>
              </w:rPr>
              <w:t>cator 2.</w:t>
            </w:r>
            <w:r w:rsidRPr="005E1CFA">
              <w:rPr>
                <w:iCs/>
                <w:sz w:val="18"/>
                <w:szCs w:val="18"/>
                <w:lang w:val="en-GB"/>
              </w:rPr>
              <w:t xml:space="preserve"> Number of </w:t>
            </w:r>
            <w:r w:rsidRPr="005E1CFA">
              <w:rPr>
                <w:sz w:val="18"/>
                <w:szCs w:val="18"/>
                <w:lang w:val="en-GB"/>
              </w:rPr>
              <w:t>institutional frameworks implemented to promote the participation of women and marginalized groups in constitution</w:t>
            </w:r>
            <w:r w:rsidR="002C2DCD">
              <w:rPr>
                <w:sz w:val="18"/>
                <w:szCs w:val="18"/>
                <w:lang w:val="en-GB"/>
              </w:rPr>
              <w:t xml:space="preserve"> review and elections processes</w:t>
            </w:r>
          </w:p>
          <w:p w14:paraId="5EDC78B8" w14:textId="77777777" w:rsidR="00790417" w:rsidRPr="005E1CFA" w:rsidRDefault="00790417" w:rsidP="002249DD">
            <w:pPr>
              <w:autoSpaceDE w:val="0"/>
              <w:autoSpaceDN w:val="0"/>
              <w:adjustRightInd w:val="0"/>
              <w:rPr>
                <w:iCs/>
                <w:sz w:val="18"/>
                <w:szCs w:val="18"/>
                <w:lang w:val="en-GB"/>
              </w:rPr>
            </w:pPr>
            <w:r w:rsidRPr="005E1CFA">
              <w:rPr>
                <w:b/>
                <w:iCs/>
                <w:sz w:val="18"/>
                <w:szCs w:val="18"/>
                <w:lang w:val="en-GB"/>
              </w:rPr>
              <w:t>Baseline:</w:t>
            </w:r>
            <w:r w:rsidRPr="005E1CFA">
              <w:rPr>
                <w:iCs/>
                <w:sz w:val="18"/>
                <w:szCs w:val="18"/>
                <w:lang w:val="en-GB"/>
              </w:rPr>
              <w:t xml:space="preserve"> 0</w:t>
            </w:r>
          </w:p>
          <w:p w14:paraId="4B10092E" w14:textId="77777777" w:rsidR="00790417" w:rsidRPr="005E1CFA" w:rsidRDefault="00790417" w:rsidP="002249DD">
            <w:pPr>
              <w:rPr>
                <w:iCs/>
                <w:sz w:val="18"/>
                <w:szCs w:val="18"/>
                <w:lang w:val="en-GB"/>
              </w:rPr>
            </w:pPr>
            <w:r w:rsidRPr="005E1CFA">
              <w:rPr>
                <w:b/>
                <w:iCs/>
                <w:sz w:val="18"/>
                <w:szCs w:val="18"/>
                <w:lang w:val="en-GB"/>
              </w:rPr>
              <w:t>Target:</w:t>
            </w:r>
            <w:r w:rsidRPr="005E1CFA">
              <w:rPr>
                <w:iCs/>
                <w:sz w:val="18"/>
                <w:szCs w:val="18"/>
                <w:lang w:val="en-GB"/>
              </w:rPr>
              <w:t xml:space="preserve"> 2 </w:t>
            </w:r>
          </w:p>
          <w:p w14:paraId="413CF77D" w14:textId="6F839D0C" w:rsidR="00790417" w:rsidRPr="005E1CFA" w:rsidRDefault="00790417" w:rsidP="002249DD">
            <w:pPr>
              <w:rPr>
                <w:iCs/>
                <w:sz w:val="18"/>
                <w:szCs w:val="18"/>
                <w:lang w:val="en-GB"/>
              </w:rPr>
            </w:pPr>
            <w:r w:rsidRPr="005E1CFA">
              <w:rPr>
                <w:b/>
                <w:iCs/>
                <w:sz w:val="18"/>
                <w:szCs w:val="18"/>
                <w:lang w:val="en-GB"/>
              </w:rPr>
              <w:t>Source:</w:t>
            </w:r>
            <w:r w:rsidRPr="005E1CFA">
              <w:rPr>
                <w:iCs/>
                <w:sz w:val="18"/>
                <w:szCs w:val="18"/>
                <w:lang w:val="en-GB"/>
              </w:rPr>
              <w:t xml:space="preserve"> National Constitution Review Commission and National Electi</w:t>
            </w:r>
            <w:r w:rsidR="004D3BA1" w:rsidRPr="005E1CFA">
              <w:rPr>
                <w:iCs/>
                <w:sz w:val="18"/>
                <w:szCs w:val="18"/>
                <w:lang w:val="en-GB"/>
              </w:rPr>
              <w:t>on Commission annual r</w:t>
            </w:r>
            <w:r w:rsidRPr="005E1CFA">
              <w:rPr>
                <w:iCs/>
                <w:sz w:val="18"/>
                <w:szCs w:val="18"/>
                <w:lang w:val="en-GB"/>
              </w:rPr>
              <w:t>eport</w:t>
            </w:r>
          </w:p>
        </w:tc>
        <w:tc>
          <w:tcPr>
            <w:tcW w:w="701" w:type="pct"/>
            <w:vMerge/>
          </w:tcPr>
          <w:p w14:paraId="5AEF3EB7" w14:textId="77777777" w:rsidR="00790417" w:rsidRPr="005E1CFA" w:rsidRDefault="00790417" w:rsidP="002249DD">
            <w:pPr>
              <w:rPr>
                <w:iCs/>
                <w:sz w:val="18"/>
                <w:szCs w:val="18"/>
                <w:lang w:val="en-GB"/>
              </w:rPr>
            </w:pPr>
          </w:p>
        </w:tc>
        <w:tc>
          <w:tcPr>
            <w:tcW w:w="650" w:type="pct"/>
          </w:tcPr>
          <w:p w14:paraId="2745D730" w14:textId="0244C50A" w:rsidR="00790417" w:rsidRPr="005E1CFA" w:rsidRDefault="00790417" w:rsidP="002249DD">
            <w:pPr>
              <w:rPr>
                <w:b/>
                <w:sz w:val="18"/>
                <w:szCs w:val="18"/>
                <w:lang w:val="en-GB"/>
              </w:rPr>
            </w:pPr>
            <w:r w:rsidRPr="005E1CFA">
              <w:rPr>
                <w:b/>
                <w:sz w:val="18"/>
                <w:szCs w:val="18"/>
                <w:lang w:val="en-GB"/>
              </w:rPr>
              <w:t>Regular: 500</w:t>
            </w:r>
          </w:p>
          <w:p w14:paraId="3D5D04B6" w14:textId="2347B3DA" w:rsidR="00790417" w:rsidRPr="005E1CFA" w:rsidRDefault="00790417" w:rsidP="002249DD">
            <w:pPr>
              <w:rPr>
                <w:b/>
                <w:sz w:val="18"/>
                <w:szCs w:val="18"/>
                <w:lang w:val="en-GB"/>
              </w:rPr>
            </w:pPr>
            <w:r w:rsidRPr="005E1CFA">
              <w:rPr>
                <w:b/>
                <w:sz w:val="18"/>
                <w:szCs w:val="18"/>
                <w:lang w:val="en-GB"/>
              </w:rPr>
              <w:t>Other: 5,500</w:t>
            </w:r>
          </w:p>
          <w:p w14:paraId="3FF9B69A" w14:textId="5133C3D4" w:rsidR="00790417" w:rsidRPr="005E1CFA" w:rsidRDefault="00790417" w:rsidP="002249DD">
            <w:pPr>
              <w:rPr>
                <w:b/>
                <w:sz w:val="18"/>
                <w:szCs w:val="18"/>
                <w:lang w:val="en-GB"/>
              </w:rPr>
            </w:pPr>
          </w:p>
        </w:tc>
      </w:tr>
      <w:tr w:rsidR="00790417" w:rsidRPr="005E1CFA" w14:paraId="7526B18A" w14:textId="77777777" w:rsidTr="008D05D9">
        <w:trPr>
          <w:trHeight w:val="170"/>
        </w:trPr>
        <w:tc>
          <w:tcPr>
            <w:tcW w:w="848" w:type="pct"/>
            <w:vMerge/>
          </w:tcPr>
          <w:p w14:paraId="2EAE3A5B" w14:textId="77777777" w:rsidR="00790417" w:rsidRPr="005E1CFA" w:rsidRDefault="00790417" w:rsidP="002249DD">
            <w:pPr>
              <w:rPr>
                <w:b/>
                <w:iCs/>
                <w:sz w:val="18"/>
                <w:szCs w:val="18"/>
                <w:lang w:val="en-GB"/>
              </w:rPr>
            </w:pPr>
          </w:p>
        </w:tc>
        <w:tc>
          <w:tcPr>
            <w:tcW w:w="775" w:type="pct"/>
          </w:tcPr>
          <w:p w14:paraId="6D0172A6" w14:textId="77777777" w:rsidR="00790417" w:rsidRPr="005E1CFA" w:rsidRDefault="00790417" w:rsidP="002249DD">
            <w:pPr>
              <w:autoSpaceDE w:val="0"/>
              <w:autoSpaceDN w:val="0"/>
              <w:adjustRightInd w:val="0"/>
              <w:rPr>
                <w:b/>
                <w:sz w:val="18"/>
                <w:szCs w:val="18"/>
                <w:lang w:val="en-GB"/>
              </w:rPr>
            </w:pPr>
          </w:p>
        </w:tc>
        <w:tc>
          <w:tcPr>
            <w:tcW w:w="2026" w:type="pct"/>
          </w:tcPr>
          <w:p w14:paraId="6B982FFB" w14:textId="238945E8" w:rsidR="00790417" w:rsidRPr="005E1CFA" w:rsidRDefault="004D3BA1" w:rsidP="002249DD">
            <w:pPr>
              <w:autoSpaceDE w:val="0"/>
              <w:autoSpaceDN w:val="0"/>
              <w:adjustRightInd w:val="0"/>
              <w:rPr>
                <w:iCs/>
                <w:sz w:val="18"/>
                <w:szCs w:val="18"/>
                <w:lang w:val="en-GB"/>
              </w:rPr>
            </w:pPr>
            <w:r w:rsidRPr="005E1CFA">
              <w:rPr>
                <w:b/>
                <w:iCs/>
                <w:sz w:val="18"/>
                <w:szCs w:val="18"/>
                <w:lang w:val="en-GB"/>
              </w:rPr>
              <w:t>Output 3.3</w:t>
            </w:r>
            <w:r w:rsidR="00790417" w:rsidRPr="005E1CFA">
              <w:rPr>
                <w:b/>
                <w:iCs/>
                <w:sz w:val="18"/>
                <w:szCs w:val="18"/>
                <w:lang w:val="en-GB"/>
              </w:rPr>
              <w:t xml:space="preserve"> </w:t>
            </w:r>
            <w:r w:rsidR="00790417" w:rsidRPr="005E1CFA">
              <w:rPr>
                <w:iCs/>
                <w:sz w:val="18"/>
                <w:szCs w:val="18"/>
                <w:lang w:val="en-GB"/>
              </w:rPr>
              <w:t>The national peace architecture delivers key peace and reconciliation initiatives</w:t>
            </w:r>
          </w:p>
          <w:p w14:paraId="48759CC1" w14:textId="77777777" w:rsidR="00790417" w:rsidRPr="005E1CFA" w:rsidRDefault="00790417" w:rsidP="002249DD">
            <w:pPr>
              <w:rPr>
                <w:b/>
                <w:iCs/>
                <w:sz w:val="18"/>
                <w:szCs w:val="18"/>
                <w:lang w:val="en-GB"/>
              </w:rPr>
            </w:pPr>
          </w:p>
          <w:p w14:paraId="630B7998" w14:textId="792A6F40" w:rsidR="00790417" w:rsidRPr="005E1CFA" w:rsidRDefault="00790417" w:rsidP="002249DD">
            <w:pPr>
              <w:rPr>
                <w:sz w:val="18"/>
                <w:szCs w:val="18"/>
                <w:lang w:val="en-GB"/>
              </w:rPr>
            </w:pPr>
            <w:r w:rsidRPr="005E1CFA">
              <w:rPr>
                <w:b/>
                <w:iCs/>
                <w:sz w:val="18"/>
                <w:szCs w:val="18"/>
                <w:lang w:val="en-GB"/>
              </w:rPr>
              <w:t>Indicator 1</w:t>
            </w:r>
            <w:r w:rsidR="004D3BA1" w:rsidRPr="005E1CFA">
              <w:rPr>
                <w:b/>
                <w:iCs/>
                <w:sz w:val="18"/>
                <w:szCs w:val="18"/>
                <w:lang w:val="en-GB"/>
              </w:rPr>
              <w:t>.</w:t>
            </w:r>
            <w:r w:rsidRPr="005E1CFA">
              <w:rPr>
                <w:iCs/>
                <w:sz w:val="18"/>
                <w:szCs w:val="18"/>
                <w:lang w:val="en-GB"/>
              </w:rPr>
              <w:t xml:space="preserve"> National mechanism on peace and reconciliation in place</w:t>
            </w:r>
            <w:r w:rsidR="003046F5" w:rsidRPr="005E1CFA">
              <w:rPr>
                <w:iCs/>
                <w:sz w:val="18"/>
                <w:szCs w:val="18"/>
                <w:lang w:val="en-GB"/>
              </w:rPr>
              <w:t xml:space="preserve"> </w:t>
            </w:r>
            <w:r w:rsidRPr="005E1CFA">
              <w:rPr>
                <w:bCs/>
                <w:sz w:val="18"/>
                <w:szCs w:val="18"/>
                <w:lang w:val="en-GB"/>
              </w:rPr>
              <w:t xml:space="preserve"> </w:t>
            </w:r>
          </w:p>
          <w:p w14:paraId="4A44A21F" w14:textId="3EBD02FE" w:rsidR="00790417" w:rsidRPr="005E1CFA" w:rsidRDefault="00790417" w:rsidP="002249DD">
            <w:pPr>
              <w:rPr>
                <w:iCs/>
                <w:sz w:val="18"/>
                <w:szCs w:val="18"/>
                <w:lang w:val="en-GB"/>
              </w:rPr>
            </w:pPr>
            <w:r w:rsidRPr="005E1CFA">
              <w:rPr>
                <w:b/>
                <w:iCs/>
                <w:sz w:val="18"/>
                <w:szCs w:val="18"/>
                <w:lang w:val="en-GB"/>
              </w:rPr>
              <w:t>Baseline:</w:t>
            </w:r>
            <w:r w:rsidRPr="005E1CFA">
              <w:rPr>
                <w:iCs/>
                <w:sz w:val="18"/>
                <w:szCs w:val="18"/>
                <w:lang w:val="en-GB"/>
              </w:rPr>
              <w:t xml:space="preserve"> </w:t>
            </w:r>
            <w:r w:rsidR="002C2DCD">
              <w:rPr>
                <w:iCs/>
                <w:sz w:val="18"/>
                <w:szCs w:val="18"/>
                <w:lang w:val="en-GB"/>
              </w:rPr>
              <w:t>Fragmented mechanisms for peace</w:t>
            </w:r>
            <w:r w:rsidRPr="005E1CFA">
              <w:rPr>
                <w:iCs/>
                <w:sz w:val="18"/>
                <w:szCs w:val="18"/>
                <w:lang w:val="en-GB"/>
              </w:rPr>
              <w:t>building at national and subnational level</w:t>
            </w:r>
            <w:r w:rsidR="002C2DCD">
              <w:rPr>
                <w:iCs/>
                <w:sz w:val="18"/>
                <w:szCs w:val="18"/>
                <w:lang w:val="en-GB"/>
              </w:rPr>
              <w:t>s</w:t>
            </w:r>
            <w:r w:rsidRPr="005E1CFA">
              <w:rPr>
                <w:iCs/>
                <w:sz w:val="18"/>
                <w:szCs w:val="18"/>
                <w:lang w:val="en-GB"/>
              </w:rPr>
              <w:t xml:space="preserve"> </w:t>
            </w:r>
          </w:p>
          <w:p w14:paraId="460C5A4D" w14:textId="2EE3FC35" w:rsidR="00790417" w:rsidRPr="005E1CFA" w:rsidRDefault="00790417" w:rsidP="002249DD">
            <w:pPr>
              <w:rPr>
                <w:iCs/>
                <w:sz w:val="18"/>
                <w:szCs w:val="18"/>
                <w:lang w:val="en-GB"/>
              </w:rPr>
            </w:pPr>
            <w:r w:rsidRPr="005E1CFA">
              <w:rPr>
                <w:b/>
                <w:iCs/>
                <w:sz w:val="18"/>
                <w:szCs w:val="18"/>
                <w:lang w:val="en-GB"/>
              </w:rPr>
              <w:t>Target:</w:t>
            </w:r>
            <w:r w:rsidRPr="005E1CFA">
              <w:rPr>
                <w:iCs/>
                <w:sz w:val="18"/>
                <w:szCs w:val="18"/>
                <w:lang w:val="en-GB"/>
              </w:rPr>
              <w:t xml:space="preserve"> </w:t>
            </w:r>
            <w:r w:rsidR="004D3BA1" w:rsidRPr="005E1CFA">
              <w:rPr>
                <w:bCs/>
                <w:sz w:val="18"/>
                <w:szCs w:val="18"/>
                <w:lang w:val="en-GB"/>
              </w:rPr>
              <w:t>A national and sub</w:t>
            </w:r>
            <w:r w:rsidRPr="005E1CFA">
              <w:rPr>
                <w:bCs/>
                <w:sz w:val="18"/>
                <w:szCs w:val="18"/>
                <w:lang w:val="en-GB"/>
              </w:rPr>
              <w:t>national framework for reconciliation and dispute resolution developed and adopted</w:t>
            </w:r>
            <w:r w:rsidRPr="005E1CFA">
              <w:rPr>
                <w:iCs/>
                <w:sz w:val="18"/>
                <w:szCs w:val="18"/>
                <w:lang w:val="en-GB"/>
              </w:rPr>
              <w:t xml:space="preserve"> </w:t>
            </w:r>
          </w:p>
          <w:p w14:paraId="62F10A0C" w14:textId="77777777" w:rsidR="00790417" w:rsidRPr="005E1CFA" w:rsidRDefault="00790417" w:rsidP="002249DD">
            <w:pPr>
              <w:rPr>
                <w:iCs/>
                <w:sz w:val="18"/>
                <w:szCs w:val="18"/>
                <w:lang w:val="en-GB"/>
              </w:rPr>
            </w:pPr>
            <w:r w:rsidRPr="005E1CFA">
              <w:rPr>
                <w:b/>
                <w:iCs/>
                <w:sz w:val="18"/>
                <w:szCs w:val="18"/>
                <w:lang w:val="en-GB"/>
              </w:rPr>
              <w:t>Source:</w:t>
            </w:r>
            <w:r w:rsidRPr="005E1CFA">
              <w:rPr>
                <w:iCs/>
                <w:sz w:val="18"/>
                <w:szCs w:val="18"/>
                <w:lang w:val="en-GB"/>
              </w:rPr>
              <w:t xml:space="preserve"> South Sudan Peace and Reconciliation Commission (SSPRC) reports</w:t>
            </w:r>
          </w:p>
          <w:p w14:paraId="541B528A" w14:textId="77777777" w:rsidR="00790417" w:rsidRPr="005E1CFA" w:rsidRDefault="00790417" w:rsidP="002249DD">
            <w:pPr>
              <w:rPr>
                <w:iCs/>
                <w:sz w:val="18"/>
                <w:szCs w:val="18"/>
                <w:lang w:val="en-GB"/>
              </w:rPr>
            </w:pPr>
          </w:p>
          <w:p w14:paraId="373A4C5A" w14:textId="544CB3CE" w:rsidR="00790417" w:rsidRPr="005E1CFA" w:rsidRDefault="00790417"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Indicator 2</w:t>
            </w:r>
            <w:r w:rsidR="00434A51" w:rsidRPr="005E1CFA">
              <w:rPr>
                <w:rFonts w:ascii="Times New Roman" w:hAnsi="Times New Roman" w:cs="Times New Roman"/>
                <w:b/>
                <w:color w:val="auto"/>
                <w:sz w:val="18"/>
                <w:szCs w:val="18"/>
                <w:lang w:val="en-GB"/>
              </w:rPr>
              <w:t>.</w:t>
            </w:r>
            <w:r w:rsidRPr="005E1CFA">
              <w:rPr>
                <w:rFonts w:ascii="Times New Roman" w:hAnsi="Times New Roman" w:cs="Times New Roman"/>
                <w:color w:val="auto"/>
                <w:sz w:val="18"/>
                <w:szCs w:val="18"/>
                <w:lang w:val="en-GB"/>
              </w:rPr>
              <w:t xml:space="preserve"> Legislative frameworks in place to control </w:t>
            </w:r>
            <w:r w:rsidR="002C2DCD">
              <w:rPr>
                <w:rFonts w:ascii="Times New Roman" w:hAnsi="Times New Roman" w:cs="Times New Roman"/>
                <w:color w:val="auto"/>
                <w:sz w:val="18"/>
                <w:szCs w:val="18"/>
                <w:lang w:val="en-GB"/>
              </w:rPr>
              <w:t>the proliferation of small arms</w:t>
            </w:r>
            <w:r w:rsidRPr="005E1CFA">
              <w:rPr>
                <w:rFonts w:ascii="Times New Roman" w:hAnsi="Times New Roman" w:cs="Times New Roman"/>
                <w:color w:val="auto"/>
                <w:sz w:val="18"/>
                <w:szCs w:val="18"/>
                <w:lang w:val="en-GB"/>
              </w:rPr>
              <w:t xml:space="preserve"> </w:t>
            </w:r>
          </w:p>
          <w:p w14:paraId="528FF8D4" w14:textId="77777777" w:rsidR="00790417" w:rsidRPr="005E1CFA" w:rsidRDefault="00790417" w:rsidP="002249DD">
            <w:pPr>
              <w:pStyle w:val="Default"/>
              <w:rPr>
                <w:rFonts w:ascii="Times New Roman" w:hAnsi="Times New Roman" w:cs="Times New Roman"/>
                <w:iCs/>
                <w:color w:val="auto"/>
                <w:sz w:val="18"/>
                <w:szCs w:val="18"/>
                <w:lang w:val="en-GB"/>
              </w:rPr>
            </w:pPr>
            <w:r w:rsidRPr="005E1CFA">
              <w:rPr>
                <w:rFonts w:ascii="Times New Roman" w:hAnsi="Times New Roman" w:cs="Times New Roman"/>
                <w:b/>
                <w:iCs/>
                <w:color w:val="auto"/>
                <w:sz w:val="18"/>
                <w:szCs w:val="18"/>
                <w:lang w:val="en-GB"/>
              </w:rPr>
              <w:t>Baseline:</w:t>
            </w:r>
            <w:r w:rsidRPr="005E1CFA">
              <w:rPr>
                <w:rFonts w:ascii="Times New Roman" w:hAnsi="Times New Roman" w:cs="Times New Roman"/>
                <w:iCs/>
                <w:color w:val="auto"/>
                <w:sz w:val="18"/>
                <w:szCs w:val="18"/>
                <w:lang w:val="en-GB"/>
              </w:rPr>
              <w:t xml:space="preserve"> No national legislation </w:t>
            </w:r>
          </w:p>
          <w:p w14:paraId="7849B893" w14:textId="77777777" w:rsidR="00790417" w:rsidRPr="005E1CFA" w:rsidRDefault="00790417" w:rsidP="002249DD">
            <w:pPr>
              <w:rPr>
                <w:iCs/>
                <w:sz w:val="18"/>
                <w:szCs w:val="18"/>
                <w:lang w:val="en-GB"/>
              </w:rPr>
            </w:pPr>
            <w:r w:rsidRPr="005E1CFA">
              <w:rPr>
                <w:b/>
                <w:iCs/>
                <w:sz w:val="18"/>
                <w:szCs w:val="18"/>
                <w:lang w:val="en-GB"/>
              </w:rPr>
              <w:t>Target:</w:t>
            </w:r>
            <w:r w:rsidRPr="005E1CFA">
              <w:rPr>
                <w:iCs/>
                <w:sz w:val="18"/>
                <w:szCs w:val="18"/>
                <w:lang w:val="en-GB"/>
              </w:rPr>
              <w:t xml:space="preserve"> A national regulatory framework on small arms and light weapons is endorsed and implementation commences</w:t>
            </w:r>
          </w:p>
          <w:p w14:paraId="3F3ADE42" w14:textId="45C8359A" w:rsidR="00790417" w:rsidRPr="005E1CFA" w:rsidRDefault="00790417" w:rsidP="002249DD">
            <w:pPr>
              <w:rPr>
                <w:iCs/>
                <w:sz w:val="18"/>
                <w:szCs w:val="18"/>
                <w:lang w:val="en-GB"/>
              </w:rPr>
            </w:pPr>
            <w:r w:rsidRPr="005E1CFA">
              <w:rPr>
                <w:b/>
                <w:iCs/>
                <w:sz w:val="18"/>
                <w:szCs w:val="18"/>
                <w:lang w:val="en-GB"/>
              </w:rPr>
              <w:t>Source:</w:t>
            </w:r>
            <w:r w:rsidRPr="005E1CFA">
              <w:rPr>
                <w:iCs/>
                <w:sz w:val="18"/>
                <w:szCs w:val="18"/>
                <w:lang w:val="en-GB"/>
              </w:rPr>
              <w:t xml:space="preserve"> Bureau for Community Security and Small Arms Control reports  </w:t>
            </w:r>
          </w:p>
        </w:tc>
        <w:tc>
          <w:tcPr>
            <w:tcW w:w="701" w:type="pct"/>
          </w:tcPr>
          <w:p w14:paraId="506D5162" w14:textId="77777777" w:rsidR="00790417" w:rsidRPr="005E1CFA" w:rsidRDefault="00790417" w:rsidP="002249DD">
            <w:pPr>
              <w:rPr>
                <w:iCs/>
                <w:sz w:val="18"/>
                <w:szCs w:val="18"/>
                <w:lang w:val="en-GB"/>
              </w:rPr>
            </w:pPr>
            <w:r w:rsidRPr="005E1CFA">
              <w:rPr>
                <w:iCs/>
                <w:sz w:val="18"/>
                <w:szCs w:val="18"/>
                <w:lang w:val="en-GB"/>
              </w:rPr>
              <w:t xml:space="preserve">Bureau for Community Security and Small Arms Control, SSPRC </w:t>
            </w:r>
          </w:p>
          <w:p w14:paraId="0CD7FA6A" w14:textId="77777777" w:rsidR="00B71ABA" w:rsidRPr="005E1CFA" w:rsidRDefault="00B71ABA" w:rsidP="002249DD">
            <w:pPr>
              <w:rPr>
                <w:iCs/>
                <w:sz w:val="18"/>
                <w:szCs w:val="18"/>
                <w:lang w:val="en-GB"/>
              </w:rPr>
            </w:pPr>
          </w:p>
          <w:p w14:paraId="54AE77DE" w14:textId="1DC8CCB7" w:rsidR="00B71ABA" w:rsidRPr="005E1CFA" w:rsidRDefault="00623C9D" w:rsidP="002249DD">
            <w:pPr>
              <w:rPr>
                <w:iCs/>
                <w:sz w:val="18"/>
                <w:szCs w:val="18"/>
                <w:lang w:val="en-GB"/>
              </w:rPr>
            </w:pPr>
            <w:r w:rsidRPr="005E1CFA">
              <w:rPr>
                <w:iCs/>
                <w:sz w:val="18"/>
                <w:szCs w:val="18"/>
                <w:lang w:val="en-GB"/>
              </w:rPr>
              <w:t>Donors: DF</w:t>
            </w:r>
            <w:r w:rsidR="00B71ABA" w:rsidRPr="005E1CFA">
              <w:rPr>
                <w:iCs/>
                <w:sz w:val="18"/>
                <w:szCs w:val="18"/>
                <w:lang w:val="en-GB"/>
              </w:rPr>
              <w:t xml:space="preserve">ID, Norway, Sweden Switzerland </w:t>
            </w:r>
          </w:p>
        </w:tc>
        <w:tc>
          <w:tcPr>
            <w:tcW w:w="650" w:type="pct"/>
          </w:tcPr>
          <w:p w14:paraId="443964CD" w14:textId="77777777" w:rsidR="00790417" w:rsidRPr="005E1CFA" w:rsidRDefault="00790417" w:rsidP="002249DD">
            <w:pPr>
              <w:rPr>
                <w:b/>
                <w:sz w:val="18"/>
                <w:szCs w:val="18"/>
                <w:lang w:val="en-GB"/>
              </w:rPr>
            </w:pPr>
            <w:r w:rsidRPr="005E1CFA">
              <w:rPr>
                <w:b/>
                <w:sz w:val="18"/>
                <w:szCs w:val="18"/>
                <w:lang w:val="en-GB"/>
              </w:rPr>
              <w:t>Regular: 0</w:t>
            </w:r>
          </w:p>
          <w:p w14:paraId="68DCEE8D" w14:textId="1F6D1AEC" w:rsidR="00790417" w:rsidRPr="005E1CFA" w:rsidRDefault="00790417" w:rsidP="002249DD">
            <w:pPr>
              <w:rPr>
                <w:b/>
                <w:sz w:val="18"/>
                <w:szCs w:val="18"/>
                <w:lang w:val="en-GB"/>
              </w:rPr>
            </w:pPr>
            <w:r w:rsidRPr="005E1CFA">
              <w:rPr>
                <w:b/>
                <w:sz w:val="18"/>
                <w:szCs w:val="18"/>
                <w:lang w:val="en-GB"/>
              </w:rPr>
              <w:t>Other: 14,500</w:t>
            </w:r>
          </w:p>
          <w:p w14:paraId="093FF1AA" w14:textId="49EC7BEC" w:rsidR="00790417" w:rsidRPr="005E1CFA" w:rsidRDefault="00790417" w:rsidP="002249DD">
            <w:pPr>
              <w:rPr>
                <w:b/>
                <w:sz w:val="18"/>
                <w:szCs w:val="18"/>
                <w:lang w:val="en-GB"/>
              </w:rPr>
            </w:pPr>
          </w:p>
        </w:tc>
      </w:tr>
      <w:tr w:rsidR="000E60D6" w:rsidRPr="005E1CFA" w14:paraId="092C02BA" w14:textId="77777777" w:rsidTr="008D05D9">
        <w:trPr>
          <w:trHeight w:val="350"/>
        </w:trPr>
        <w:tc>
          <w:tcPr>
            <w:tcW w:w="848" w:type="pct"/>
            <w:vMerge w:val="restart"/>
          </w:tcPr>
          <w:p w14:paraId="6875F078" w14:textId="77777777" w:rsidR="00DB380F" w:rsidRPr="005E1CFA" w:rsidRDefault="00DB380F" w:rsidP="002249DD">
            <w:pPr>
              <w:rPr>
                <w:b/>
                <w:iCs/>
                <w:sz w:val="18"/>
                <w:szCs w:val="18"/>
                <w:lang w:val="en-GB"/>
              </w:rPr>
            </w:pPr>
          </w:p>
        </w:tc>
        <w:tc>
          <w:tcPr>
            <w:tcW w:w="775" w:type="pct"/>
            <w:vMerge w:val="restart"/>
          </w:tcPr>
          <w:p w14:paraId="0F9716D2" w14:textId="77777777" w:rsidR="00DB380F" w:rsidRPr="005E1CFA" w:rsidRDefault="00DB380F" w:rsidP="002249DD">
            <w:pPr>
              <w:autoSpaceDE w:val="0"/>
              <w:autoSpaceDN w:val="0"/>
              <w:adjustRightInd w:val="0"/>
              <w:rPr>
                <w:b/>
                <w:sz w:val="18"/>
                <w:szCs w:val="18"/>
                <w:lang w:val="en-GB"/>
              </w:rPr>
            </w:pPr>
          </w:p>
        </w:tc>
        <w:tc>
          <w:tcPr>
            <w:tcW w:w="2026" w:type="pct"/>
          </w:tcPr>
          <w:p w14:paraId="325326FE" w14:textId="2CBD3F0C" w:rsidR="00DB380F" w:rsidRPr="005E1CFA" w:rsidRDefault="00DB380F" w:rsidP="002249DD">
            <w:pPr>
              <w:autoSpaceDE w:val="0"/>
              <w:autoSpaceDN w:val="0"/>
              <w:adjustRightInd w:val="0"/>
              <w:rPr>
                <w:sz w:val="18"/>
                <w:szCs w:val="18"/>
                <w:lang w:val="en-GB"/>
              </w:rPr>
            </w:pPr>
            <w:r w:rsidRPr="005E1CFA">
              <w:rPr>
                <w:b/>
                <w:iCs/>
                <w:sz w:val="18"/>
                <w:szCs w:val="18"/>
                <w:lang w:val="en-GB"/>
              </w:rPr>
              <w:t xml:space="preserve">Output </w:t>
            </w:r>
            <w:r w:rsidR="00CF33A7" w:rsidRPr="005E1CFA">
              <w:rPr>
                <w:b/>
                <w:iCs/>
                <w:sz w:val="18"/>
                <w:szCs w:val="18"/>
                <w:lang w:val="en-GB"/>
              </w:rPr>
              <w:t>3</w:t>
            </w:r>
            <w:r w:rsidRPr="005E1CFA">
              <w:rPr>
                <w:b/>
                <w:iCs/>
                <w:sz w:val="18"/>
                <w:szCs w:val="18"/>
                <w:lang w:val="en-GB"/>
              </w:rPr>
              <w:t>.4.</w:t>
            </w:r>
            <w:r w:rsidRPr="005E1CFA">
              <w:rPr>
                <w:iCs/>
                <w:sz w:val="18"/>
                <w:szCs w:val="18"/>
                <w:lang w:val="en-GB"/>
              </w:rPr>
              <w:t xml:space="preserve"> </w:t>
            </w:r>
            <w:r w:rsidRPr="005E1CFA">
              <w:rPr>
                <w:sz w:val="18"/>
                <w:szCs w:val="18"/>
                <w:lang w:val="en-GB"/>
              </w:rPr>
              <w:t>National and subnational accountability institutions uphold integrity in public service</w:t>
            </w:r>
          </w:p>
          <w:p w14:paraId="3B0BBAA9" w14:textId="77777777" w:rsidR="00DB380F" w:rsidRPr="005E1CFA" w:rsidRDefault="00DB380F" w:rsidP="002249DD">
            <w:pPr>
              <w:autoSpaceDE w:val="0"/>
              <w:autoSpaceDN w:val="0"/>
              <w:adjustRightInd w:val="0"/>
              <w:rPr>
                <w:sz w:val="18"/>
                <w:szCs w:val="18"/>
                <w:lang w:val="en-GB"/>
              </w:rPr>
            </w:pPr>
          </w:p>
          <w:p w14:paraId="4C04BDCF" w14:textId="18F8815A" w:rsidR="00DB380F" w:rsidRPr="005E1CFA" w:rsidRDefault="00DB380F" w:rsidP="002249DD">
            <w:pPr>
              <w:autoSpaceDE w:val="0"/>
              <w:autoSpaceDN w:val="0"/>
              <w:adjustRightInd w:val="0"/>
              <w:rPr>
                <w:iCs/>
                <w:sz w:val="18"/>
                <w:szCs w:val="18"/>
                <w:lang w:val="en-GB"/>
              </w:rPr>
            </w:pPr>
            <w:r w:rsidRPr="005E1CFA">
              <w:rPr>
                <w:b/>
                <w:iCs/>
                <w:sz w:val="18"/>
                <w:szCs w:val="18"/>
                <w:lang w:val="en-GB"/>
              </w:rPr>
              <w:t>Indicator 1</w:t>
            </w:r>
            <w:r w:rsidR="00434A51" w:rsidRPr="005E1CFA">
              <w:rPr>
                <w:b/>
                <w:iCs/>
                <w:sz w:val="18"/>
                <w:szCs w:val="18"/>
                <w:lang w:val="en-GB"/>
              </w:rPr>
              <w:t>.</w:t>
            </w:r>
            <w:r w:rsidRPr="005E1CFA">
              <w:rPr>
                <w:iCs/>
                <w:sz w:val="18"/>
                <w:szCs w:val="18"/>
                <w:lang w:val="en-GB"/>
              </w:rPr>
              <w:t xml:space="preserve"> </w:t>
            </w:r>
            <w:r w:rsidRPr="005E1CFA">
              <w:rPr>
                <w:sz w:val="18"/>
                <w:szCs w:val="18"/>
                <w:lang w:val="en-GB"/>
              </w:rPr>
              <w:t>Number of ministries with an anti-corruption code of conduct</w:t>
            </w:r>
          </w:p>
          <w:p w14:paraId="6CF294EC" w14:textId="77777777" w:rsidR="00DB380F" w:rsidRPr="005E1CFA" w:rsidRDefault="00DB380F" w:rsidP="002249DD">
            <w:pPr>
              <w:rPr>
                <w:iCs/>
                <w:sz w:val="18"/>
                <w:szCs w:val="18"/>
                <w:lang w:val="en-GB"/>
              </w:rPr>
            </w:pPr>
            <w:r w:rsidRPr="005E1CFA">
              <w:rPr>
                <w:b/>
                <w:iCs/>
                <w:sz w:val="18"/>
                <w:szCs w:val="18"/>
                <w:lang w:val="en-GB"/>
              </w:rPr>
              <w:t>Baseline:</w:t>
            </w:r>
            <w:r w:rsidRPr="005E1CFA">
              <w:rPr>
                <w:iCs/>
                <w:sz w:val="18"/>
                <w:szCs w:val="18"/>
                <w:lang w:val="en-GB"/>
              </w:rPr>
              <w:t xml:space="preserve"> 0</w:t>
            </w:r>
          </w:p>
          <w:p w14:paraId="31482310" w14:textId="77777777" w:rsidR="00DB380F" w:rsidRPr="005E1CFA" w:rsidRDefault="00DB380F" w:rsidP="002249DD">
            <w:pPr>
              <w:rPr>
                <w:iCs/>
                <w:sz w:val="18"/>
                <w:szCs w:val="18"/>
                <w:lang w:val="en-GB"/>
              </w:rPr>
            </w:pPr>
            <w:r w:rsidRPr="005E1CFA">
              <w:rPr>
                <w:b/>
                <w:iCs/>
                <w:sz w:val="18"/>
                <w:szCs w:val="18"/>
                <w:lang w:val="en-GB"/>
              </w:rPr>
              <w:t>Target:</w:t>
            </w:r>
            <w:r w:rsidRPr="005E1CFA">
              <w:rPr>
                <w:iCs/>
                <w:sz w:val="18"/>
                <w:szCs w:val="18"/>
                <w:lang w:val="en-GB"/>
              </w:rPr>
              <w:t xml:space="preserve"> 5</w:t>
            </w:r>
          </w:p>
          <w:p w14:paraId="3775E412" w14:textId="708F6FF6" w:rsidR="00DB380F" w:rsidRPr="005E1CFA" w:rsidRDefault="00DB380F" w:rsidP="002249DD">
            <w:pPr>
              <w:rPr>
                <w:iCs/>
                <w:sz w:val="18"/>
                <w:szCs w:val="18"/>
                <w:lang w:val="en-GB"/>
              </w:rPr>
            </w:pPr>
            <w:r w:rsidRPr="005E1CFA">
              <w:rPr>
                <w:b/>
                <w:iCs/>
                <w:sz w:val="18"/>
                <w:szCs w:val="18"/>
                <w:lang w:val="en-GB"/>
              </w:rPr>
              <w:t>Source:</w:t>
            </w:r>
            <w:r w:rsidRPr="005E1CFA">
              <w:rPr>
                <w:iCs/>
                <w:sz w:val="18"/>
                <w:szCs w:val="18"/>
                <w:lang w:val="en-GB"/>
              </w:rPr>
              <w:t xml:space="preserve"> South Sudan Anti</w:t>
            </w:r>
            <w:r w:rsidR="00B71ABA" w:rsidRPr="005E1CFA">
              <w:rPr>
                <w:iCs/>
                <w:sz w:val="18"/>
                <w:szCs w:val="18"/>
                <w:lang w:val="en-GB"/>
              </w:rPr>
              <w:t>-</w:t>
            </w:r>
            <w:r w:rsidR="00434A51" w:rsidRPr="005E1CFA">
              <w:rPr>
                <w:iCs/>
                <w:sz w:val="18"/>
                <w:szCs w:val="18"/>
                <w:lang w:val="en-GB"/>
              </w:rPr>
              <w:t>corruption Commission r</w:t>
            </w:r>
            <w:r w:rsidRPr="005E1CFA">
              <w:rPr>
                <w:iCs/>
                <w:sz w:val="18"/>
                <w:szCs w:val="18"/>
                <w:lang w:val="en-GB"/>
              </w:rPr>
              <w:t xml:space="preserve">eport </w:t>
            </w:r>
          </w:p>
          <w:p w14:paraId="40BB566A" w14:textId="77777777" w:rsidR="00DB380F" w:rsidRPr="005E1CFA" w:rsidRDefault="00DB380F" w:rsidP="002249DD">
            <w:pPr>
              <w:autoSpaceDE w:val="0"/>
              <w:autoSpaceDN w:val="0"/>
              <w:adjustRightInd w:val="0"/>
              <w:rPr>
                <w:iCs/>
                <w:sz w:val="18"/>
                <w:szCs w:val="18"/>
                <w:lang w:val="en-GB"/>
              </w:rPr>
            </w:pPr>
            <w:r w:rsidRPr="005E1CFA">
              <w:rPr>
                <w:iCs/>
                <w:sz w:val="18"/>
                <w:szCs w:val="18"/>
                <w:lang w:val="en-GB"/>
              </w:rPr>
              <w:t xml:space="preserve"> </w:t>
            </w:r>
          </w:p>
          <w:p w14:paraId="6DEEEC1C" w14:textId="2A86A656" w:rsidR="00DB380F" w:rsidRPr="005E1CFA" w:rsidRDefault="00DB380F" w:rsidP="002249DD">
            <w:pPr>
              <w:contextualSpacing/>
              <w:rPr>
                <w:sz w:val="18"/>
                <w:szCs w:val="18"/>
                <w:lang w:val="en-GB"/>
              </w:rPr>
            </w:pPr>
            <w:r w:rsidRPr="005E1CFA">
              <w:rPr>
                <w:b/>
                <w:iCs/>
                <w:sz w:val="18"/>
                <w:szCs w:val="18"/>
                <w:lang w:val="en-GB"/>
              </w:rPr>
              <w:t>Indicator 2</w:t>
            </w:r>
            <w:r w:rsidR="00434A51" w:rsidRPr="005E1CFA">
              <w:rPr>
                <w:b/>
                <w:iCs/>
                <w:sz w:val="18"/>
                <w:szCs w:val="18"/>
                <w:lang w:val="en-GB"/>
              </w:rPr>
              <w:t>.</w:t>
            </w:r>
            <w:r w:rsidRPr="005E1CFA">
              <w:rPr>
                <w:sz w:val="18"/>
                <w:szCs w:val="18"/>
                <w:lang w:val="en-GB"/>
              </w:rPr>
              <w:t xml:space="preserve">  Number of accou</w:t>
            </w:r>
            <w:r w:rsidR="00434A51" w:rsidRPr="005E1CFA">
              <w:rPr>
                <w:sz w:val="18"/>
                <w:szCs w:val="18"/>
                <w:lang w:val="en-GB"/>
              </w:rPr>
              <w:t xml:space="preserve">ntability and </w:t>
            </w:r>
            <w:r w:rsidRPr="005E1CFA">
              <w:rPr>
                <w:sz w:val="18"/>
                <w:szCs w:val="18"/>
                <w:lang w:val="en-GB"/>
              </w:rPr>
              <w:t>oversight bills enacted into law</w:t>
            </w:r>
          </w:p>
          <w:p w14:paraId="01E4D294" w14:textId="77777777" w:rsidR="00DB380F" w:rsidRPr="005E1CFA" w:rsidRDefault="00DB380F" w:rsidP="002249DD">
            <w:pPr>
              <w:rPr>
                <w:iCs/>
                <w:sz w:val="18"/>
                <w:szCs w:val="18"/>
                <w:lang w:val="en-GB"/>
              </w:rPr>
            </w:pPr>
            <w:r w:rsidRPr="005E1CFA">
              <w:rPr>
                <w:b/>
                <w:sz w:val="18"/>
                <w:szCs w:val="18"/>
                <w:lang w:val="en-GB"/>
              </w:rPr>
              <w:t>Baseline</w:t>
            </w:r>
            <w:r w:rsidRPr="002C2DCD">
              <w:rPr>
                <w:b/>
                <w:sz w:val="18"/>
                <w:szCs w:val="18"/>
                <w:lang w:val="en-GB"/>
              </w:rPr>
              <w:t>:</w:t>
            </w:r>
            <w:r w:rsidRPr="005E1CFA">
              <w:rPr>
                <w:sz w:val="18"/>
                <w:szCs w:val="18"/>
                <w:lang w:val="en-GB"/>
              </w:rPr>
              <w:t xml:space="preserve"> 1 </w:t>
            </w:r>
          </w:p>
          <w:p w14:paraId="426F3A87" w14:textId="77777777" w:rsidR="00DB380F" w:rsidRPr="005E1CFA" w:rsidRDefault="00DB380F" w:rsidP="002249DD">
            <w:pPr>
              <w:rPr>
                <w:sz w:val="18"/>
                <w:szCs w:val="18"/>
                <w:lang w:val="en-GB"/>
              </w:rPr>
            </w:pPr>
            <w:r w:rsidRPr="005E1CFA">
              <w:rPr>
                <w:b/>
                <w:iCs/>
                <w:sz w:val="18"/>
                <w:szCs w:val="18"/>
                <w:lang w:val="en-GB"/>
              </w:rPr>
              <w:t>Target</w:t>
            </w:r>
            <w:r w:rsidRPr="002C2DCD">
              <w:rPr>
                <w:b/>
                <w:iCs/>
                <w:sz w:val="18"/>
                <w:szCs w:val="18"/>
                <w:lang w:val="en-GB"/>
              </w:rPr>
              <w:t>:</w:t>
            </w:r>
            <w:r w:rsidRPr="005E1CFA">
              <w:rPr>
                <w:sz w:val="18"/>
                <w:szCs w:val="18"/>
                <w:lang w:val="en-GB"/>
              </w:rPr>
              <w:t xml:space="preserve"> 3 </w:t>
            </w:r>
          </w:p>
          <w:p w14:paraId="402520D1" w14:textId="0432D5D7" w:rsidR="00DB380F" w:rsidRPr="005E1CFA" w:rsidRDefault="00434A51" w:rsidP="002249DD">
            <w:pPr>
              <w:autoSpaceDE w:val="0"/>
              <w:autoSpaceDN w:val="0"/>
              <w:adjustRightInd w:val="0"/>
              <w:rPr>
                <w:iCs/>
                <w:sz w:val="18"/>
                <w:szCs w:val="18"/>
                <w:lang w:val="en-GB"/>
              </w:rPr>
            </w:pPr>
            <w:r w:rsidRPr="005E1CFA">
              <w:rPr>
                <w:b/>
                <w:iCs/>
                <w:sz w:val="18"/>
                <w:szCs w:val="18"/>
                <w:lang w:val="en-GB"/>
              </w:rPr>
              <w:t xml:space="preserve">Data source: </w:t>
            </w:r>
            <w:r w:rsidR="00DB380F" w:rsidRPr="005E1CFA">
              <w:rPr>
                <w:iCs/>
                <w:sz w:val="18"/>
                <w:szCs w:val="18"/>
                <w:lang w:val="en-GB"/>
              </w:rPr>
              <w:t xml:space="preserve">Ministry of Finance and Economic Planning </w:t>
            </w:r>
          </w:p>
          <w:p w14:paraId="6B68BF40" w14:textId="77777777" w:rsidR="00790417" w:rsidRPr="005E1CFA" w:rsidRDefault="00790417" w:rsidP="002249DD">
            <w:pPr>
              <w:autoSpaceDE w:val="0"/>
              <w:autoSpaceDN w:val="0"/>
              <w:adjustRightInd w:val="0"/>
              <w:rPr>
                <w:iCs/>
                <w:sz w:val="18"/>
                <w:szCs w:val="18"/>
                <w:lang w:val="en-GB"/>
              </w:rPr>
            </w:pPr>
          </w:p>
        </w:tc>
        <w:tc>
          <w:tcPr>
            <w:tcW w:w="701" w:type="pct"/>
          </w:tcPr>
          <w:p w14:paraId="2C7DE579" w14:textId="3E0353BF" w:rsidR="00DB380F" w:rsidRPr="005E1CFA" w:rsidRDefault="00DB380F" w:rsidP="002249DD">
            <w:pPr>
              <w:rPr>
                <w:iCs/>
                <w:sz w:val="18"/>
                <w:szCs w:val="18"/>
                <w:lang w:val="en-GB"/>
              </w:rPr>
            </w:pPr>
            <w:r w:rsidRPr="005E1CFA">
              <w:rPr>
                <w:iCs/>
                <w:sz w:val="18"/>
                <w:szCs w:val="18"/>
                <w:lang w:val="en-GB"/>
              </w:rPr>
              <w:t xml:space="preserve">SSAC, </w:t>
            </w:r>
            <w:r w:rsidR="00C34339" w:rsidRPr="005E1CFA">
              <w:rPr>
                <w:sz w:val="18"/>
                <w:szCs w:val="18"/>
                <w:lang w:val="en-GB"/>
              </w:rPr>
              <w:t>National Audit Chamber</w:t>
            </w:r>
            <w:r w:rsidRPr="005E1CFA">
              <w:rPr>
                <w:iCs/>
                <w:sz w:val="18"/>
                <w:szCs w:val="18"/>
                <w:lang w:val="en-GB"/>
              </w:rPr>
              <w:t xml:space="preserve">, </w:t>
            </w:r>
            <w:r w:rsidR="00623C9D" w:rsidRPr="005E1CFA">
              <w:rPr>
                <w:iCs/>
                <w:sz w:val="18"/>
                <w:szCs w:val="18"/>
                <w:lang w:val="en-GB"/>
              </w:rPr>
              <w:t xml:space="preserve">Ministry of Justice, </w:t>
            </w:r>
            <w:r w:rsidRPr="005E1CFA">
              <w:rPr>
                <w:iCs/>
                <w:sz w:val="18"/>
                <w:szCs w:val="18"/>
                <w:lang w:val="en-GB"/>
              </w:rPr>
              <w:t>M</w:t>
            </w:r>
            <w:r w:rsidR="006D2F0F" w:rsidRPr="005E1CFA">
              <w:rPr>
                <w:iCs/>
                <w:sz w:val="18"/>
                <w:szCs w:val="18"/>
                <w:lang w:val="en-GB"/>
              </w:rPr>
              <w:t>inistry of Finance and Economic Planning</w:t>
            </w:r>
          </w:p>
          <w:p w14:paraId="74D92A19" w14:textId="77777777" w:rsidR="00DB380F" w:rsidRPr="005E1CFA" w:rsidRDefault="00DB380F" w:rsidP="002249DD">
            <w:pPr>
              <w:rPr>
                <w:iCs/>
                <w:sz w:val="18"/>
                <w:szCs w:val="18"/>
                <w:lang w:val="en-GB"/>
              </w:rPr>
            </w:pPr>
          </w:p>
          <w:p w14:paraId="4A30E470" w14:textId="77777777" w:rsidR="00DB380F" w:rsidRPr="005E1CFA" w:rsidRDefault="006D6C85" w:rsidP="002249DD">
            <w:pPr>
              <w:rPr>
                <w:iCs/>
                <w:sz w:val="18"/>
                <w:szCs w:val="18"/>
                <w:lang w:val="en-GB"/>
              </w:rPr>
            </w:pPr>
            <w:r w:rsidRPr="005E1CFA">
              <w:rPr>
                <w:iCs/>
                <w:sz w:val="18"/>
                <w:szCs w:val="18"/>
                <w:lang w:val="en-GB"/>
              </w:rPr>
              <w:t>Donor</w:t>
            </w:r>
            <w:r w:rsidR="00B71ABA" w:rsidRPr="005E1CFA">
              <w:rPr>
                <w:iCs/>
                <w:sz w:val="18"/>
                <w:szCs w:val="18"/>
                <w:lang w:val="en-GB"/>
              </w:rPr>
              <w:t xml:space="preserve">: UNDP </w:t>
            </w:r>
          </w:p>
        </w:tc>
        <w:tc>
          <w:tcPr>
            <w:tcW w:w="650" w:type="pct"/>
          </w:tcPr>
          <w:p w14:paraId="50B87122" w14:textId="20B08FAB" w:rsidR="00DB380F" w:rsidRPr="005E1CFA" w:rsidRDefault="00DB380F" w:rsidP="002249DD">
            <w:pPr>
              <w:rPr>
                <w:b/>
                <w:sz w:val="18"/>
                <w:szCs w:val="18"/>
                <w:lang w:val="en-GB"/>
              </w:rPr>
            </w:pPr>
            <w:r w:rsidRPr="005E1CFA">
              <w:rPr>
                <w:b/>
                <w:sz w:val="18"/>
                <w:szCs w:val="18"/>
                <w:lang w:val="en-GB"/>
              </w:rPr>
              <w:t>Regular: 500</w:t>
            </w:r>
          </w:p>
          <w:p w14:paraId="74167FBD" w14:textId="30845F53" w:rsidR="00DB380F" w:rsidRPr="005E1CFA" w:rsidRDefault="00DB380F" w:rsidP="002249DD">
            <w:pPr>
              <w:rPr>
                <w:b/>
                <w:sz w:val="18"/>
                <w:szCs w:val="18"/>
                <w:lang w:val="en-GB"/>
              </w:rPr>
            </w:pPr>
            <w:r w:rsidRPr="005E1CFA">
              <w:rPr>
                <w:b/>
                <w:sz w:val="18"/>
                <w:szCs w:val="18"/>
                <w:lang w:val="en-GB"/>
              </w:rPr>
              <w:t>Other: 1,000</w:t>
            </w:r>
          </w:p>
          <w:p w14:paraId="1DC0D159" w14:textId="105AF9C2" w:rsidR="00DB380F" w:rsidRPr="005E1CFA" w:rsidRDefault="00DB380F" w:rsidP="002249DD">
            <w:pPr>
              <w:rPr>
                <w:b/>
                <w:sz w:val="18"/>
                <w:szCs w:val="18"/>
                <w:lang w:val="en-GB"/>
              </w:rPr>
            </w:pPr>
          </w:p>
        </w:tc>
      </w:tr>
      <w:tr w:rsidR="00B71ABA" w:rsidRPr="005E1CFA" w14:paraId="141E3015" w14:textId="77777777" w:rsidTr="008D05D9">
        <w:trPr>
          <w:trHeight w:val="232"/>
        </w:trPr>
        <w:tc>
          <w:tcPr>
            <w:tcW w:w="848" w:type="pct"/>
            <w:vMerge/>
          </w:tcPr>
          <w:p w14:paraId="7871404E" w14:textId="77777777" w:rsidR="00B71ABA" w:rsidRPr="005E1CFA" w:rsidRDefault="00B71ABA" w:rsidP="002249DD">
            <w:pPr>
              <w:rPr>
                <w:iCs/>
                <w:sz w:val="18"/>
                <w:szCs w:val="18"/>
                <w:lang w:val="en-GB"/>
              </w:rPr>
            </w:pPr>
          </w:p>
        </w:tc>
        <w:tc>
          <w:tcPr>
            <w:tcW w:w="775" w:type="pct"/>
            <w:vMerge/>
          </w:tcPr>
          <w:p w14:paraId="2BBCED05" w14:textId="77777777" w:rsidR="00B71ABA" w:rsidRPr="005E1CFA" w:rsidRDefault="00B71ABA" w:rsidP="002249DD">
            <w:pPr>
              <w:rPr>
                <w:iCs/>
                <w:sz w:val="18"/>
                <w:szCs w:val="18"/>
                <w:lang w:val="en-GB"/>
              </w:rPr>
            </w:pPr>
          </w:p>
        </w:tc>
        <w:tc>
          <w:tcPr>
            <w:tcW w:w="2026" w:type="pct"/>
          </w:tcPr>
          <w:p w14:paraId="09DD95E3" w14:textId="3A80A40C" w:rsidR="00B71ABA" w:rsidRPr="005E1CFA" w:rsidRDefault="00434A51"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Output 3.5.</w:t>
            </w:r>
            <w:r w:rsidR="00B71ABA" w:rsidRPr="005E1CFA">
              <w:rPr>
                <w:rFonts w:ascii="Times New Roman" w:hAnsi="Times New Roman" w:cs="Times New Roman"/>
                <w:color w:val="auto"/>
                <w:sz w:val="18"/>
                <w:szCs w:val="18"/>
                <w:lang w:val="en-GB"/>
              </w:rPr>
              <w:t xml:space="preserve"> Functions, financing, a</w:t>
            </w:r>
            <w:r w:rsidRPr="005E1CFA">
              <w:rPr>
                <w:rFonts w:ascii="Times New Roman" w:hAnsi="Times New Roman" w:cs="Times New Roman"/>
                <w:color w:val="auto"/>
                <w:sz w:val="18"/>
                <w:szCs w:val="18"/>
                <w:lang w:val="en-GB"/>
              </w:rPr>
              <w:t>nd capacity of national and subnational-</w:t>
            </w:r>
            <w:r w:rsidR="00B71ABA" w:rsidRPr="005E1CFA">
              <w:rPr>
                <w:rFonts w:ascii="Times New Roman" w:hAnsi="Times New Roman" w:cs="Times New Roman"/>
                <w:color w:val="auto"/>
                <w:sz w:val="18"/>
                <w:szCs w:val="18"/>
                <w:lang w:val="en-GB"/>
              </w:rPr>
              <w:t xml:space="preserve">level institutions enabled to deliver improved basic services and respond to priorities voiced by the public </w:t>
            </w:r>
          </w:p>
          <w:p w14:paraId="14CBDA5E" w14:textId="77777777" w:rsidR="00B71ABA" w:rsidRPr="005E1CFA" w:rsidRDefault="00B71ABA" w:rsidP="002249DD">
            <w:pPr>
              <w:pStyle w:val="Default"/>
              <w:rPr>
                <w:rFonts w:ascii="Times New Roman" w:hAnsi="Times New Roman" w:cs="Times New Roman"/>
                <w:color w:val="auto"/>
                <w:sz w:val="18"/>
                <w:szCs w:val="18"/>
                <w:lang w:val="en-GB"/>
              </w:rPr>
            </w:pPr>
          </w:p>
          <w:p w14:paraId="6B8504C3" w14:textId="5E1A1F7A" w:rsidR="00B71ABA" w:rsidRPr="005E1CFA" w:rsidRDefault="00B71ABA"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Indicator 1</w:t>
            </w:r>
            <w:r w:rsidR="00434A51" w:rsidRPr="005E1CFA">
              <w:rPr>
                <w:rFonts w:ascii="Times New Roman" w:hAnsi="Times New Roman" w:cs="Times New Roman"/>
                <w:b/>
                <w:color w:val="auto"/>
                <w:sz w:val="18"/>
                <w:szCs w:val="18"/>
                <w:lang w:val="en-GB"/>
              </w:rPr>
              <w:t>.</w:t>
            </w:r>
            <w:r w:rsidRPr="005E1CFA">
              <w:rPr>
                <w:rFonts w:ascii="Times New Roman" w:hAnsi="Times New Roman" w:cs="Times New Roman"/>
                <w:color w:val="auto"/>
                <w:sz w:val="18"/>
                <w:szCs w:val="18"/>
                <w:lang w:val="en-GB"/>
              </w:rPr>
              <w:t xml:space="preserve">  Number of state governments with functioning gender-responsive planning, budgeting and monitoring systems</w:t>
            </w:r>
          </w:p>
          <w:p w14:paraId="6914AB04" w14:textId="62B691D6" w:rsidR="00B71ABA" w:rsidRPr="005E1CFA" w:rsidRDefault="00B71ABA" w:rsidP="002249DD">
            <w:pPr>
              <w:rPr>
                <w:iCs/>
                <w:sz w:val="18"/>
                <w:szCs w:val="18"/>
                <w:lang w:val="en-GB"/>
              </w:rPr>
            </w:pPr>
            <w:r w:rsidRPr="005E1CFA">
              <w:rPr>
                <w:b/>
                <w:iCs/>
                <w:sz w:val="18"/>
                <w:szCs w:val="18"/>
                <w:lang w:val="en-GB"/>
              </w:rPr>
              <w:t>Baseline:</w:t>
            </w:r>
            <w:r w:rsidR="00434A51" w:rsidRPr="005E1CFA">
              <w:rPr>
                <w:iCs/>
                <w:sz w:val="18"/>
                <w:szCs w:val="18"/>
                <w:lang w:val="en-GB"/>
              </w:rPr>
              <w:t xml:space="preserve"> </w:t>
            </w:r>
            <w:r w:rsidRPr="005E1CFA">
              <w:rPr>
                <w:iCs/>
                <w:sz w:val="18"/>
                <w:szCs w:val="18"/>
                <w:lang w:val="en-GB"/>
              </w:rPr>
              <w:t xml:space="preserve">3 </w:t>
            </w:r>
          </w:p>
          <w:p w14:paraId="58F1B429" w14:textId="77777777" w:rsidR="00B71ABA" w:rsidRPr="005E1CFA" w:rsidRDefault="00B71ABA" w:rsidP="002249DD">
            <w:pPr>
              <w:rPr>
                <w:iCs/>
                <w:sz w:val="18"/>
                <w:szCs w:val="18"/>
                <w:lang w:val="en-GB"/>
              </w:rPr>
            </w:pPr>
            <w:r w:rsidRPr="005E1CFA">
              <w:rPr>
                <w:b/>
                <w:iCs/>
                <w:sz w:val="18"/>
                <w:szCs w:val="18"/>
                <w:lang w:val="en-GB"/>
              </w:rPr>
              <w:t>Target:</w:t>
            </w:r>
            <w:r w:rsidRPr="005E1CFA">
              <w:rPr>
                <w:iCs/>
                <w:sz w:val="18"/>
                <w:szCs w:val="18"/>
                <w:lang w:val="en-GB"/>
              </w:rPr>
              <w:t xml:space="preserve"> 5 </w:t>
            </w:r>
          </w:p>
          <w:p w14:paraId="4B995E76" w14:textId="2424DF78" w:rsidR="00B71ABA" w:rsidRPr="005E1CFA" w:rsidRDefault="00B71ABA" w:rsidP="002249DD">
            <w:pPr>
              <w:rPr>
                <w:iCs/>
                <w:sz w:val="18"/>
                <w:szCs w:val="18"/>
                <w:lang w:val="en-GB"/>
              </w:rPr>
            </w:pPr>
            <w:r w:rsidRPr="005E1CFA">
              <w:rPr>
                <w:b/>
                <w:iCs/>
                <w:sz w:val="18"/>
                <w:szCs w:val="18"/>
                <w:lang w:val="en-GB"/>
              </w:rPr>
              <w:t>Source:</w:t>
            </w:r>
            <w:r w:rsidR="00434A51" w:rsidRPr="005E1CFA">
              <w:rPr>
                <w:iCs/>
                <w:sz w:val="18"/>
                <w:szCs w:val="18"/>
                <w:lang w:val="en-GB"/>
              </w:rPr>
              <w:t xml:space="preserve"> Ministry of Finance r</w:t>
            </w:r>
            <w:r w:rsidRPr="005E1CFA">
              <w:rPr>
                <w:iCs/>
                <w:sz w:val="18"/>
                <w:szCs w:val="18"/>
                <w:lang w:val="en-GB"/>
              </w:rPr>
              <w:t xml:space="preserve">eports </w:t>
            </w:r>
          </w:p>
          <w:p w14:paraId="55C9BF57" w14:textId="77777777" w:rsidR="00B71ABA" w:rsidRPr="005E1CFA" w:rsidRDefault="00B71ABA" w:rsidP="002249DD">
            <w:pPr>
              <w:pStyle w:val="Default"/>
              <w:rPr>
                <w:rFonts w:ascii="Times New Roman" w:hAnsi="Times New Roman" w:cs="Times New Roman"/>
                <w:iCs/>
                <w:color w:val="auto"/>
                <w:sz w:val="18"/>
                <w:szCs w:val="18"/>
                <w:lang w:val="en-GB"/>
              </w:rPr>
            </w:pPr>
          </w:p>
          <w:p w14:paraId="37BE4AB7" w14:textId="62C5AB74" w:rsidR="00B71ABA" w:rsidRPr="005E1CFA" w:rsidRDefault="00434A51"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Indicator 2.</w:t>
            </w:r>
            <w:r w:rsidR="00B71ABA" w:rsidRPr="005E1CFA">
              <w:rPr>
                <w:rFonts w:ascii="Times New Roman" w:hAnsi="Times New Roman" w:cs="Times New Roman"/>
                <w:color w:val="auto"/>
                <w:sz w:val="18"/>
                <w:szCs w:val="18"/>
                <w:lang w:val="en-GB"/>
              </w:rPr>
              <w:t xml:space="preserve"> Percent</w:t>
            </w:r>
            <w:r w:rsidRPr="005E1CFA">
              <w:rPr>
                <w:rFonts w:ascii="Times New Roman" w:hAnsi="Times New Roman" w:cs="Times New Roman"/>
                <w:color w:val="auto"/>
                <w:sz w:val="18"/>
                <w:szCs w:val="18"/>
                <w:lang w:val="en-GB"/>
              </w:rPr>
              <w:t>age</w:t>
            </w:r>
            <w:r w:rsidR="00B71ABA" w:rsidRPr="005E1CFA">
              <w:rPr>
                <w:rFonts w:ascii="Times New Roman" w:hAnsi="Times New Roman" w:cs="Times New Roman"/>
                <w:color w:val="auto"/>
                <w:sz w:val="18"/>
                <w:szCs w:val="18"/>
                <w:lang w:val="en-GB"/>
              </w:rPr>
              <w:t xml:space="preserve"> of civil service institutions supporte</w:t>
            </w:r>
            <w:r w:rsidRPr="005E1CFA">
              <w:rPr>
                <w:rFonts w:ascii="Times New Roman" w:hAnsi="Times New Roman" w:cs="Times New Roman"/>
                <w:color w:val="auto"/>
                <w:sz w:val="18"/>
                <w:szCs w:val="18"/>
                <w:lang w:val="en-GB"/>
              </w:rPr>
              <w:t>d through the IGAD South-South c</w:t>
            </w:r>
            <w:r w:rsidR="00B71ABA" w:rsidRPr="005E1CFA">
              <w:rPr>
                <w:rFonts w:ascii="Times New Roman" w:hAnsi="Times New Roman" w:cs="Times New Roman"/>
                <w:color w:val="auto"/>
                <w:sz w:val="18"/>
                <w:szCs w:val="18"/>
                <w:lang w:val="en-GB"/>
              </w:rPr>
              <w:t>ooperation arrangement reporting improved capacity of civil servants to perform their duties.</w:t>
            </w:r>
          </w:p>
          <w:p w14:paraId="1A452DB8" w14:textId="061121F3" w:rsidR="00B71ABA" w:rsidRPr="005E1CFA" w:rsidRDefault="00B71ABA" w:rsidP="002249DD">
            <w:pPr>
              <w:rPr>
                <w:iCs/>
                <w:sz w:val="18"/>
                <w:szCs w:val="18"/>
                <w:lang w:val="en-GB"/>
              </w:rPr>
            </w:pPr>
            <w:r w:rsidRPr="005E1CFA">
              <w:rPr>
                <w:b/>
                <w:iCs/>
                <w:sz w:val="18"/>
                <w:szCs w:val="18"/>
                <w:lang w:val="en-GB"/>
              </w:rPr>
              <w:t>Baseline:</w:t>
            </w:r>
            <w:r w:rsidR="00434A51" w:rsidRPr="005E1CFA">
              <w:rPr>
                <w:iCs/>
                <w:sz w:val="18"/>
                <w:szCs w:val="18"/>
                <w:lang w:val="en-GB"/>
              </w:rPr>
              <w:t xml:space="preserve"> </w:t>
            </w:r>
            <w:r w:rsidR="00115217" w:rsidRPr="005E1CFA">
              <w:rPr>
                <w:iCs/>
                <w:sz w:val="18"/>
                <w:szCs w:val="18"/>
                <w:lang w:val="en-GB"/>
              </w:rPr>
              <w:t>20%</w:t>
            </w:r>
          </w:p>
          <w:p w14:paraId="6AF79A26" w14:textId="0B6B0183" w:rsidR="00B71ABA" w:rsidRPr="005E1CFA" w:rsidRDefault="00B71ABA" w:rsidP="002249DD">
            <w:pPr>
              <w:rPr>
                <w:iCs/>
                <w:sz w:val="18"/>
                <w:szCs w:val="18"/>
                <w:lang w:val="en-GB"/>
              </w:rPr>
            </w:pPr>
            <w:r w:rsidRPr="005E1CFA">
              <w:rPr>
                <w:b/>
                <w:iCs/>
                <w:sz w:val="18"/>
                <w:szCs w:val="18"/>
                <w:lang w:val="en-GB"/>
              </w:rPr>
              <w:t>Target:</w:t>
            </w:r>
            <w:r w:rsidRPr="005E1CFA">
              <w:rPr>
                <w:iCs/>
                <w:sz w:val="18"/>
                <w:szCs w:val="18"/>
                <w:lang w:val="en-GB"/>
              </w:rPr>
              <w:t xml:space="preserve"> </w:t>
            </w:r>
            <w:r w:rsidR="00163C72" w:rsidRPr="005E1CFA">
              <w:rPr>
                <w:iCs/>
                <w:sz w:val="18"/>
                <w:szCs w:val="18"/>
                <w:lang w:val="en-GB"/>
              </w:rPr>
              <w:t>70%</w:t>
            </w:r>
          </w:p>
          <w:p w14:paraId="37E18763" w14:textId="3503E0A5" w:rsidR="00B71ABA" w:rsidRPr="005E1CFA" w:rsidRDefault="00B71ABA" w:rsidP="002249DD">
            <w:pPr>
              <w:rPr>
                <w:iCs/>
                <w:sz w:val="18"/>
                <w:szCs w:val="18"/>
                <w:lang w:val="en-GB"/>
              </w:rPr>
            </w:pPr>
            <w:r w:rsidRPr="005E1CFA">
              <w:rPr>
                <w:b/>
                <w:iCs/>
                <w:sz w:val="18"/>
                <w:szCs w:val="18"/>
                <w:lang w:val="en-GB"/>
              </w:rPr>
              <w:t>Source:</w:t>
            </w:r>
            <w:r w:rsidRPr="005E1CFA">
              <w:rPr>
                <w:iCs/>
                <w:sz w:val="18"/>
                <w:szCs w:val="18"/>
                <w:lang w:val="en-GB"/>
              </w:rPr>
              <w:t xml:space="preserve"> Ministry of Labour, Public Service </w:t>
            </w:r>
            <w:r w:rsidR="002C2DCD">
              <w:rPr>
                <w:iCs/>
                <w:sz w:val="18"/>
                <w:szCs w:val="18"/>
                <w:lang w:val="en-GB"/>
              </w:rPr>
              <w:t>and Human Resource </w:t>
            </w:r>
            <w:r w:rsidR="00434A51" w:rsidRPr="005E1CFA">
              <w:rPr>
                <w:iCs/>
                <w:sz w:val="18"/>
                <w:szCs w:val="18"/>
                <w:lang w:val="en-GB"/>
              </w:rPr>
              <w:t>Development r</w:t>
            </w:r>
            <w:r w:rsidRPr="005E1CFA">
              <w:rPr>
                <w:iCs/>
                <w:sz w:val="18"/>
                <w:szCs w:val="18"/>
                <w:lang w:val="en-GB"/>
              </w:rPr>
              <w:t>eport</w:t>
            </w:r>
          </w:p>
          <w:p w14:paraId="6213A3E0" w14:textId="77777777" w:rsidR="00B71ABA" w:rsidRPr="005E1CFA" w:rsidRDefault="00B71ABA" w:rsidP="002249DD">
            <w:pPr>
              <w:pStyle w:val="Default"/>
              <w:rPr>
                <w:rFonts w:ascii="Times New Roman" w:hAnsi="Times New Roman" w:cs="Times New Roman"/>
                <w:iCs/>
                <w:color w:val="auto"/>
                <w:sz w:val="18"/>
                <w:szCs w:val="18"/>
                <w:lang w:val="en-GB"/>
              </w:rPr>
            </w:pPr>
          </w:p>
          <w:p w14:paraId="2682AA15" w14:textId="05AB697E" w:rsidR="00B71ABA" w:rsidRPr="005E1CFA" w:rsidRDefault="00434A51"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bCs/>
                <w:color w:val="auto"/>
                <w:sz w:val="18"/>
                <w:szCs w:val="18"/>
                <w:lang w:val="en-GB"/>
              </w:rPr>
              <w:t>Indicator 3.</w:t>
            </w:r>
            <w:r w:rsidR="00B71ABA" w:rsidRPr="005E1CFA">
              <w:rPr>
                <w:rFonts w:ascii="Times New Roman" w:hAnsi="Times New Roman" w:cs="Times New Roman"/>
                <w:b/>
                <w:bCs/>
                <w:color w:val="auto"/>
                <w:sz w:val="18"/>
                <w:szCs w:val="18"/>
                <w:lang w:val="en-GB"/>
              </w:rPr>
              <w:t xml:space="preserve"> </w:t>
            </w:r>
            <w:r w:rsidRPr="005E1CFA">
              <w:rPr>
                <w:rFonts w:ascii="Times New Roman" w:hAnsi="Times New Roman" w:cs="Times New Roman"/>
                <w:bCs/>
                <w:color w:val="auto"/>
                <w:sz w:val="18"/>
                <w:szCs w:val="18"/>
                <w:lang w:val="en-GB"/>
              </w:rPr>
              <w:t>Number of institutional gender-</w:t>
            </w:r>
            <w:r w:rsidR="00B71ABA" w:rsidRPr="005E1CFA">
              <w:rPr>
                <w:rFonts w:ascii="Times New Roman" w:hAnsi="Times New Roman" w:cs="Times New Roman"/>
                <w:bCs/>
                <w:color w:val="auto"/>
                <w:sz w:val="18"/>
                <w:szCs w:val="18"/>
                <w:lang w:val="en-GB"/>
              </w:rPr>
              <w:t xml:space="preserve">responsive policies and frameworks developed to enhance operation of government departments </w:t>
            </w:r>
          </w:p>
          <w:p w14:paraId="7DC3BC12" w14:textId="77777777" w:rsidR="00B71ABA" w:rsidRPr="005E1CFA" w:rsidRDefault="00B71ABA" w:rsidP="002249DD">
            <w:pPr>
              <w:rPr>
                <w:iCs/>
                <w:sz w:val="18"/>
                <w:szCs w:val="18"/>
                <w:lang w:val="en-GB"/>
              </w:rPr>
            </w:pPr>
            <w:r w:rsidRPr="005E1CFA">
              <w:rPr>
                <w:b/>
                <w:iCs/>
                <w:sz w:val="18"/>
                <w:szCs w:val="18"/>
                <w:lang w:val="en-GB"/>
              </w:rPr>
              <w:t>Baseline:</w:t>
            </w:r>
            <w:r w:rsidRPr="005E1CFA">
              <w:rPr>
                <w:iCs/>
                <w:sz w:val="18"/>
                <w:szCs w:val="18"/>
                <w:lang w:val="en-GB"/>
              </w:rPr>
              <w:t xml:space="preserve"> 0</w:t>
            </w:r>
          </w:p>
          <w:p w14:paraId="5912F393" w14:textId="77777777" w:rsidR="00B71ABA" w:rsidRPr="005E1CFA" w:rsidRDefault="00B71ABA" w:rsidP="002249DD">
            <w:pPr>
              <w:rPr>
                <w:iCs/>
                <w:sz w:val="18"/>
                <w:szCs w:val="18"/>
                <w:lang w:val="en-GB"/>
              </w:rPr>
            </w:pPr>
            <w:r w:rsidRPr="005E1CFA">
              <w:rPr>
                <w:b/>
                <w:iCs/>
                <w:sz w:val="18"/>
                <w:szCs w:val="18"/>
                <w:lang w:val="en-GB"/>
              </w:rPr>
              <w:t>Target:</w:t>
            </w:r>
            <w:r w:rsidRPr="005E1CFA">
              <w:rPr>
                <w:iCs/>
                <w:sz w:val="18"/>
                <w:szCs w:val="18"/>
                <w:lang w:val="en-GB"/>
              </w:rPr>
              <w:t xml:space="preserve"> 5 </w:t>
            </w:r>
          </w:p>
          <w:p w14:paraId="4717441D" w14:textId="244B1CA7" w:rsidR="00B71ABA" w:rsidRPr="005E1CFA" w:rsidRDefault="00B71ABA" w:rsidP="002249DD">
            <w:pPr>
              <w:rPr>
                <w:iCs/>
                <w:sz w:val="18"/>
                <w:szCs w:val="18"/>
                <w:lang w:val="en-GB"/>
              </w:rPr>
            </w:pPr>
            <w:r w:rsidRPr="005E1CFA">
              <w:rPr>
                <w:b/>
                <w:iCs/>
                <w:sz w:val="18"/>
                <w:szCs w:val="18"/>
                <w:lang w:val="en-GB"/>
              </w:rPr>
              <w:t>Source:</w:t>
            </w:r>
            <w:r w:rsidRPr="005E1CFA">
              <w:rPr>
                <w:iCs/>
                <w:sz w:val="18"/>
                <w:szCs w:val="18"/>
                <w:lang w:val="en-GB"/>
              </w:rPr>
              <w:t xml:space="preserve"> Ministry of Labour, Public Service </w:t>
            </w:r>
            <w:r w:rsidR="002C2DCD">
              <w:rPr>
                <w:iCs/>
                <w:sz w:val="18"/>
                <w:szCs w:val="18"/>
                <w:lang w:val="en-GB"/>
              </w:rPr>
              <w:t>and Human Resource </w:t>
            </w:r>
            <w:r w:rsidR="00434A51" w:rsidRPr="005E1CFA">
              <w:rPr>
                <w:iCs/>
                <w:sz w:val="18"/>
                <w:szCs w:val="18"/>
                <w:lang w:val="en-GB"/>
              </w:rPr>
              <w:t>Development r</w:t>
            </w:r>
            <w:r w:rsidRPr="005E1CFA">
              <w:rPr>
                <w:iCs/>
                <w:sz w:val="18"/>
                <w:szCs w:val="18"/>
                <w:lang w:val="en-GB"/>
              </w:rPr>
              <w:t>eport</w:t>
            </w:r>
          </w:p>
        </w:tc>
        <w:tc>
          <w:tcPr>
            <w:tcW w:w="701" w:type="pct"/>
          </w:tcPr>
          <w:p w14:paraId="629CF416" w14:textId="02C5B35C" w:rsidR="00B71ABA" w:rsidRPr="005E1CFA" w:rsidRDefault="00B71ABA" w:rsidP="002249DD">
            <w:pPr>
              <w:rPr>
                <w:iCs/>
                <w:sz w:val="18"/>
                <w:szCs w:val="18"/>
                <w:lang w:val="en-GB"/>
              </w:rPr>
            </w:pPr>
            <w:r w:rsidRPr="005E1CFA">
              <w:rPr>
                <w:iCs/>
                <w:sz w:val="18"/>
                <w:szCs w:val="18"/>
                <w:lang w:val="en-GB"/>
              </w:rPr>
              <w:t>IGAD Countri</w:t>
            </w:r>
            <w:r w:rsidR="00434A51" w:rsidRPr="005E1CFA">
              <w:rPr>
                <w:iCs/>
                <w:sz w:val="18"/>
                <w:szCs w:val="18"/>
                <w:lang w:val="en-GB"/>
              </w:rPr>
              <w:t>es (Ethiopia, Kenya and Uganda);</w:t>
            </w:r>
            <w:r w:rsidRPr="005E1CFA">
              <w:rPr>
                <w:iCs/>
                <w:sz w:val="18"/>
                <w:szCs w:val="18"/>
                <w:lang w:val="en-GB"/>
              </w:rPr>
              <w:t xml:space="preserve"> Ministry of Public Service, Labour and </w:t>
            </w:r>
            <w:r w:rsidR="006F696D" w:rsidRPr="005E1CFA">
              <w:rPr>
                <w:iCs/>
                <w:sz w:val="18"/>
                <w:szCs w:val="18"/>
                <w:lang w:val="en-GB"/>
              </w:rPr>
              <w:t xml:space="preserve">Human </w:t>
            </w:r>
            <w:r w:rsidRPr="005E1CFA">
              <w:rPr>
                <w:iCs/>
                <w:sz w:val="18"/>
                <w:szCs w:val="18"/>
                <w:lang w:val="en-GB"/>
              </w:rPr>
              <w:t xml:space="preserve">Resource Development  </w:t>
            </w:r>
          </w:p>
          <w:p w14:paraId="3A4CCAE2" w14:textId="77777777" w:rsidR="00B71ABA" w:rsidRPr="005E1CFA" w:rsidRDefault="00B71ABA" w:rsidP="002249DD">
            <w:pPr>
              <w:rPr>
                <w:iCs/>
                <w:sz w:val="18"/>
                <w:szCs w:val="18"/>
                <w:lang w:val="en-GB"/>
              </w:rPr>
            </w:pPr>
          </w:p>
          <w:p w14:paraId="2F10003E" w14:textId="757E8518" w:rsidR="00B71ABA" w:rsidRPr="005E1CFA" w:rsidRDefault="00B71ABA" w:rsidP="002249DD">
            <w:pPr>
              <w:rPr>
                <w:iCs/>
                <w:sz w:val="18"/>
                <w:szCs w:val="18"/>
                <w:lang w:val="en-GB"/>
              </w:rPr>
            </w:pPr>
            <w:r w:rsidRPr="005E1CFA">
              <w:rPr>
                <w:iCs/>
                <w:sz w:val="18"/>
                <w:szCs w:val="18"/>
                <w:lang w:val="en-GB"/>
              </w:rPr>
              <w:t xml:space="preserve">Donors: </w:t>
            </w:r>
            <w:r w:rsidR="00434A51" w:rsidRPr="005E1CFA">
              <w:rPr>
                <w:iCs/>
                <w:sz w:val="18"/>
                <w:szCs w:val="18"/>
                <w:lang w:val="en-GB"/>
              </w:rPr>
              <w:t xml:space="preserve">Government of </w:t>
            </w:r>
            <w:r w:rsidRPr="005E1CFA">
              <w:rPr>
                <w:iCs/>
                <w:sz w:val="18"/>
                <w:szCs w:val="18"/>
                <w:lang w:val="en-GB"/>
              </w:rPr>
              <w:t xml:space="preserve">Norway, UNDP </w:t>
            </w:r>
          </w:p>
        </w:tc>
        <w:tc>
          <w:tcPr>
            <w:tcW w:w="650" w:type="pct"/>
            <w:vMerge w:val="restart"/>
          </w:tcPr>
          <w:p w14:paraId="13E61096" w14:textId="65BA6FEB" w:rsidR="00B71ABA" w:rsidRPr="005E1CFA" w:rsidRDefault="00B71ABA" w:rsidP="002249DD">
            <w:pPr>
              <w:rPr>
                <w:b/>
                <w:sz w:val="18"/>
                <w:szCs w:val="18"/>
                <w:lang w:val="en-GB"/>
              </w:rPr>
            </w:pPr>
            <w:r w:rsidRPr="005E1CFA">
              <w:rPr>
                <w:b/>
                <w:sz w:val="18"/>
                <w:szCs w:val="18"/>
                <w:lang w:val="en-GB"/>
              </w:rPr>
              <w:t>Regular: 500</w:t>
            </w:r>
          </w:p>
          <w:p w14:paraId="7C16F798" w14:textId="77AF2060" w:rsidR="00B71ABA" w:rsidRPr="005E1CFA" w:rsidRDefault="00B71ABA" w:rsidP="002249DD">
            <w:pPr>
              <w:rPr>
                <w:b/>
                <w:sz w:val="18"/>
                <w:szCs w:val="18"/>
                <w:lang w:val="en-GB"/>
              </w:rPr>
            </w:pPr>
            <w:r w:rsidRPr="005E1CFA">
              <w:rPr>
                <w:b/>
                <w:sz w:val="18"/>
                <w:szCs w:val="18"/>
                <w:lang w:val="en-GB"/>
              </w:rPr>
              <w:t>Other: 13,200</w:t>
            </w:r>
          </w:p>
          <w:p w14:paraId="7408E3F5" w14:textId="0D2C45F8" w:rsidR="00B71ABA" w:rsidRPr="005E1CFA" w:rsidRDefault="00B71ABA" w:rsidP="002249DD">
            <w:pPr>
              <w:rPr>
                <w:b/>
                <w:sz w:val="18"/>
                <w:szCs w:val="18"/>
                <w:lang w:val="en-GB"/>
              </w:rPr>
            </w:pPr>
          </w:p>
        </w:tc>
      </w:tr>
      <w:tr w:rsidR="00B71ABA" w:rsidRPr="005E1CFA" w14:paraId="13D93109" w14:textId="77777777" w:rsidTr="008D05D9">
        <w:trPr>
          <w:trHeight w:val="232"/>
        </w:trPr>
        <w:tc>
          <w:tcPr>
            <w:tcW w:w="848" w:type="pct"/>
          </w:tcPr>
          <w:p w14:paraId="652755B1" w14:textId="77777777" w:rsidR="00B71ABA" w:rsidRPr="005E1CFA" w:rsidRDefault="00B71ABA" w:rsidP="002249DD">
            <w:pPr>
              <w:rPr>
                <w:iCs/>
                <w:sz w:val="18"/>
                <w:szCs w:val="18"/>
                <w:lang w:val="en-GB"/>
              </w:rPr>
            </w:pPr>
          </w:p>
        </w:tc>
        <w:tc>
          <w:tcPr>
            <w:tcW w:w="775" w:type="pct"/>
          </w:tcPr>
          <w:p w14:paraId="310F4CC1" w14:textId="77777777" w:rsidR="00B71ABA" w:rsidRPr="005E1CFA" w:rsidRDefault="00B71ABA" w:rsidP="002249DD">
            <w:pPr>
              <w:rPr>
                <w:iCs/>
                <w:sz w:val="18"/>
                <w:szCs w:val="18"/>
                <w:lang w:val="en-GB"/>
              </w:rPr>
            </w:pPr>
          </w:p>
        </w:tc>
        <w:tc>
          <w:tcPr>
            <w:tcW w:w="2026" w:type="pct"/>
          </w:tcPr>
          <w:p w14:paraId="33005FB5" w14:textId="1D9ABCFB" w:rsidR="00B71ABA" w:rsidRPr="005E1CFA" w:rsidRDefault="00434A51" w:rsidP="002249DD">
            <w:pPr>
              <w:pStyle w:val="Default"/>
              <w:rPr>
                <w:rFonts w:ascii="Times New Roman" w:hAnsi="Times New Roman" w:cs="Times New Roman"/>
                <w:iCs/>
                <w:color w:val="auto"/>
                <w:sz w:val="18"/>
                <w:szCs w:val="18"/>
                <w:lang w:val="en-GB" w:eastAsia="en-US"/>
              </w:rPr>
            </w:pPr>
            <w:r w:rsidRPr="005E1CFA">
              <w:rPr>
                <w:rFonts w:ascii="Times New Roman" w:hAnsi="Times New Roman" w:cs="Times New Roman"/>
                <w:b/>
                <w:color w:val="auto"/>
                <w:sz w:val="18"/>
                <w:szCs w:val="18"/>
                <w:lang w:val="en-GB"/>
              </w:rPr>
              <w:t>Output 3.6</w:t>
            </w:r>
            <w:r w:rsidR="002C2DCD">
              <w:rPr>
                <w:rFonts w:ascii="Times New Roman" w:hAnsi="Times New Roman" w:cs="Times New Roman"/>
                <w:b/>
                <w:color w:val="auto"/>
                <w:sz w:val="18"/>
                <w:szCs w:val="18"/>
                <w:lang w:val="en-GB"/>
              </w:rPr>
              <w:t>.</w:t>
            </w:r>
            <w:r w:rsidR="00B71ABA" w:rsidRPr="005E1CFA">
              <w:rPr>
                <w:rFonts w:ascii="Times New Roman" w:hAnsi="Times New Roman" w:cs="Times New Roman"/>
                <w:color w:val="auto"/>
                <w:sz w:val="18"/>
                <w:szCs w:val="18"/>
                <w:lang w:val="en-GB"/>
              </w:rPr>
              <w:t xml:space="preserve"> </w:t>
            </w:r>
            <w:r w:rsidR="00B71ABA" w:rsidRPr="005E1CFA">
              <w:rPr>
                <w:rFonts w:ascii="Times New Roman" w:hAnsi="Times New Roman" w:cs="Times New Roman"/>
                <w:iCs/>
                <w:color w:val="auto"/>
                <w:sz w:val="18"/>
                <w:szCs w:val="18"/>
                <w:lang w:val="en-GB" w:eastAsia="en-US"/>
              </w:rPr>
              <w:t xml:space="preserve">Civil society participation in democratic and national development processes strengthened </w:t>
            </w:r>
          </w:p>
          <w:p w14:paraId="30646332" w14:textId="77777777" w:rsidR="00B71ABA" w:rsidRPr="005E1CFA" w:rsidRDefault="00B71ABA" w:rsidP="002249DD">
            <w:pPr>
              <w:pStyle w:val="Default"/>
              <w:rPr>
                <w:rFonts w:ascii="Times New Roman" w:hAnsi="Times New Roman" w:cs="Times New Roman"/>
                <w:b/>
                <w:iCs/>
                <w:color w:val="auto"/>
                <w:sz w:val="18"/>
                <w:szCs w:val="18"/>
                <w:lang w:val="en-GB" w:eastAsia="en-US"/>
              </w:rPr>
            </w:pPr>
          </w:p>
          <w:p w14:paraId="163E30BC" w14:textId="29C8DE11" w:rsidR="00B71ABA" w:rsidRPr="005E1CFA" w:rsidRDefault="00434A51"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iCs/>
                <w:color w:val="auto"/>
                <w:sz w:val="18"/>
                <w:szCs w:val="18"/>
                <w:lang w:val="en-GB" w:eastAsia="en-US"/>
              </w:rPr>
              <w:t>Indicator 1.</w:t>
            </w:r>
            <w:r w:rsidR="00B71ABA" w:rsidRPr="005E1CFA">
              <w:rPr>
                <w:rFonts w:ascii="Times New Roman" w:hAnsi="Times New Roman" w:cs="Times New Roman"/>
                <w:iCs/>
                <w:color w:val="auto"/>
                <w:sz w:val="18"/>
                <w:szCs w:val="18"/>
                <w:lang w:val="en-GB" w:eastAsia="en-US"/>
              </w:rPr>
              <w:t xml:space="preserve"> Number</w:t>
            </w:r>
            <w:r w:rsidRPr="005E1CFA">
              <w:rPr>
                <w:rFonts w:ascii="Times New Roman" w:hAnsi="Times New Roman" w:cs="Times New Roman"/>
                <w:iCs/>
                <w:color w:val="auto"/>
                <w:sz w:val="18"/>
                <w:szCs w:val="18"/>
                <w:lang w:val="en-GB" w:eastAsia="en-US"/>
              </w:rPr>
              <w:t xml:space="preserve"> of civil society organizations and </w:t>
            </w:r>
            <w:r w:rsidR="00E279D5" w:rsidRPr="005E1CFA">
              <w:rPr>
                <w:rFonts w:ascii="Times New Roman" w:hAnsi="Times New Roman" w:cs="Times New Roman"/>
                <w:iCs/>
                <w:color w:val="auto"/>
                <w:sz w:val="18"/>
                <w:szCs w:val="18"/>
                <w:lang w:val="en-GB" w:eastAsia="en-US"/>
              </w:rPr>
              <w:t xml:space="preserve">networks participating in peace agreement </w:t>
            </w:r>
            <w:r w:rsidR="004B020A" w:rsidRPr="005E1CFA">
              <w:rPr>
                <w:rFonts w:ascii="Times New Roman" w:hAnsi="Times New Roman" w:cs="Times New Roman"/>
                <w:iCs/>
                <w:color w:val="auto"/>
                <w:sz w:val="18"/>
                <w:szCs w:val="18"/>
                <w:lang w:val="en-GB" w:eastAsia="en-US"/>
              </w:rPr>
              <w:t xml:space="preserve">implementation </w:t>
            </w:r>
            <w:r w:rsidRPr="005E1CFA">
              <w:rPr>
                <w:rFonts w:ascii="Times New Roman" w:hAnsi="Times New Roman" w:cs="Times New Roman"/>
                <w:iCs/>
                <w:color w:val="auto"/>
                <w:sz w:val="18"/>
                <w:szCs w:val="18"/>
                <w:lang w:val="en-GB" w:eastAsia="en-US"/>
              </w:rPr>
              <w:t>mechanisms</w:t>
            </w:r>
            <w:r w:rsidR="00E279D5" w:rsidRPr="005E1CFA">
              <w:rPr>
                <w:rFonts w:ascii="Times New Roman" w:hAnsi="Times New Roman" w:cs="Times New Roman"/>
                <w:iCs/>
                <w:color w:val="auto"/>
                <w:sz w:val="18"/>
                <w:szCs w:val="18"/>
                <w:lang w:val="en-GB" w:eastAsia="en-US"/>
              </w:rPr>
              <w:t xml:space="preserve"> </w:t>
            </w:r>
          </w:p>
          <w:p w14:paraId="6AE05F48" w14:textId="77777777" w:rsidR="00B71ABA" w:rsidRPr="005E1CFA" w:rsidRDefault="00B71ABA" w:rsidP="002249DD">
            <w:pPr>
              <w:rPr>
                <w:iCs/>
                <w:sz w:val="18"/>
                <w:szCs w:val="18"/>
                <w:lang w:val="en-GB"/>
              </w:rPr>
            </w:pPr>
            <w:r w:rsidRPr="005E1CFA">
              <w:rPr>
                <w:b/>
                <w:iCs/>
                <w:sz w:val="18"/>
                <w:szCs w:val="18"/>
                <w:lang w:val="en-GB"/>
              </w:rPr>
              <w:t>Baseline:</w:t>
            </w:r>
            <w:r w:rsidRPr="005E1CFA">
              <w:rPr>
                <w:iCs/>
                <w:sz w:val="18"/>
                <w:szCs w:val="18"/>
                <w:lang w:val="en-GB"/>
              </w:rPr>
              <w:t xml:space="preserve"> 0</w:t>
            </w:r>
          </w:p>
          <w:p w14:paraId="3CB435D5" w14:textId="3468325E" w:rsidR="00B71ABA" w:rsidRPr="005E1CFA" w:rsidRDefault="00B71ABA" w:rsidP="002249DD">
            <w:pPr>
              <w:rPr>
                <w:b/>
                <w:iCs/>
                <w:sz w:val="18"/>
                <w:szCs w:val="18"/>
                <w:lang w:val="en-GB"/>
              </w:rPr>
            </w:pPr>
            <w:r w:rsidRPr="005E1CFA">
              <w:rPr>
                <w:b/>
                <w:iCs/>
                <w:sz w:val="18"/>
                <w:szCs w:val="18"/>
                <w:lang w:val="en-GB"/>
              </w:rPr>
              <w:t>Target:</w:t>
            </w:r>
            <w:r w:rsidRPr="005E1CFA">
              <w:rPr>
                <w:iCs/>
                <w:sz w:val="18"/>
                <w:szCs w:val="18"/>
                <w:lang w:val="en-GB"/>
              </w:rPr>
              <w:t xml:space="preserve"> </w:t>
            </w:r>
            <w:r w:rsidR="004B020A" w:rsidRPr="005E1CFA">
              <w:rPr>
                <w:iCs/>
                <w:sz w:val="18"/>
                <w:szCs w:val="18"/>
                <w:lang w:val="en-GB"/>
              </w:rPr>
              <w:t>1</w:t>
            </w:r>
            <w:r w:rsidRPr="005E1CFA">
              <w:rPr>
                <w:iCs/>
                <w:sz w:val="18"/>
                <w:szCs w:val="18"/>
                <w:lang w:val="en-GB"/>
              </w:rPr>
              <w:t>5</w:t>
            </w:r>
          </w:p>
          <w:p w14:paraId="6881FCC6" w14:textId="6DA52A73" w:rsidR="00B71ABA" w:rsidRPr="005E1CFA" w:rsidRDefault="00B71ABA" w:rsidP="002249DD">
            <w:pPr>
              <w:rPr>
                <w:iCs/>
                <w:sz w:val="18"/>
                <w:szCs w:val="18"/>
                <w:lang w:val="en-GB"/>
              </w:rPr>
            </w:pPr>
            <w:r w:rsidRPr="005E1CFA">
              <w:rPr>
                <w:b/>
                <w:iCs/>
                <w:sz w:val="18"/>
                <w:szCs w:val="18"/>
                <w:lang w:val="en-GB"/>
              </w:rPr>
              <w:t>Source:</w:t>
            </w:r>
            <w:r w:rsidRPr="005E1CFA">
              <w:rPr>
                <w:iCs/>
                <w:sz w:val="18"/>
                <w:szCs w:val="18"/>
                <w:lang w:val="en-GB"/>
              </w:rPr>
              <w:t xml:space="preserve"> Ministry of Labour, Public Service </w:t>
            </w:r>
            <w:r w:rsidR="002C2DCD">
              <w:rPr>
                <w:iCs/>
                <w:sz w:val="18"/>
                <w:szCs w:val="18"/>
                <w:lang w:val="en-GB"/>
              </w:rPr>
              <w:t>and Human Resource </w:t>
            </w:r>
            <w:r w:rsidR="00434A51" w:rsidRPr="005E1CFA">
              <w:rPr>
                <w:iCs/>
                <w:sz w:val="18"/>
                <w:szCs w:val="18"/>
                <w:lang w:val="en-GB"/>
              </w:rPr>
              <w:t>Development r</w:t>
            </w:r>
            <w:r w:rsidRPr="005E1CFA">
              <w:rPr>
                <w:iCs/>
                <w:sz w:val="18"/>
                <w:szCs w:val="18"/>
                <w:lang w:val="en-GB"/>
              </w:rPr>
              <w:t>eport</w:t>
            </w:r>
            <w:r w:rsidR="006F696D" w:rsidRPr="005E1CFA">
              <w:rPr>
                <w:iCs/>
                <w:sz w:val="18"/>
                <w:szCs w:val="18"/>
                <w:lang w:val="en-GB"/>
              </w:rPr>
              <w:t xml:space="preserve">; </w:t>
            </w:r>
            <w:r w:rsidRPr="005E1CFA">
              <w:rPr>
                <w:iCs/>
                <w:sz w:val="18"/>
                <w:szCs w:val="18"/>
                <w:lang w:val="en-GB"/>
              </w:rPr>
              <w:t xml:space="preserve">Ministry of Finance and Economic Planning </w:t>
            </w:r>
          </w:p>
          <w:p w14:paraId="5DCB344F" w14:textId="77777777" w:rsidR="00B71ABA" w:rsidRPr="005E1CFA" w:rsidRDefault="00B71ABA" w:rsidP="002249DD">
            <w:pPr>
              <w:pStyle w:val="Default"/>
              <w:rPr>
                <w:rFonts w:ascii="Times New Roman" w:hAnsi="Times New Roman" w:cs="Times New Roman"/>
                <w:b/>
                <w:color w:val="auto"/>
                <w:sz w:val="18"/>
                <w:szCs w:val="18"/>
                <w:lang w:val="en-GB"/>
              </w:rPr>
            </w:pPr>
          </w:p>
          <w:p w14:paraId="57A2A89E" w14:textId="2456F029" w:rsidR="00B71ABA" w:rsidRPr="005E1CFA" w:rsidRDefault="00434A51"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Indicator 2.</w:t>
            </w:r>
            <w:r w:rsidRPr="005E1CFA">
              <w:rPr>
                <w:rFonts w:ascii="Times New Roman" w:hAnsi="Times New Roman" w:cs="Times New Roman"/>
                <w:color w:val="auto"/>
                <w:sz w:val="18"/>
                <w:szCs w:val="18"/>
                <w:lang w:val="en-GB"/>
              </w:rPr>
              <w:t xml:space="preserve"> Number of strategies and </w:t>
            </w:r>
            <w:r w:rsidR="00B71ABA" w:rsidRPr="005E1CFA">
              <w:rPr>
                <w:rFonts w:ascii="Times New Roman" w:hAnsi="Times New Roman" w:cs="Times New Roman"/>
                <w:color w:val="auto"/>
                <w:sz w:val="18"/>
                <w:szCs w:val="18"/>
                <w:lang w:val="en-GB"/>
              </w:rPr>
              <w:t xml:space="preserve">policies developed </w:t>
            </w:r>
            <w:r w:rsidR="009B3F83" w:rsidRPr="005E1CFA">
              <w:rPr>
                <w:rFonts w:ascii="Times New Roman" w:hAnsi="Times New Roman" w:cs="Times New Roman"/>
                <w:color w:val="auto"/>
                <w:sz w:val="18"/>
                <w:szCs w:val="18"/>
                <w:lang w:val="en-GB"/>
              </w:rPr>
              <w:t xml:space="preserve">by the </w:t>
            </w:r>
            <w:r w:rsidR="003046F5" w:rsidRPr="005E1CFA">
              <w:rPr>
                <w:rFonts w:ascii="Times New Roman" w:hAnsi="Times New Roman" w:cs="Times New Roman"/>
                <w:color w:val="auto"/>
                <w:sz w:val="18"/>
                <w:szCs w:val="18"/>
                <w:lang w:val="en-GB"/>
              </w:rPr>
              <w:t>Transitional Government of National Unity</w:t>
            </w:r>
            <w:r w:rsidR="009B3F83" w:rsidRPr="005E1CFA">
              <w:rPr>
                <w:rFonts w:ascii="Times New Roman" w:hAnsi="Times New Roman" w:cs="Times New Roman"/>
                <w:color w:val="auto"/>
                <w:sz w:val="18"/>
                <w:szCs w:val="18"/>
                <w:lang w:val="en-GB"/>
              </w:rPr>
              <w:t xml:space="preserve"> </w:t>
            </w:r>
            <w:r w:rsidR="00B71ABA" w:rsidRPr="005E1CFA">
              <w:rPr>
                <w:rFonts w:ascii="Times New Roman" w:hAnsi="Times New Roman" w:cs="Times New Roman"/>
                <w:color w:val="auto"/>
                <w:sz w:val="18"/>
                <w:szCs w:val="18"/>
                <w:lang w:val="en-GB"/>
              </w:rPr>
              <w:t>with the participation of civil society</w:t>
            </w:r>
            <w:r w:rsidR="009B3F83" w:rsidRPr="005E1CFA">
              <w:rPr>
                <w:rFonts w:ascii="Times New Roman" w:hAnsi="Times New Roman" w:cs="Times New Roman"/>
                <w:color w:val="auto"/>
                <w:sz w:val="18"/>
                <w:szCs w:val="18"/>
                <w:lang w:val="en-GB"/>
              </w:rPr>
              <w:t xml:space="preserve"> </w:t>
            </w:r>
          </w:p>
          <w:p w14:paraId="162BA126" w14:textId="77777777" w:rsidR="00B71ABA" w:rsidRPr="005E1CFA" w:rsidRDefault="00B71ABA"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Baseline:</w:t>
            </w:r>
            <w:r w:rsidRPr="005E1CFA">
              <w:rPr>
                <w:rFonts w:ascii="Times New Roman" w:hAnsi="Times New Roman" w:cs="Times New Roman"/>
                <w:color w:val="auto"/>
                <w:sz w:val="18"/>
                <w:szCs w:val="18"/>
                <w:lang w:val="en-GB"/>
              </w:rPr>
              <w:t xml:space="preserve"> 0</w:t>
            </w:r>
          </w:p>
          <w:p w14:paraId="22D1E9ED" w14:textId="77777777" w:rsidR="00B71ABA" w:rsidRPr="005E1CFA" w:rsidRDefault="00B71ABA" w:rsidP="002249DD">
            <w:pPr>
              <w:pStyle w:val="Default"/>
              <w:rPr>
                <w:rFonts w:ascii="Times New Roman" w:hAnsi="Times New Roman" w:cs="Times New Roman"/>
                <w:color w:val="auto"/>
                <w:sz w:val="18"/>
                <w:szCs w:val="18"/>
                <w:lang w:val="en-GB"/>
              </w:rPr>
            </w:pPr>
            <w:r w:rsidRPr="005E1CFA">
              <w:rPr>
                <w:rFonts w:ascii="Times New Roman" w:hAnsi="Times New Roman" w:cs="Times New Roman"/>
                <w:b/>
                <w:color w:val="auto"/>
                <w:sz w:val="18"/>
                <w:szCs w:val="18"/>
                <w:lang w:val="en-GB"/>
              </w:rPr>
              <w:t xml:space="preserve">Target: </w:t>
            </w:r>
            <w:r w:rsidRPr="005E1CFA">
              <w:rPr>
                <w:rFonts w:ascii="Times New Roman" w:hAnsi="Times New Roman" w:cs="Times New Roman"/>
                <w:color w:val="auto"/>
                <w:sz w:val="18"/>
                <w:szCs w:val="18"/>
                <w:lang w:val="en-GB"/>
              </w:rPr>
              <w:t>5</w:t>
            </w:r>
          </w:p>
          <w:p w14:paraId="6A07E8A2" w14:textId="0C9F37F0" w:rsidR="00B71ABA" w:rsidRPr="005E1CFA" w:rsidRDefault="00B71ABA" w:rsidP="002249DD">
            <w:pPr>
              <w:pStyle w:val="Default"/>
              <w:rPr>
                <w:rFonts w:ascii="Times New Roman" w:hAnsi="Times New Roman" w:cs="Times New Roman"/>
                <w:b/>
                <w:color w:val="auto"/>
                <w:sz w:val="18"/>
                <w:szCs w:val="18"/>
                <w:lang w:val="en-GB"/>
              </w:rPr>
            </w:pPr>
            <w:r w:rsidRPr="005E1CFA">
              <w:rPr>
                <w:rFonts w:ascii="Times New Roman" w:hAnsi="Times New Roman" w:cs="Times New Roman"/>
                <w:b/>
                <w:color w:val="auto"/>
                <w:sz w:val="18"/>
                <w:szCs w:val="18"/>
                <w:lang w:val="en-GB"/>
              </w:rPr>
              <w:t>Source:</w:t>
            </w:r>
            <w:r w:rsidR="0059435D">
              <w:rPr>
                <w:rFonts w:ascii="Times New Roman" w:hAnsi="Times New Roman" w:cs="Times New Roman"/>
                <w:color w:val="auto"/>
                <w:sz w:val="18"/>
                <w:szCs w:val="18"/>
                <w:lang w:val="en-GB"/>
              </w:rPr>
              <w:t xml:space="preserve">  Civil society organizations’</w:t>
            </w:r>
            <w:r w:rsidR="00434A51" w:rsidRPr="005E1CFA">
              <w:rPr>
                <w:rFonts w:ascii="Times New Roman" w:hAnsi="Times New Roman" w:cs="Times New Roman"/>
                <w:color w:val="auto"/>
                <w:sz w:val="18"/>
                <w:szCs w:val="18"/>
                <w:lang w:val="en-GB"/>
              </w:rPr>
              <w:t xml:space="preserve"> reports, p</w:t>
            </w:r>
            <w:r w:rsidRPr="005E1CFA">
              <w:rPr>
                <w:rFonts w:ascii="Times New Roman" w:hAnsi="Times New Roman" w:cs="Times New Roman"/>
                <w:color w:val="auto"/>
                <w:sz w:val="18"/>
                <w:szCs w:val="18"/>
                <w:lang w:val="en-GB"/>
              </w:rPr>
              <w:t>olicies</w:t>
            </w:r>
          </w:p>
        </w:tc>
        <w:tc>
          <w:tcPr>
            <w:tcW w:w="701" w:type="pct"/>
          </w:tcPr>
          <w:p w14:paraId="4C749041" w14:textId="2F7DDA81" w:rsidR="00B71ABA" w:rsidRPr="005E1CFA" w:rsidRDefault="00B71ABA" w:rsidP="002249DD">
            <w:pPr>
              <w:rPr>
                <w:iCs/>
                <w:sz w:val="18"/>
                <w:szCs w:val="18"/>
                <w:lang w:val="en-GB"/>
              </w:rPr>
            </w:pPr>
            <w:r w:rsidRPr="005E1CFA">
              <w:rPr>
                <w:iCs/>
                <w:sz w:val="18"/>
                <w:szCs w:val="18"/>
                <w:lang w:val="en-GB"/>
              </w:rPr>
              <w:t xml:space="preserve">Ministry of Labour, Public Service </w:t>
            </w:r>
            <w:r w:rsidR="00434A51" w:rsidRPr="005E1CFA">
              <w:rPr>
                <w:iCs/>
                <w:sz w:val="18"/>
                <w:szCs w:val="18"/>
                <w:lang w:val="en-GB"/>
              </w:rPr>
              <w:t>and Human Resource Development r</w:t>
            </w:r>
            <w:r w:rsidRPr="005E1CFA">
              <w:rPr>
                <w:iCs/>
                <w:sz w:val="18"/>
                <w:szCs w:val="18"/>
                <w:lang w:val="en-GB"/>
              </w:rPr>
              <w:t xml:space="preserve">eport, Ministry of Finance and Economic Planning, National Constitution Review </w:t>
            </w:r>
          </w:p>
          <w:p w14:paraId="2ECEDBB1" w14:textId="77777777" w:rsidR="00B71ABA" w:rsidRPr="005E1CFA" w:rsidRDefault="00B71ABA" w:rsidP="002249DD">
            <w:pPr>
              <w:rPr>
                <w:iCs/>
                <w:sz w:val="18"/>
                <w:szCs w:val="18"/>
                <w:lang w:val="en-GB"/>
              </w:rPr>
            </w:pPr>
          </w:p>
          <w:p w14:paraId="50CED31E" w14:textId="0A3463B4" w:rsidR="00B71ABA" w:rsidRPr="005E1CFA" w:rsidRDefault="00B71ABA" w:rsidP="002249DD">
            <w:pPr>
              <w:rPr>
                <w:iCs/>
                <w:sz w:val="18"/>
                <w:szCs w:val="18"/>
                <w:lang w:val="en-GB"/>
              </w:rPr>
            </w:pPr>
            <w:r w:rsidRPr="005E1CFA">
              <w:rPr>
                <w:iCs/>
                <w:sz w:val="18"/>
                <w:szCs w:val="18"/>
                <w:lang w:val="en-GB"/>
              </w:rPr>
              <w:t xml:space="preserve">Donor: </w:t>
            </w:r>
            <w:r w:rsidR="00434A51" w:rsidRPr="005E1CFA">
              <w:rPr>
                <w:iCs/>
                <w:sz w:val="18"/>
                <w:szCs w:val="18"/>
                <w:lang w:val="en-GB"/>
              </w:rPr>
              <w:t xml:space="preserve">Government of </w:t>
            </w:r>
            <w:r w:rsidRPr="005E1CFA">
              <w:rPr>
                <w:iCs/>
                <w:sz w:val="18"/>
                <w:szCs w:val="18"/>
                <w:lang w:val="en-GB"/>
              </w:rPr>
              <w:t xml:space="preserve">Japan, UNDP </w:t>
            </w:r>
          </w:p>
        </w:tc>
        <w:tc>
          <w:tcPr>
            <w:tcW w:w="650" w:type="pct"/>
            <w:vMerge/>
          </w:tcPr>
          <w:p w14:paraId="2985FA1F" w14:textId="77777777" w:rsidR="00B71ABA" w:rsidRPr="005E1CFA" w:rsidRDefault="00B71ABA" w:rsidP="002249DD">
            <w:pPr>
              <w:rPr>
                <w:b/>
                <w:sz w:val="18"/>
                <w:szCs w:val="18"/>
                <w:lang w:val="en-GB"/>
              </w:rPr>
            </w:pPr>
          </w:p>
        </w:tc>
      </w:tr>
    </w:tbl>
    <w:p w14:paraId="0E3ADB79" w14:textId="77777777" w:rsidR="00DB380F" w:rsidRPr="005E1CFA" w:rsidRDefault="00DB380F" w:rsidP="00DB380F">
      <w:pPr>
        <w:jc w:val="both"/>
        <w:rPr>
          <w:lang w:val="en-GB"/>
        </w:rPr>
      </w:pPr>
    </w:p>
    <w:p w14:paraId="03026317" w14:textId="380F2074" w:rsidR="00DB380F" w:rsidRPr="005E1CFA" w:rsidRDefault="00C23483" w:rsidP="00C23483">
      <w:pPr>
        <w:jc w:val="center"/>
        <w:rPr>
          <w:lang w:val="en-GB"/>
        </w:rPr>
      </w:pPr>
      <w:r w:rsidRPr="005E1CFA">
        <w:rPr>
          <w:noProof/>
          <w:color w:val="000000"/>
          <w:sz w:val="16"/>
          <w:szCs w:val="16"/>
        </w:rPr>
        <w:drawing>
          <wp:inline distT="0" distB="0" distL="0" distR="0" wp14:anchorId="375CCE1E" wp14:editId="7E5C35C7">
            <wp:extent cx="942975" cy="28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DB380F" w:rsidRPr="005E1CFA" w:rsidSect="000E60D6">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B48E2" w14:textId="77777777" w:rsidR="00CB5B9B" w:rsidRDefault="00CB5B9B" w:rsidP="00F62913">
      <w:r>
        <w:separator/>
      </w:r>
    </w:p>
  </w:endnote>
  <w:endnote w:type="continuationSeparator" w:id="0">
    <w:p w14:paraId="70D46D9F" w14:textId="77777777" w:rsidR="00CB5B9B" w:rsidRDefault="00CB5B9B" w:rsidP="00F6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60D3" w14:textId="77777777" w:rsidR="002B4A63" w:rsidRPr="005841A3" w:rsidRDefault="002B4A63">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7D6E6" w14:textId="77777777" w:rsidR="002B4A63" w:rsidRPr="005841A3" w:rsidRDefault="002B4A63">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p w14:paraId="0A3C12B2" w14:textId="77777777" w:rsidR="002B4A63" w:rsidRDefault="002B4A63" w:rsidP="004436E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718E" w14:textId="5B6940E2" w:rsidR="002B4A63" w:rsidRPr="00DF34B0" w:rsidRDefault="002B4A63">
    <w:pPr>
      <w:pStyle w:val="Footer"/>
      <w:rPr>
        <w:b/>
        <w:sz w:val="17"/>
        <w:szCs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494184"/>
      <w:docPartObj>
        <w:docPartGallery w:val="Page Numbers (Bottom of Page)"/>
        <w:docPartUnique/>
      </w:docPartObj>
    </w:sdtPr>
    <w:sdtEndPr>
      <w:rPr>
        <w:b/>
        <w:noProof/>
        <w:sz w:val="17"/>
        <w:szCs w:val="17"/>
      </w:rPr>
    </w:sdtEndPr>
    <w:sdtContent>
      <w:p w14:paraId="6D424DEC" w14:textId="0DD98455" w:rsidR="002B4A63" w:rsidRPr="00944DE8" w:rsidRDefault="002B4A63" w:rsidP="00944DE8">
        <w:pPr>
          <w:pStyle w:val="Footer"/>
          <w:rPr>
            <w:b/>
            <w:sz w:val="17"/>
            <w:szCs w:val="17"/>
          </w:rPr>
        </w:pPr>
        <w:r w:rsidRPr="00944DE8">
          <w:rPr>
            <w:b/>
            <w:sz w:val="17"/>
            <w:szCs w:val="17"/>
          </w:rPr>
          <w:fldChar w:fldCharType="begin"/>
        </w:r>
        <w:r w:rsidRPr="00944DE8">
          <w:rPr>
            <w:b/>
            <w:sz w:val="17"/>
            <w:szCs w:val="17"/>
          </w:rPr>
          <w:instrText xml:space="preserve"> PAGE   \* MERGEFORMAT </w:instrText>
        </w:r>
        <w:r w:rsidRPr="00944DE8">
          <w:rPr>
            <w:b/>
            <w:sz w:val="17"/>
            <w:szCs w:val="17"/>
          </w:rPr>
          <w:fldChar w:fldCharType="separate"/>
        </w:r>
        <w:r w:rsidR="002670F1">
          <w:rPr>
            <w:b/>
            <w:noProof/>
            <w:sz w:val="17"/>
            <w:szCs w:val="17"/>
          </w:rPr>
          <w:t>4</w:t>
        </w:r>
        <w:r w:rsidRPr="00944DE8">
          <w:rPr>
            <w:b/>
            <w:noProof/>
            <w:sz w:val="17"/>
            <w:szCs w:val="17"/>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744539"/>
      <w:docPartObj>
        <w:docPartGallery w:val="Page Numbers (Bottom of Page)"/>
        <w:docPartUnique/>
      </w:docPartObj>
    </w:sdtPr>
    <w:sdtEndPr>
      <w:rPr>
        <w:noProof/>
      </w:rPr>
    </w:sdtEndPr>
    <w:sdtContent>
      <w:p w14:paraId="412CF67D" w14:textId="7874BF45" w:rsidR="002B4A63" w:rsidRDefault="002B4A63" w:rsidP="00D64B78">
        <w:pPr>
          <w:pStyle w:val="Footer"/>
          <w:jc w:val="right"/>
        </w:pPr>
        <w:r w:rsidRPr="00D64B78">
          <w:rPr>
            <w:b/>
            <w:sz w:val="17"/>
            <w:szCs w:val="17"/>
          </w:rPr>
          <w:fldChar w:fldCharType="begin"/>
        </w:r>
        <w:r w:rsidRPr="00D64B78">
          <w:rPr>
            <w:b/>
            <w:sz w:val="17"/>
            <w:szCs w:val="17"/>
          </w:rPr>
          <w:instrText xml:space="preserve"> PAGE   \* MERGEFORMAT </w:instrText>
        </w:r>
        <w:r w:rsidRPr="00D64B78">
          <w:rPr>
            <w:b/>
            <w:sz w:val="17"/>
            <w:szCs w:val="17"/>
          </w:rPr>
          <w:fldChar w:fldCharType="separate"/>
        </w:r>
        <w:r w:rsidR="002670F1">
          <w:rPr>
            <w:b/>
            <w:noProof/>
            <w:sz w:val="17"/>
            <w:szCs w:val="17"/>
          </w:rPr>
          <w:t>5</w:t>
        </w:r>
        <w:r w:rsidRPr="00D64B78">
          <w:rPr>
            <w:b/>
            <w:noProof/>
            <w:sz w:val="17"/>
            <w:szCs w:val="17"/>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763674"/>
      <w:docPartObj>
        <w:docPartGallery w:val="Page Numbers (Bottom of Page)"/>
        <w:docPartUnique/>
      </w:docPartObj>
    </w:sdtPr>
    <w:sdtEndPr>
      <w:rPr>
        <w:noProof/>
      </w:rPr>
    </w:sdtEndPr>
    <w:sdtContent>
      <w:p w14:paraId="34B43451" w14:textId="7E07BCB5" w:rsidR="002670F1" w:rsidRPr="002670F1" w:rsidRDefault="002670F1">
        <w:pPr>
          <w:pStyle w:val="Footer"/>
        </w:pPr>
        <w:r w:rsidRPr="002670F1">
          <w:rPr>
            <w:b/>
            <w:sz w:val="17"/>
            <w:szCs w:val="17"/>
          </w:rPr>
          <w:fldChar w:fldCharType="begin"/>
        </w:r>
        <w:r w:rsidRPr="002670F1">
          <w:rPr>
            <w:b/>
            <w:sz w:val="17"/>
            <w:szCs w:val="17"/>
          </w:rPr>
          <w:instrText xml:space="preserve"> PAGE   \* MERGEFORMAT </w:instrText>
        </w:r>
        <w:r w:rsidRPr="002670F1">
          <w:rPr>
            <w:b/>
            <w:sz w:val="17"/>
            <w:szCs w:val="17"/>
          </w:rPr>
          <w:fldChar w:fldCharType="separate"/>
        </w:r>
        <w:r>
          <w:rPr>
            <w:b/>
            <w:noProof/>
            <w:sz w:val="17"/>
            <w:szCs w:val="17"/>
          </w:rPr>
          <w:t>2</w:t>
        </w:r>
        <w:r w:rsidRPr="002670F1">
          <w:rPr>
            <w:b/>
            <w:noProof/>
            <w:sz w:val="17"/>
            <w:szCs w:val="17"/>
          </w:rPr>
          <w:fldChar w:fldCharType="end"/>
        </w:r>
      </w:p>
      <w:bookmarkStart w:id="0" w:name="_GoBack" w:displacedByCustomXml="next"/>
      <w:bookmarkEnd w:id="0" w:displacedByCustomXml="nex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8CA36" w14:textId="77777777" w:rsidR="00CB5B9B" w:rsidRDefault="00CB5B9B" w:rsidP="00F62913">
      <w:r>
        <w:separator/>
      </w:r>
    </w:p>
  </w:footnote>
  <w:footnote w:type="continuationSeparator" w:id="0">
    <w:p w14:paraId="3708BD3E" w14:textId="77777777" w:rsidR="00CB5B9B" w:rsidRDefault="00CB5B9B" w:rsidP="00F62913">
      <w:r>
        <w:continuationSeparator/>
      </w:r>
    </w:p>
  </w:footnote>
  <w:footnote w:id="1">
    <w:p w14:paraId="0D445B1B" w14:textId="25EA6279" w:rsidR="002B4A63" w:rsidRPr="0073759A" w:rsidRDefault="002B4A63" w:rsidP="009067F5">
      <w:pPr>
        <w:pStyle w:val="FootnoteText"/>
        <w:rPr>
          <w:rFonts w:ascii="Corbel" w:hAnsi="Corbel"/>
          <w:sz w:val="16"/>
          <w:szCs w:val="16"/>
          <w:lang w:val="en-GB"/>
        </w:rPr>
      </w:pPr>
      <w:r w:rsidRPr="002249DD">
        <w:rPr>
          <w:rStyle w:val="FootnoteReference"/>
          <w:rFonts w:ascii="Times New Roman" w:hAnsi="Times New Roman"/>
        </w:rPr>
        <w:footnoteRef/>
      </w:r>
      <w:r>
        <w:rPr>
          <w:rFonts w:ascii="Corbel" w:hAnsi="Corbel"/>
          <w:sz w:val="16"/>
          <w:szCs w:val="16"/>
          <w:lang w:val="en-GB"/>
        </w:rPr>
        <w:t xml:space="preserve"> </w:t>
      </w:r>
      <w:r>
        <w:rPr>
          <w:rFonts w:ascii="Times New Roman" w:eastAsia="Batang" w:hAnsi="Times New Roman"/>
          <w:sz w:val="18"/>
          <w:szCs w:val="18"/>
          <w:lang w:val="en-GB"/>
        </w:rPr>
        <w:t xml:space="preserve">Fifty-eight </w:t>
      </w:r>
      <w:r w:rsidRPr="002D56BC">
        <w:rPr>
          <w:rFonts w:ascii="Times New Roman" w:eastAsia="Batang" w:hAnsi="Times New Roman"/>
          <w:sz w:val="18"/>
          <w:szCs w:val="18"/>
          <w:lang w:val="en-GB"/>
        </w:rPr>
        <w:t>per</w:t>
      </w:r>
      <w:r>
        <w:rPr>
          <w:rFonts w:ascii="Times New Roman" w:eastAsia="Batang" w:hAnsi="Times New Roman"/>
          <w:sz w:val="18"/>
          <w:szCs w:val="18"/>
          <w:lang w:val="en-GB"/>
        </w:rPr>
        <w:t xml:space="preserve"> </w:t>
      </w:r>
      <w:r w:rsidRPr="002D56BC">
        <w:rPr>
          <w:rFonts w:ascii="Times New Roman" w:eastAsia="Batang" w:hAnsi="Times New Roman"/>
          <w:sz w:val="18"/>
          <w:szCs w:val="18"/>
          <w:lang w:val="en-GB"/>
        </w:rPr>
        <w:t>cent of households are female headed</w:t>
      </w:r>
      <w:r>
        <w:rPr>
          <w:rFonts w:ascii="Times New Roman" w:eastAsia="Batang" w:hAnsi="Times New Roman"/>
          <w:sz w:val="18"/>
          <w:szCs w:val="18"/>
          <w:lang w:val="en-GB"/>
        </w:rPr>
        <w:t xml:space="preserve"> (</w:t>
      </w:r>
      <w:r w:rsidRPr="002D56BC">
        <w:rPr>
          <w:rFonts w:ascii="Times New Roman" w:eastAsia="Batang" w:hAnsi="Times New Roman"/>
          <w:sz w:val="18"/>
          <w:szCs w:val="18"/>
          <w:lang w:val="en-GB"/>
        </w:rPr>
        <w:t>statement by the UN</w:t>
      </w:r>
      <w:r>
        <w:rPr>
          <w:rFonts w:ascii="Times New Roman" w:eastAsia="Batang" w:hAnsi="Times New Roman"/>
          <w:sz w:val="18"/>
          <w:szCs w:val="18"/>
          <w:lang w:val="en-GB"/>
        </w:rPr>
        <w:t>-</w:t>
      </w:r>
      <w:r w:rsidRPr="002D56BC">
        <w:rPr>
          <w:rFonts w:ascii="Times New Roman" w:eastAsia="Batang" w:hAnsi="Times New Roman"/>
          <w:sz w:val="18"/>
          <w:szCs w:val="18"/>
          <w:lang w:val="en-GB"/>
        </w:rPr>
        <w:t>Women Executive Director at Security Council briefings on South Sudan</w:t>
      </w:r>
      <w:r>
        <w:rPr>
          <w:rFonts w:ascii="Times New Roman" w:eastAsia="Batang" w:hAnsi="Times New Roman"/>
          <w:sz w:val="18"/>
          <w:szCs w:val="18"/>
          <w:lang w:val="en-GB"/>
        </w:rPr>
        <w:t>,</w:t>
      </w:r>
      <w:r w:rsidRPr="002D56BC">
        <w:rPr>
          <w:rFonts w:ascii="Times New Roman" w:eastAsia="Batang" w:hAnsi="Times New Roman"/>
          <w:sz w:val="18"/>
          <w:szCs w:val="18"/>
          <w:lang w:val="en-GB"/>
        </w:rPr>
        <w:t xml:space="preserve"> </w:t>
      </w:r>
      <w:hyperlink r:id="rId1" w:history="1">
        <w:r w:rsidRPr="002D56BC">
          <w:rPr>
            <w:rFonts w:ascii="Times New Roman" w:eastAsia="Batang" w:hAnsi="Times New Roman"/>
            <w:sz w:val="18"/>
            <w:szCs w:val="18"/>
          </w:rPr>
          <w:t>http://www.hart-uk.org/blog/conflict-south-sudan-affect-women</w:t>
        </w:r>
      </w:hyperlink>
      <w:r>
        <w:rPr>
          <w:rFonts w:ascii="Times New Roman" w:eastAsia="Batang" w:hAnsi="Times New Roman"/>
          <w:sz w:val="18"/>
          <w:szCs w:val="18"/>
        </w:rPr>
        <w:t>).</w:t>
      </w:r>
    </w:p>
  </w:footnote>
  <w:footnote w:id="2">
    <w:p w14:paraId="367814A1" w14:textId="2BD07D99" w:rsidR="002B4A63" w:rsidRPr="00AA6AF3" w:rsidRDefault="002B4A63">
      <w:pPr>
        <w:pStyle w:val="FootnoteText"/>
        <w:rPr>
          <w:lang w:val="en-GB"/>
        </w:rPr>
      </w:pPr>
      <w:r w:rsidRPr="002249DD">
        <w:rPr>
          <w:rStyle w:val="FootnoteReference"/>
          <w:rFonts w:ascii="Times New Roman" w:hAnsi="Times New Roman"/>
        </w:rPr>
        <w:footnoteRef/>
      </w:r>
      <w:r>
        <w:rPr>
          <w:rFonts w:ascii="Corbel" w:hAnsi="Corbel"/>
          <w:sz w:val="16"/>
          <w:szCs w:val="16"/>
          <w:lang w:val="en-GB"/>
        </w:rPr>
        <w:t xml:space="preserve"> </w:t>
      </w:r>
      <w:r w:rsidRPr="002D56BC">
        <w:rPr>
          <w:rFonts w:ascii="Times New Roman" w:eastAsia="Batang" w:hAnsi="Times New Roman"/>
          <w:sz w:val="18"/>
          <w:szCs w:val="18"/>
          <w:lang w:val="en-GB"/>
        </w:rPr>
        <w:t>National budget fiscal year 2015</w:t>
      </w:r>
      <w:r>
        <w:rPr>
          <w:rFonts w:ascii="Times New Roman" w:eastAsia="Batang" w:hAnsi="Times New Roman"/>
          <w:sz w:val="18"/>
          <w:szCs w:val="18"/>
          <w:lang w:val="en-GB"/>
        </w:rPr>
        <w:t>-</w:t>
      </w:r>
      <w:r w:rsidRPr="002D56BC">
        <w:rPr>
          <w:rFonts w:ascii="Times New Roman" w:eastAsia="Batang" w:hAnsi="Times New Roman"/>
          <w:sz w:val="18"/>
          <w:szCs w:val="18"/>
          <w:lang w:val="en-GB"/>
        </w:rPr>
        <w:t>2016, Ministry of Finance and Economic Planning</w:t>
      </w:r>
      <w:r>
        <w:rPr>
          <w:rFonts w:ascii="Times New Roman" w:eastAsia="Batang" w:hAnsi="Times New Roman"/>
          <w:sz w:val="18"/>
          <w:szCs w:val="18"/>
          <w:lang w:val="en-GB"/>
        </w:rPr>
        <w:t>,</w:t>
      </w:r>
      <w:r w:rsidRPr="002D56BC">
        <w:rPr>
          <w:rFonts w:ascii="Times New Roman" w:eastAsia="Batang" w:hAnsi="Times New Roman"/>
          <w:sz w:val="18"/>
          <w:szCs w:val="18"/>
          <w:lang w:val="en-GB"/>
        </w:rPr>
        <w:t xml:space="preserve"> 2015</w:t>
      </w:r>
    </w:p>
  </w:footnote>
  <w:footnote w:id="3">
    <w:p w14:paraId="37BC2920" w14:textId="3E224E75" w:rsidR="002B4A63" w:rsidRPr="00AA6AF3" w:rsidRDefault="002B4A63">
      <w:pPr>
        <w:pStyle w:val="FootnoteText"/>
        <w:rPr>
          <w:lang w:val="en-GB"/>
        </w:rPr>
      </w:pPr>
      <w:r w:rsidRPr="002249DD">
        <w:rPr>
          <w:rStyle w:val="FootnoteReference"/>
          <w:rFonts w:ascii="Times New Roman" w:hAnsi="Times New Roman"/>
        </w:rPr>
        <w:footnoteRef/>
      </w:r>
      <w:r w:rsidRPr="002249DD">
        <w:rPr>
          <w:rStyle w:val="FootnoteReference"/>
          <w:rFonts w:ascii="Times New Roman" w:hAnsi="Times New Roman"/>
        </w:rPr>
        <w:t xml:space="preserve"> </w:t>
      </w:r>
      <w:r>
        <w:rPr>
          <w:rStyle w:val="FootnoteReference"/>
          <w:rFonts w:ascii="Times New Roman" w:hAnsi="Times New Roman"/>
        </w:rPr>
        <w:t>.</w:t>
      </w:r>
      <w:r w:rsidR="00ED0905">
        <w:rPr>
          <w:rFonts w:ascii="Times New Roman" w:eastAsia="Batang" w:hAnsi="Times New Roman"/>
          <w:sz w:val="18"/>
          <w:szCs w:val="18"/>
          <w:lang w:val="en-GB"/>
        </w:rPr>
        <w:t>I</w:t>
      </w:r>
      <w:r w:rsidRPr="00ED0905">
        <w:rPr>
          <w:rFonts w:ascii="Times New Roman" w:eastAsia="Batang" w:hAnsi="Times New Roman"/>
          <w:sz w:val="18"/>
          <w:szCs w:val="18"/>
          <w:lang w:val="en-GB"/>
        </w:rPr>
        <w:t>bid</w:t>
      </w:r>
      <w:r w:rsidR="00ED0905" w:rsidRPr="00ED0905">
        <w:rPr>
          <w:rFonts w:ascii="Times New Roman" w:eastAsia="Batang" w:hAnsi="Times New Roman"/>
          <w:sz w:val="18"/>
          <w:szCs w:val="18"/>
          <w:lang w:val="en-GB"/>
        </w:rPr>
        <w:t>.</w:t>
      </w:r>
    </w:p>
  </w:footnote>
  <w:footnote w:id="4">
    <w:p w14:paraId="7EEDE110" w14:textId="46D91155" w:rsidR="002B4A63" w:rsidRPr="005E3777" w:rsidRDefault="002B4A63">
      <w:pPr>
        <w:pStyle w:val="FootnoteText"/>
        <w:rPr>
          <w:rFonts w:ascii="Corbel" w:hAnsi="Corbel"/>
          <w:sz w:val="16"/>
          <w:szCs w:val="16"/>
          <w:lang w:val="en-GB"/>
        </w:rPr>
      </w:pPr>
      <w:r w:rsidRPr="002249DD">
        <w:rPr>
          <w:rStyle w:val="FootnoteReference"/>
          <w:rFonts w:ascii="Times New Roman" w:hAnsi="Times New Roman"/>
        </w:rPr>
        <w:footnoteRef/>
      </w:r>
      <w:r>
        <w:rPr>
          <w:rFonts w:ascii="Times New Roman" w:eastAsia="Batang" w:hAnsi="Times New Roman"/>
          <w:sz w:val="18"/>
          <w:szCs w:val="18"/>
          <w:lang w:val="en-GB"/>
        </w:rPr>
        <w:t xml:space="preserve"> </w:t>
      </w:r>
      <w:r w:rsidRPr="002D56BC">
        <w:rPr>
          <w:rFonts w:ascii="Times New Roman" w:eastAsia="Batang" w:hAnsi="Times New Roman"/>
          <w:sz w:val="18"/>
          <w:szCs w:val="18"/>
          <w:lang w:val="en-GB"/>
        </w:rPr>
        <w:t>World Bank</w:t>
      </w:r>
      <w:r>
        <w:rPr>
          <w:rFonts w:ascii="Times New Roman" w:eastAsia="Batang" w:hAnsi="Times New Roman"/>
          <w:sz w:val="18"/>
          <w:szCs w:val="18"/>
          <w:lang w:val="en-GB"/>
        </w:rPr>
        <w:t>,</w:t>
      </w:r>
      <w:r w:rsidRPr="002D56BC">
        <w:rPr>
          <w:rFonts w:ascii="Times New Roman" w:eastAsia="Batang" w:hAnsi="Times New Roman"/>
          <w:sz w:val="18"/>
          <w:szCs w:val="18"/>
          <w:lang w:val="en-GB"/>
        </w:rPr>
        <w:t xml:space="preserve"> 2015</w:t>
      </w:r>
    </w:p>
  </w:footnote>
  <w:footnote w:id="5">
    <w:p w14:paraId="34771637" w14:textId="0E2C4606" w:rsidR="002B4A63" w:rsidRPr="005E3777" w:rsidRDefault="002B4A63">
      <w:pPr>
        <w:pStyle w:val="FootnoteText"/>
        <w:rPr>
          <w:lang w:val="en-GB"/>
        </w:rPr>
      </w:pPr>
      <w:r w:rsidRPr="002249DD">
        <w:rPr>
          <w:rStyle w:val="FootnoteReference"/>
          <w:rFonts w:ascii="Times New Roman" w:hAnsi="Times New Roman"/>
        </w:rPr>
        <w:footnoteRef/>
      </w:r>
      <w:r w:rsidRPr="002249DD">
        <w:rPr>
          <w:rStyle w:val="FootnoteReference"/>
        </w:rPr>
        <w:t xml:space="preserve"> </w:t>
      </w:r>
      <w:r w:rsidRPr="002D56BC">
        <w:rPr>
          <w:rFonts w:ascii="Times New Roman" w:eastAsia="Batang" w:hAnsi="Times New Roman"/>
          <w:sz w:val="18"/>
          <w:szCs w:val="18"/>
          <w:lang w:val="en-GB"/>
        </w:rPr>
        <w:t>Transparency International, 2013</w:t>
      </w:r>
    </w:p>
  </w:footnote>
  <w:footnote w:id="6">
    <w:p w14:paraId="488272C9" w14:textId="0422573F" w:rsidR="002B4A63" w:rsidRPr="005F540D" w:rsidRDefault="002B4A63">
      <w:pPr>
        <w:pStyle w:val="FootnoteText"/>
        <w:rPr>
          <w:lang w:val="en-GB"/>
        </w:rPr>
      </w:pPr>
      <w:r w:rsidRPr="002249DD">
        <w:rPr>
          <w:rStyle w:val="FootnoteReference"/>
          <w:rFonts w:ascii="Times New Roman" w:hAnsi="Times New Roman"/>
        </w:rPr>
        <w:footnoteRef/>
      </w:r>
      <w:r>
        <w:rPr>
          <w:rFonts w:ascii="Times New Roman" w:eastAsia="Batang" w:hAnsi="Times New Roman"/>
          <w:sz w:val="18"/>
          <w:szCs w:val="18"/>
          <w:lang w:val="en-GB"/>
        </w:rPr>
        <w:t xml:space="preserve">  World Health Organization c</w:t>
      </w:r>
      <w:r w:rsidRPr="002D56BC">
        <w:rPr>
          <w:rFonts w:ascii="Times New Roman" w:eastAsia="Batang" w:hAnsi="Times New Roman"/>
          <w:sz w:val="18"/>
          <w:szCs w:val="18"/>
          <w:lang w:val="en-GB"/>
        </w:rPr>
        <w:t xml:space="preserve">ountry </w:t>
      </w:r>
      <w:r>
        <w:rPr>
          <w:rFonts w:ascii="Times New Roman" w:eastAsia="Batang" w:hAnsi="Times New Roman"/>
          <w:sz w:val="18"/>
          <w:szCs w:val="18"/>
          <w:lang w:val="en-GB"/>
        </w:rPr>
        <w:t>c</w:t>
      </w:r>
      <w:r w:rsidRPr="002D56BC">
        <w:rPr>
          <w:rFonts w:ascii="Times New Roman" w:eastAsia="Batang" w:hAnsi="Times New Roman"/>
          <w:sz w:val="18"/>
          <w:szCs w:val="18"/>
          <w:lang w:val="en-GB"/>
        </w:rPr>
        <w:t xml:space="preserve">ooperation </w:t>
      </w:r>
      <w:r>
        <w:rPr>
          <w:rFonts w:ascii="Times New Roman" w:eastAsia="Batang" w:hAnsi="Times New Roman"/>
          <w:sz w:val="18"/>
          <w:szCs w:val="18"/>
          <w:lang w:val="en-GB"/>
        </w:rPr>
        <w:t>s</w:t>
      </w:r>
      <w:r w:rsidRPr="002D56BC">
        <w:rPr>
          <w:rFonts w:ascii="Times New Roman" w:eastAsia="Batang" w:hAnsi="Times New Roman"/>
          <w:sz w:val="18"/>
          <w:szCs w:val="18"/>
          <w:lang w:val="en-GB"/>
        </w:rPr>
        <w:t>trategy for South Sudan, 2014-2016</w:t>
      </w:r>
    </w:p>
  </w:footnote>
  <w:footnote w:id="7">
    <w:p w14:paraId="4F7A71C5" w14:textId="161FAED7" w:rsidR="002B4A63" w:rsidRPr="003D21D4" w:rsidRDefault="002B4A63">
      <w:pPr>
        <w:pStyle w:val="FootnoteText"/>
        <w:rPr>
          <w:lang w:val="en-GB"/>
        </w:rPr>
      </w:pPr>
      <w:r w:rsidRPr="002249DD">
        <w:rPr>
          <w:rStyle w:val="FootnoteReference"/>
          <w:rFonts w:ascii="Times New Roman" w:hAnsi="Times New Roman"/>
        </w:rPr>
        <w:footnoteRef/>
      </w:r>
      <w:r>
        <w:t xml:space="preserve"> </w:t>
      </w:r>
      <w:r>
        <w:rPr>
          <w:rFonts w:ascii="Times New Roman" w:eastAsia="Batang" w:hAnsi="Times New Roman"/>
          <w:sz w:val="18"/>
          <w:szCs w:val="18"/>
          <w:lang w:val="en-GB"/>
        </w:rPr>
        <w:t>Seventy-two per cent</w:t>
      </w:r>
      <w:r w:rsidRPr="002D56BC">
        <w:rPr>
          <w:rFonts w:ascii="Times New Roman" w:eastAsia="Batang" w:hAnsi="Times New Roman"/>
          <w:sz w:val="18"/>
          <w:szCs w:val="18"/>
          <w:lang w:val="en-GB"/>
        </w:rPr>
        <w:t xml:space="preserve"> of South Sudanese are </w:t>
      </w:r>
      <w:r>
        <w:rPr>
          <w:rFonts w:ascii="Times New Roman" w:eastAsia="Batang" w:hAnsi="Times New Roman"/>
          <w:sz w:val="18"/>
          <w:szCs w:val="18"/>
          <w:lang w:val="en-GB"/>
        </w:rPr>
        <w:t>under 30 years of</w:t>
      </w:r>
      <w:r w:rsidRPr="002D56BC">
        <w:rPr>
          <w:rFonts w:ascii="Times New Roman" w:eastAsia="Batang" w:hAnsi="Times New Roman"/>
          <w:sz w:val="18"/>
          <w:szCs w:val="18"/>
          <w:lang w:val="en-GB"/>
        </w:rPr>
        <w:t xml:space="preserve"> age </w:t>
      </w:r>
      <w:r>
        <w:rPr>
          <w:rFonts w:ascii="Times New Roman" w:eastAsia="Batang" w:hAnsi="Times New Roman"/>
          <w:sz w:val="18"/>
          <w:szCs w:val="18"/>
          <w:lang w:val="en-GB"/>
        </w:rPr>
        <w:t>(</w:t>
      </w:r>
      <w:r w:rsidRPr="002D56BC">
        <w:rPr>
          <w:rFonts w:ascii="Times New Roman" w:eastAsia="Batang" w:hAnsi="Times New Roman"/>
          <w:sz w:val="18"/>
          <w:szCs w:val="18"/>
          <w:lang w:val="en-GB"/>
        </w:rPr>
        <w:t xml:space="preserve">2008 national </w:t>
      </w:r>
      <w:r>
        <w:rPr>
          <w:rFonts w:ascii="Times New Roman" w:eastAsia="Batang" w:hAnsi="Times New Roman"/>
          <w:sz w:val="18"/>
          <w:szCs w:val="18"/>
          <w:lang w:val="en-GB"/>
        </w:rPr>
        <w:t>c</w:t>
      </w:r>
      <w:r w:rsidRPr="002D56BC">
        <w:rPr>
          <w:rFonts w:ascii="Times New Roman" w:eastAsia="Batang" w:hAnsi="Times New Roman"/>
          <w:sz w:val="18"/>
          <w:szCs w:val="18"/>
          <w:lang w:val="en-GB"/>
        </w:rPr>
        <w:t>ensus</w:t>
      </w:r>
      <w:r>
        <w:rPr>
          <w:rFonts w:ascii="Times New Roman" w:eastAsia="Batang" w:hAnsi="Times New Roman"/>
          <w:sz w:val="18"/>
          <w:szCs w:val="18"/>
          <w:lang w:val="en-GB"/>
        </w:rPr>
        <w:t>).</w:t>
      </w:r>
      <w:r w:rsidRPr="002D56BC">
        <w:rPr>
          <w:rFonts w:ascii="Times New Roman" w:eastAsia="Batang" w:hAnsi="Times New Roman"/>
          <w:sz w:val="18"/>
          <w:szCs w:val="18"/>
          <w:lang w:val="en-GB"/>
        </w:rPr>
        <w:t xml:space="preserve"> </w:t>
      </w:r>
    </w:p>
  </w:footnote>
  <w:footnote w:id="8">
    <w:p w14:paraId="276B69DC" w14:textId="58831C09" w:rsidR="002B4A63" w:rsidRPr="008412B3" w:rsidRDefault="002B4A63">
      <w:pPr>
        <w:pStyle w:val="FootnoteText"/>
        <w:rPr>
          <w:lang w:val="en-GB"/>
        </w:rPr>
      </w:pPr>
      <w:r w:rsidRPr="002249DD">
        <w:rPr>
          <w:rStyle w:val="FootnoteReference"/>
          <w:rFonts w:ascii="Times New Roman" w:hAnsi="Times New Roman"/>
        </w:rPr>
        <w:footnoteRef/>
      </w:r>
      <w:r>
        <w:t xml:space="preserve"> </w:t>
      </w:r>
      <w:r>
        <w:rPr>
          <w:rFonts w:ascii="Times New Roman" w:eastAsia="Batang" w:hAnsi="Times New Roman"/>
          <w:sz w:val="18"/>
          <w:szCs w:val="18"/>
          <w:lang w:val="en-GB"/>
        </w:rPr>
        <w:t>‘</w:t>
      </w:r>
      <w:r w:rsidRPr="002D56BC">
        <w:rPr>
          <w:rFonts w:ascii="Times New Roman" w:eastAsia="Batang" w:hAnsi="Times New Roman"/>
          <w:sz w:val="18"/>
          <w:szCs w:val="18"/>
          <w:lang w:val="en-GB"/>
        </w:rPr>
        <w:t>Stumbling towards peace in South Sudan</w:t>
      </w:r>
      <w:r>
        <w:rPr>
          <w:rFonts w:ascii="Times New Roman" w:eastAsia="Batang" w:hAnsi="Times New Roman"/>
          <w:sz w:val="18"/>
          <w:szCs w:val="18"/>
          <w:lang w:val="en-GB"/>
        </w:rPr>
        <w:t>’</w:t>
      </w:r>
      <w:r w:rsidRPr="002D56BC">
        <w:rPr>
          <w:rFonts w:ascii="Times New Roman" w:eastAsia="Batang" w:hAnsi="Times New Roman"/>
          <w:sz w:val="18"/>
          <w:szCs w:val="18"/>
          <w:lang w:val="en-GB"/>
        </w:rPr>
        <w:t>, Cent</w:t>
      </w:r>
      <w:r>
        <w:rPr>
          <w:rFonts w:ascii="Times New Roman" w:eastAsia="Batang" w:hAnsi="Times New Roman"/>
          <w:sz w:val="18"/>
          <w:szCs w:val="18"/>
          <w:lang w:val="en-GB"/>
        </w:rPr>
        <w:t>re</w:t>
      </w:r>
      <w:r w:rsidRPr="002D56BC">
        <w:rPr>
          <w:rFonts w:ascii="Times New Roman" w:eastAsia="Batang" w:hAnsi="Times New Roman"/>
          <w:sz w:val="18"/>
          <w:szCs w:val="18"/>
          <w:lang w:val="en-GB"/>
        </w:rPr>
        <w:t xml:space="preserve"> for Freedom and Prosperity, August 2015</w:t>
      </w:r>
    </w:p>
  </w:footnote>
  <w:footnote w:id="9">
    <w:p w14:paraId="5EC8E7D9" w14:textId="0A2C2C04" w:rsidR="002B4A63" w:rsidRPr="005E0750" w:rsidRDefault="002B4A63" w:rsidP="00ED0905">
      <w:pPr>
        <w:pStyle w:val="FootnoteText"/>
        <w:ind w:right="360"/>
        <w:rPr>
          <w:lang w:val="en-GB"/>
        </w:rPr>
      </w:pPr>
      <w:r w:rsidRPr="002249DD">
        <w:rPr>
          <w:rStyle w:val="FootnoteReference"/>
          <w:rFonts w:ascii="Times New Roman" w:hAnsi="Times New Roman"/>
        </w:rPr>
        <w:footnoteRef/>
      </w:r>
      <w:r w:rsidRPr="005E0750">
        <w:t xml:space="preserve"> </w:t>
      </w:r>
      <w:r w:rsidRPr="002D56BC">
        <w:rPr>
          <w:rFonts w:ascii="Times New Roman" w:eastAsia="Batang" w:hAnsi="Times New Roman"/>
          <w:sz w:val="18"/>
          <w:szCs w:val="18"/>
          <w:lang w:val="en-GB"/>
        </w:rPr>
        <w:t xml:space="preserve">UNDP, </w:t>
      </w:r>
      <w:r w:rsidRPr="00EE603B">
        <w:rPr>
          <w:rFonts w:ascii="Times New Roman" w:eastAsia="Batang" w:hAnsi="Times New Roman"/>
          <w:sz w:val="18"/>
          <w:szCs w:val="18"/>
          <w:lang w:val="en-GB"/>
        </w:rPr>
        <w:t>Southern Sudan: Crisis Prevention and Recovery Programme midterm outcome evaluation, programme period 2009-2012</w:t>
      </w:r>
      <w:r>
        <w:rPr>
          <w:rFonts w:ascii="Times New Roman" w:eastAsia="Batang" w:hAnsi="Times New Roman"/>
          <w:color w:val="000000" w:themeColor="text1"/>
          <w:sz w:val="18"/>
          <w:szCs w:val="18"/>
          <w:lang w:val="en-GB"/>
        </w:rPr>
        <w:t xml:space="preserve">, </w:t>
      </w:r>
      <w:r>
        <w:rPr>
          <w:rFonts w:ascii="Times New Roman" w:eastAsia="Batang" w:hAnsi="Times New Roman"/>
          <w:sz w:val="18"/>
          <w:szCs w:val="18"/>
          <w:lang w:val="en-GB"/>
        </w:rPr>
        <w:t xml:space="preserve">p. 9, </w:t>
      </w:r>
      <w:proofErr w:type="spellStart"/>
      <w:r w:rsidRPr="002D56BC">
        <w:rPr>
          <w:rFonts w:ascii="Times New Roman" w:eastAsia="Batang" w:hAnsi="Times New Roman"/>
          <w:sz w:val="18"/>
          <w:szCs w:val="18"/>
          <w:lang w:val="en-GB"/>
        </w:rPr>
        <w:t>Scanteam</w:t>
      </w:r>
      <w:proofErr w:type="spellEnd"/>
      <w:r w:rsidRPr="002D56BC">
        <w:rPr>
          <w:rFonts w:ascii="Times New Roman" w:eastAsia="Batang" w:hAnsi="Times New Roman"/>
          <w:sz w:val="18"/>
          <w:szCs w:val="18"/>
          <w:lang w:val="en-GB"/>
        </w:rPr>
        <w:t>, Oslo, June 2011</w:t>
      </w:r>
    </w:p>
  </w:footnote>
  <w:footnote w:id="10">
    <w:p w14:paraId="5C73623F" w14:textId="53557CB4" w:rsidR="002B4A63" w:rsidRPr="002D56BC" w:rsidRDefault="002B4A63" w:rsidP="00F62913">
      <w:pPr>
        <w:pStyle w:val="FootnoteText"/>
        <w:rPr>
          <w:rFonts w:ascii="Times New Roman" w:eastAsia="Batang" w:hAnsi="Times New Roman"/>
          <w:sz w:val="18"/>
          <w:szCs w:val="18"/>
          <w:lang w:val="en-GB"/>
        </w:rPr>
      </w:pPr>
      <w:r w:rsidRPr="002249DD">
        <w:rPr>
          <w:rStyle w:val="FootnoteReference"/>
          <w:rFonts w:ascii="Times New Roman" w:hAnsi="Times New Roman"/>
          <w:sz w:val="18"/>
          <w:szCs w:val="18"/>
        </w:rPr>
        <w:footnoteRef/>
      </w:r>
      <w:r>
        <w:t xml:space="preserve"> </w:t>
      </w:r>
      <w:r w:rsidRPr="00EE603B">
        <w:rPr>
          <w:rFonts w:ascii="Times New Roman" w:eastAsia="Batang" w:hAnsi="Times New Roman"/>
          <w:sz w:val="18"/>
          <w:szCs w:val="18"/>
          <w:lang w:val="en-GB"/>
        </w:rPr>
        <w:t>Recovery and Rehabilitation Programme</w:t>
      </w:r>
      <w:r w:rsidRPr="002D56BC">
        <w:rPr>
          <w:rFonts w:ascii="Times New Roman" w:eastAsia="Batang" w:hAnsi="Times New Roman"/>
          <w:sz w:val="18"/>
          <w:szCs w:val="18"/>
          <w:lang w:val="en-GB"/>
        </w:rPr>
        <w:t xml:space="preserve"> </w:t>
      </w:r>
      <w:r>
        <w:rPr>
          <w:rFonts w:ascii="Times New Roman" w:eastAsia="Batang" w:hAnsi="Times New Roman"/>
          <w:sz w:val="18"/>
          <w:szCs w:val="18"/>
          <w:lang w:val="en-GB"/>
        </w:rPr>
        <w:t xml:space="preserve">final evaluation, </w:t>
      </w:r>
      <w:r w:rsidRPr="002D56BC">
        <w:rPr>
          <w:rFonts w:ascii="Times New Roman" w:eastAsia="Batang" w:hAnsi="Times New Roman"/>
          <w:sz w:val="18"/>
          <w:szCs w:val="18"/>
          <w:lang w:val="en-GB"/>
        </w:rPr>
        <w:t>UNDP Evaluation Resource Cent</w:t>
      </w:r>
      <w:r>
        <w:rPr>
          <w:rFonts w:ascii="Times New Roman" w:eastAsia="Batang" w:hAnsi="Times New Roman"/>
          <w:sz w:val="18"/>
          <w:szCs w:val="18"/>
          <w:lang w:val="en-GB"/>
        </w:rPr>
        <w:t>re</w:t>
      </w:r>
      <w:r w:rsidRPr="002D56BC">
        <w:rPr>
          <w:rFonts w:ascii="Times New Roman" w:eastAsia="Batang" w:hAnsi="Times New Roman"/>
          <w:sz w:val="18"/>
          <w:szCs w:val="18"/>
          <w:lang w:val="en-GB"/>
        </w:rPr>
        <w:t xml:space="preserve"> </w:t>
      </w:r>
      <w:r>
        <w:rPr>
          <w:rFonts w:ascii="Times New Roman" w:eastAsia="Batang" w:hAnsi="Times New Roman"/>
          <w:sz w:val="18"/>
          <w:szCs w:val="18"/>
          <w:lang w:val="en-GB"/>
        </w:rPr>
        <w:t>(</w:t>
      </w:r>
      <w:hyperlink r:id="rId2" w:tgtFrame="_blank" w:history="1">
        <w:r w:rsidRPr="002D56BC">
          <w:rPr>
            <w:rFonts w:ascii="Times New Roman" w:eastAsia="Batang" w:hAnsi="Times New Roman"/>
            <w:sz w:val="18"/>
            <w:szCs w:val="18"/>
            <w:lang w:val="en-GB"/>
          </w:rPr>
          <w:t>http://erc.undp.org</w:t>
        </w:r>
      </w:hyperlink>
      <w:r>
        <w:rPr>
          <w:rFonts w:ascii="Times New Roman" w:eastAsia="Batang" w:hAnsi="Times New Roman"/>
          <w:sz w:val="18"/>
          <w:szCs w:val="18"/>
          <w:lang w:val="en-GB"/>
        </w:rPr>
        <w:t>)</w:t>
      </w:r>
    </w:p>
  </w:footnote>
  <w:footnote w:id="11">
    <w:p w14:paraId="518CF2BD" w14:textId="74360A20" w:rsidR="002B4A63" w:rsidRPr="00385F8A" w:rsidRDefault="002B4A63" w:rsidP="002B5A2F">
      <w:pPr>
        <w:pStyle w:val="FootnoteText"/>
        <w:ind w:right="-90"/>
        <w:rPr>
          <w:rFonts w:ascii="Corbel" w:eastAsia="Batang" w:hAnsi="Corbel"/>
          <w:sz w:val="16"/>
          <w:szCs w:val="16"/>
          <w:lang w:val="en-GB"/>
        </w:rPr>
      </w:pPr>
      <w:r w:rsidRPr="002249DD">
        <w:rPr>
          <w:rStyle w:val="FootnoteReference"/>
          <w:rFonts w:ascii="Times New Roman" w:hAnsi="Times New Roman"/>
        </w:rPr>
        <w:footnoteRef/>
      </w:r>
      <w:r>
        <w:t xml:space="preserve"> </w:t>
      </w:r>
      <w:r w:rsidR="00ED0905">
        <w:rPr>
          <w:rFonts w:ascii="Times New Roman" w:eastAsia="Batang" w:hAnsi="Times New Roman"/>
          <w:sz w:val="18"/>
          <w:szCs w:val="18"/>
          <w:lang w:val="en-GB"/>
        </w:rPr>
        <w:t>C</w:t>
      </w:r>
      <w:r w:rsidRPr="002D56BC">
        <w:rPr>
          <w:rFonts w:ascii="Times New Roman" w:eastAsia="Batang" w:hAnsi="Times New Roman"/>
          <w:sz w:val="18"/>
          <w:szCs w:val="18"/>
          <w:lang w:val="en-GB"/>
        </w:rPr>
        <w:t xml:space="preserve">ommunity </w:t>
      </w:r>
      <w:r>
        <w:rPr>
          <w:rFonts w:ascii="Times New Roman" w:eastAsia="Batang" w:hAnsi="Times New Roman"/>
          <w:sz w:val="18"/>
          <w:szCs w:val="18"/>
          <w:lang w:val="en-GB"/>
        </w:rPr>
        <w:t>s</w:t>
      </w:r>
      <w:r w:rsidRPr="002D56BC">
        <w:rPr>
          <w:rFonts w:ascii="Times New Roman" w:eastAsia="Batang" w:hAnsi="Times New Roman"/>
          <w:sz w:val="18"/>
          <w:szCs w:val="18"/>
          <w:lang w:val="en-GB"/>
        </w:rPr>
        <w:t xml:space="preserve">ecurity and </w:t>
      </w:r>
      <w:r>
        <w:rPr>
          <w:rFonts w:ascii="Times New Roman" w:eastAsia="Batang" w:hAnsi="Times New Roman"/>
          <w:sz w:val="18"/>
          <w:szCs w:val="18"/>
          <w:lang w:val="en-GB"/>
        </w:rPr>
        <w:t>a</w:t>
      </w:r>
      <w:r w:rsidRPr="002D56BC">
        <w:rPr>
          <w:rFonts w:ascii="Times New Roman" w:eastAsia="Batang" w:hAnsi="Times New Roman"/>
          <w:sz w:val="18"/>
          <w:szCs w:val="18"/>
          <w:lang w:val="en-GB"/>
        </w:rPr>
        <w:t xml:space="preserve">rms </w:t>
      </w:r>
      <w:r>
        <w:rPr>
          <w:rFonts w:ascii="Times New Roman" w:eastAsia="Batang" w:hAnsi="Times New Roman"/>
          <w:sz w:val="18"/>
          <w:szCs w:val="18"/>
          <w:lang w:val="en-GB"/>
        </w:rPr>
        <w:t>c</w:t>
      </w:r>
      <w:r w:rsidRPr="002D56BC">
        <w:rPr>
          <w:rFonts w:ascii="Times New Roman" w:eastAsia="Batang" w:hAnsi="Times New Roman"/>
          <w:sz w:val="18"/>
          <w:szCs w:val="18"/>
          <w:lang w:val="en-GB"/>
        </w:rPr>
        <w:t xml:space="preserve">ontrol project, UNDP Evaluation Resource Centre </w:t>
      </w:r>
      <w:r>
        <w:rPr>
          <w:rFonts w:ascii="Times New Roman" w:eastAsia="Batang" w:hAnsi="Times New Roman"/>
          <w:sz w:val="18"/>
          <w:szCs w:val="18"/>
          <w:lang w:val="en-GB"/>
        </w:rPr>
        <w:t>(</w:t>
      </w:r>
      <w:hyperlink r:id="rId3" w:tgtFrame="_blank" w:history="1">
        <w:r w:rsidRPr="002D56BC">
          <w:rPr>
            <w:rFonts w:ascii="Times New Roman" w:eastAsia="Batang" w:hAnsi="Times New Roman"/>
            <w:sz w:val="18"/>
            <w:szCs w:val="18"/>
            <w:lang w:val="en-GB"/>
          </w:rPr>
          <w:t>http://erc.undp.org</w:t>
        </w:r>
      </w:hyperlink>
      <w:r>
        <w:rPr>
          <w:rFonts w:ascii="Times New Roman" w:eastAsia="Batang" w:hAnsi="Times New Roman"/>
          <w:sz w:val="18"/>
          <w:szCs w:val="18"/>
          <w:lang w:val="en-GB"/>
        </w:rPr>
        <w:t>)</w:t>
      </w:r>
    </w:p>
  </w:footnote>
  <w:footnote w:id="12">
    <w:p w14:paraId="27490D0F" w14:textId="77777777" w:rsidR="002B4A63" w:rsidRPr="00AA6AF3" w:rsidRDefault="002B4A63">
      <w:pPr>
        <w:pStyle w:val="FootnoteText"/>
        <w:rPr>
          <w:lang w:val="en-GB"/>
        </w:rPr>
      </w:pPr>
      <w:r w:rsidRPr="002249DD">
        <w:rPr>
          <w:rStyle w:val="FootnoteReference"/>
          <w:rFonts w:ascii="Times New Roman" w:hAnsi="Times New Roman"/>
          <w:sz w:val="18"/>
          <w:szCs w:val="18"/>
        </w:rPr>
        <w:footnoteRef/>
      </w:r>
      <w:r>
        <w:t xml:space="preserve"> </w:t>
      </w:r>
      <w:r w:rsidRPr="002D56BC">
        <w:rPr>
          <w:rFonts w:ascii="Times New Roman" w:eastAsia="Batang" w:hAnsi="Times New Roman"/>
          <w:sz w:val="18"/>
          <w:szCs w:val="16"/>
          <w:lang w:val="en-GB"/>
        </w:rPr>
        <w:t xml:space="preserve">Former states of </w:t>
      </w:r>
      <w:proofErr w:type="spellStart"/>
      <w:r w:rsidRPr="002D56BC">
        <w:rPr>
          <w:rFonts w:ascii="Times New Roman" w:eastAsia="Batang" w:hAnsi="Times New Roman"/>
          <w:sz w:val="18"/>
          <w:szCs w:val="16"/>
          <w:lang w:val="en-GB"/>
        </w:rPr>
        <w:t>Jonglei</w:t>
      </w:r>
      <w:proofErr w:type="spellEnd"/>
      <w:r w:rsidRPr="002D56BC">
        <w:rPr>
          <w:rFonts w:ascii="Times New Roman" w:eastAsia="Batang" w:hAnsi="Times New Roman"/>
          <w:sz w:val="18"/>
          <w:szCs w:val="16"/>
          <w:lang w:val="en-GB"/>
        </w:rPr>
        <w:t>, Unity, Upper Nile</w:t>
      </w:r>
      <w:r w:rsidRPr="002D56BC">
        <w:rPr>
          <w:rFonts w:ascii="Corbel" w:eastAsia="Batang" w:hAnsi="Corbel"/>
          <w:sz w:val="18"/>
          <w:szCs w:val="16"/>
          <w:lang w:val="en-GB"/>
        </w:rPr>
        <w:t xml:space="preserve"> </w:t>
      </w:r>
    </w:p>
  </w:footnote>
  <w:footnote w:id="13">
    <w:p w14:paraId="3886CE78" w14:textId="3F1A34B8" w:rsidR="002B4A63" w:rsidRPr="002249DD" w:rsidRDefault="002B4A63">
      <w:pPr>
        <w:pStyle w:val="FootnoteText"/>
        <w:rPr>
          <w:sz w:val="18"/>
          <w:szCs w:val="18"/>
          <w:lang w:val="en-GB"/>
        </w:rPr>
      </w:pPr>
      <w:r w:rsidRPr="002249DD">
        <w:rPr>
          <w:rStyle w:val="FootnoteReference"/>
          <w:rFonts w:ascii="Times New Roman" w:hAnsi="Times New Roman"/>
          <w:sz w:val="18"/>
          <w:szCs w:val="18"/>
        </w:rPr>
        <w:footnoteRef/>
      </w:r>
      <w:r w:rsidRPr="002249DD">
        <w:rPr>
          <w:sz w:val="18"/>
          <w:szCs w:val="18"/>
        </w:rPr>
        <w:t xml:space="preserve"> </w:t>
      </w:r>
      <w:r>
        <w:rPr>
          <w:rFonts w:ascii="Times New Roman" w:eastAsia="Batang" w:hAnsi="Times New Roman"/>
          <w:sz w:val="18"/>
          <w:szCs w:val="18"/>
          <w:lang w:val="en-GB"/>
        </w:rPr>
        <w:t>P</w:t>
      </w:r>
      <w:r w:rsidRPr="0089001F">
        <w:rPr>
          <w:rFonts w:ascii="Times New Roman" w:eastAsia="Batang" w:hAnsi="Times New Roman"/>
          <w:sz w:val="18"/>
          <w:szCs w:val="18"/>
          <w:lang w:val="en-GB"/>
        </w:rPr>
        <w:t>art of chapter II Permanent Ceasefire and Transitional Security Arrangements of the peace agreement</w:t>
      </w:r>
    </w:p>
  </w:footnote>
  <w:footnote w:id="14">
    <w:p w14:paraId="26AB9927" w14:textId="0448D333" w:rsidR="002B4A63" w:rsidRPr="002D56BC" w:rsidRDefault="002B4A63">
      <w:pPr>
        <w:pStyle w:val="FootnoteText"/>
        <w:rPr>
          <w:rFonts w:ascii="Times New Roman" w:hAnsi="Times New Roman"/>
          <w:sz w:val="22"/>
          <w:lang w:val="en-GB"/>
        </w:rPr>
      </w:pPr>
      <w:r w:rsidRPr="002249DD">
        <w:rPr>
          <w:rStyle w:val="FootnoteReference"/>
          <w:rFonts w:ascii="Times New Roman" w:hAnsi="Times New Roman"/>
          <w:sz w:val="18"/>
          <w:szCs w:val="18"/>
        </w:rPr>
        <w:footnoteRef/>
      </w:r>
      <w:r w:rsidRPr="002249DD">
        <w:rPr>
          <w:sz w:val="18"/>
          <w:szCs w:val="18"/>
        </w:rPr>
        <w:t xml:space="preserve"> </w:t>
      </w:r>
      <w:r>
        <w:rPr>
          <w:rFonts w:ascii="Times New Roman" w:eastAsia="Batang" w:hAnsi="Times New Roman"/>
          <w:sz w:val="18"/>
          <w:szCs w:val="18"/>
          <w:lang w:val="en-GB"/>
        </w:rPr>
        <w:t>D</w:t>
      </w:r>
      <w:r w:rsidRPr="0089001F">
        <w:rPr>
          <w:rFonts w:ascii="Times New Roman" w:eastAsia="Batang" w:hAnsi="Times New Roman"/>
          <w:sz w:val="18"/>
          <w:szCs w:val="18"/>
          <w:lang w:val="en-GB"/>
        </w:rPr>
        <w:t xml:space="preserve">edicated </w:t>
      </w:r>
      <w:r w:rsidRPr="00CE3814">
        <w:rPr>
          <w:rFonts w:ascii="Times New Roman" w:eastAsia="Batang" w:hAnsi="Times New Roman"/>
          <w:sz w:val="18"/>
          <w:szCs w:val="18"/>
          <w:lang w:val="en-GB"/>
        </w:rPr>
        <w:t>South Sudan National Police Service</w:t>
      </w:r>
      <w:r w:rsidRPr="0089001F">
        <w:rPr>
          <w:rFonts w:ascii="Times New Roman" w:eastAsia="Batang" w:hAnsi="Times New Roman"/>
          <w:sz w:val="18"/>
          <w:szCs w:val="18"/>
          <w:lang w:val="en-GB"/>
        </w:rPr>
        <w:t xml:space="preserve"> units fight</w:t>
      </w:r>
      <w:r>
        <w:rPr>
          <w:rFonts w:ascii="Times New Roman" w:eastAsia="Batang" w:hAnsi="Times New Roman"/>
          <w:sz w:val="18"/>
          <w:szCs w:val="18"/>
          <w:lang w:val="en-GB"/>
        </w:rPr>
        <w:t xml:space="preserve">ing </w:t>
      </w:r>
      <w:r w:rsidRPr="002249DD">
        <w:rPr>
          <w:rFonts w:ascii="Times New Roman" w:eastAsia="Batang" w:hAnsi="Times New Roman"/>
          <w:sz w:val="18"/>
          <w:szCs w:val="18"/>
          <w:lang w:val="en-GB"/>
        </w:rPr>
        <w:t>sexual and gender-based violence</w:t>
      </w:r>
      <w:r w:rsidRPr="0089001F">
        <w:rPr>
          <w:rFonts w:ascii="Times New Roman" w:eastAsia="Batang" w:hAnsi="Times New Roman"/>
          <w:sz w:val="18"/>
          <w:szCs w:val="18"/>
          <w:lang w:val="en-GB"/>
        </w:rPr>
        <w:t xml:space="preserve"> </w:t>
      </w:r>
    </w:p>
  </w:footnote>
  <w:footnote w:id="15">
    <w:p w14:paraId="08DB3616" w14:textId="53EC3C74" w:rsidR="002B4A63" w:rsidRPr="00CE3814" w:rsidRDefault="002B4A63">
      <w:pPr>
        <w:pStyle w:val="FootnoteText"/>
        <w:rPr>
          <w:rFonts w:ascii="Times New Roman" w:eastAsia="Batang" w:hAnsi="Times New Roman"/>
          <w:sz w:val="18"/>
          <w:szCs w:val="18"/>
          <w:lang w:val="en-GB"/>
        </w:rPr>
      </w:pPr>
      <w:r w:rsidRPr="00CE3814">
        <w:rPr>
          <w:rStyle w:val="FootnoteReference"/>
          <w:rFonts w:ascii="Times New Roman" w:hAnsi="Times New Roman"/>
          <w:sz w:val="18"/>
          <w:szCs w:val="18"/>
        </w:rPr>
        <w:footnoteRef/>
      </w:r>
      <w:r w:rsidRPr="00CE3814">
        <w:rPr>
          <w:sz w:val="18"/>
          <w:szCs w:val="18"/>
        </w:rPr>
        <w:t xml:space="preserve"> </w:t>
      </w:r>
      <w:r w:rsidRPr="00CE3814">
        <w:rPr>
          <w:rFonts w:ascii="Times New Roman" w:eastAsia="Batang" w:hAnsi="Times New Roman"/>
          <w:sz w:val="18"/>
          <w:szCs w:val="18"/>
          <w:lang w:val="en-GB"/>
        </w:rPr>
        <w:t xml:space="preserve">Special report of the Secretary General </w:t>
      </w:r>
      <w:r w:rsidR="003B0697">
        <w:rPr>
          <w:rFonts w:ascii="Times New Roman" w:eastAsia="Batang" w:hAnsi="Times New Roman"/>
          <w:sz w:val="18"/>
          <w:szCs w:val="18"/>
          <w:lang w:val="en-GB"/>
        </w:rPr>
        <w:t>(</w:t>
      </w:r>
      <w:r w:rsidRPr="00CE3814">
        <w:rPr>
          <w:rFonts w:ascii="Times New Roman" w:eastAsia="Batang" w:hAnsi="Times New Roman"/>
          <w:sz w:val="18"/>
          <w:szCs w:val="18"/>
          <w:lang w:val="en-GB"/>
        </w:rPr>
        <w:t>S/2015/899</w:t>
      </w:r>
      <w:r w:rsidR="003B0697">
        <w:rPr>
          <w:rFonts w:ascii="Times New Roman" w:eastAsia="Batang" w:hAnsi="Times New Roman"/>
          <w:sz w:val="18"/>
          <w:szCs w:val="18"/>
          <w:lang w:val="en-GB"/>
        </w:rPr>
        <w:t>)</w:t>
      </w:r>
    </w:p>
  </w:footnote>
  <w:footnote w:id="16">
    <w:p w14:paraId="08EE5672" w14:textId="16C9D0E2" w:rsidR="002B4A63" w:rsidRDefault="002B4A63">
      <w:pPr>
        <w:pStyle w:val="FootnoteText"/>
      </w:pPr>
      <w:r w:rsidRPr="00CE3814">
        <w:rPr>
          <w:rStyle w:val="FootnoteReference"/>
          <w:rFonts w:ascii="Times New Roman" w:hAnsi="Times New Roman"/>
          <w:sz w:val="18"/>
          <w:szCs w:val="18"/>
        </w:rPr>
        <w:footnoteRef/>
      </w:r>
      <w:r>
        <w:t xml:space="preserve"> </w:t>
      </w:r>
      <w:r w:rsidRPr="00CE3814">
        <w:rPr>
          <w:rFonts w:ascii="Times New Roman" w:eastAsia="Batang" w:hAnsi="Times New Roman"/>
          <w:sz w:val="18"/>
          <w:szCs w:val="18"/>
          <w:lang w:val="en-GB"/>
        </w:rPr>
        <w:t>Special report of the Secretary General S/2015/899</w:t>
      </w:r>
    </w:p>
  </w:footnote>
  <w:footnote w:id="17">
    <w:p w14:paraId="699658E9" w14:textId="7B1B926C" w:rsidR="002B4A63" w:rsidRDefault="002B4A63">
      <w:pPr>
        <w:pStyle w:val="FootnoteText"/>
      </w:pPr>
      <w:r w:rsidRPr="00CE3814">
        <w:rPr>
          <w:rStyle w:val="FootnoteReference"/>
          <w:rFonts w:ascii="Times New Roman" w:hAnsi="Times New Roman"/>
          <w:sz w:val="18"/>
          <w:szCs w:val="18"/>
        </w:rPr>
        <w:footnoteRef/>
      </w:r>
      <w:r>
        <w:t xml:space="preserve"> </w:t>
      </w:r>
      <w:r w:rsidR="00416E0E">
        <w:rPr>
          <w:rFonts w:ascii="Times New Roman" w:eastAsia="Batang" w:hAnsi="Times New Roman"/>
          <w:sz w:val="18"/>
          <w:szCs w:val="18"/>
          <w:lang w:val="en-GB"/>
        </w:rPr>
        <w:t>I</w:t>
      </w:r>
      <w:r w:rsidRPr="00416E0E">
        <w:rPr>
          <w:rFonts w:ascii="Times New Roman" w:eastAsia="Batang" w:hAnsi="Times New Roman"/>
          <w:sz w:val="18"/>
          <w:szCs w:val="18"/>
          <w:lang w:val="en-GB"/>
        </w:rPr>
        <w:t>bid.</w:t>
      </w:r>
    </w:p>
  </w:footnote>
  <w:footnote w:id="18">
    <w:p w14:paraId="201F328E" w14:textId="02F74C3D" w:rsidR="002B4A63" w:rsidRPr="002249DD" w:rsidRDefault="002B4A63">
      <w:pPr>
        <w:pStyle w:val="FootnoteText"/>
        <w:rPr>
          <w:rFonts w:ascii="Times New Roman" w:hAnsi="Times New Roman"/>
          <w:sz w:val="18"/>
          <w:szCs w:val="18"/>
          <w:lang w:val="en-GB"/>
        </w:rPr>
      </w:pPr>
      <w:r w:rsidRPr="002249DD">
        <w:rPr>
          <w:rStyle w:val="FootnoteReference"/>
          <w:rFonts w:ascii="Times New Roman" w:hAnsi="Times New Roman"/>
          <w:sz w:val="18"/>
          <w:szCs w:val="18"/>
        </w:rPr>
        <w:footnoteRef/>
      </w:r>
      <w:r w:rsidRPr="00CE3814">
        <w:t xml:space="preserve"> </w:t>
      </w:r>
      <w:r w:rsidRPr="009B1675">
        <w:rPr>
          <w:rFonts w:ascii="Times New Roman" w:hAnsi="Times New Roman"/>
          <w:sz w:val="18"/>
          <w:szCs w:val="18"/>
          <w:lang w:val="en-GB"/>
        </w:rPr>
        <w:t xml:space="preserve">UNDP </w:t>
      </w:r>
      <w:r>
        <w:rPr>
          <w:rFonts w:ascii="Times New Roman" w:hAnsi="Times New Roman"/>
          <w:sz w:val="18"/>
          <w:szCs w:val="18"/>
          <w:lang w:val="en-GB"/>
        </w:rPr>
        <w:t>i</w:t>
      </w:r>
      <w:r w:rsidRPr="009B1675">
        <w:rPr>
          <w:rFonts w:ascii="Times New Roman" w:hAnsi="Times New Roman"/>
          <w:sz w:val="18"/>
          <w:szCs w:val="18"/>
          <w:lang w:val="en-GB"/>
        </w:rPr>
        <w:t>s presen</w:t>
      </w:r>
      <w:r>
        <w:rPr>
          <w:rFonts w:ascii="Times New Roman" w:hAnsi="Times New Roman"/>
          <w:sz w:val="18"/>
          <w:szCs w:val="18"/>
          <w:lang w:val="en-GB"/>
        </w:rPr>
        <w:t>t</w:t>
      </w:r>
      <w:r w:rsidRPr="009B1675">
        <w:rPr>
          <w:rFonts w:ascii="Times New Roman" w:hAnsi="Times New Roman"/>
          <w:sz w:val="18"/>
          <w:szCs w:val="18"/>
          <w:lang w:val="en-GB"/>
        </w:rPr>
        <w:t xml:space="preserve"> in Aweil, Juba, Rumbek, Torit, </w:t>
      </w:r>
      <w:proofErr w:type="spellStart"/>
      <w:r w:rsidRPr="009B1675">
        <w:rPr>
          <w:rFonts w:ascii="Times New Roman" w:hAnsi="Times New Roman"/>
          <w:sz w:val="18"/>
          <w:szCs w:val="18"/>
          <w:lang w:val="en-GB"/>
        </w:rPr>
        <w:t>Wau</w:t>
      </w:r>
      <w:proofErr w:type="spellEnd"/>
      <w:r w:rsidRPr="009B1675">
        <w:rPr>
          <w:rFonts w:ascii="Times New Roman" w:hAnsi="Times New Roman"/>
          <w:sz w:val="18"/>
          <w:szCs w:val="18"/>
          <w:lang w:val="en-GB"/>
        </w:rPr>
        <w:t xml:space="preserve">, </w:t>
      </w:r>
      <w:r>
        <w:rPr>
          <w:rFonts w:ascii="Times New Roman" w:hAnsi="Times New Roman"/>
          <w:sz w:val="18"/>
          <w:szCs w:val="18"/>
          <w:lang w:val="en-GB"/>
        </w:rPr>
        <w:t xml:space="preserve">and </w:t>
      </w:r>
      <w:proofErr w:type="spellStart"/>
      <w:r w:rsidRPr="009B1675">
        <w:rPr>
          <w:rFonts w:ascii="Times New Roman" w:hAnsi="Times New Roman"/>
          <w:sz w:val="18"/>
          <w:szCs w:val="18"/>
          <w:lang w:val="en-GB"/>
        </w:rPr>
        <w:t>Yambio</w:t>
      </w:r>
      <w:proofErr w:type="spellEnd"/>
      <w:r w:rsidRPr="009B1675">
        <w:rPr>
          <w:rFonts w:ascii="Times New Roman" w:hAnsi="Times New Roman"/>
          <w:sz w:val="18"/>
          <w:szCs w:val="18"/>
          <w:lang w:val="en-GB"/>
        </w:rPr>
        <w:t>.</w:t>
      </w:r>
    </w:p>
  </w:footnote>
  <w:footnote w:id="19">
    <w:p w14:paraId="67E32CB4" w14:textId="64347E46" w:rsidR="002B4A63" w:rsidRPr="0096275D" w:rsidRDefault="002B4A63">
      <w:pPr>
        <w:pStyle w:val="FootnoteText"/>
        <w:rPr>
          <w:lang w:val="en-GB"/>
        </w:rPr>
      </w:pPr>
      <w:r w:rsidRPr="002249DD">
        <w:rPr>
          <w:rStyle w:val="FootnoteReference"/>
          <w:rFonts w:ascii="Times New Roman" w:hAnsi="Times New Roman"/>
          <w:sz w:val="18"/>
          <w:szCs w:val="18"/>
        </w:rPr>
        <w:footnoteRef/>
      </w:r>
      <w:r w:rsidRPr="00CE3814">
        <w:t xml:space="preserve"> </w:t>
      </w:r>
      <w:proofErr w:type="spellStart"/>
      <w:r>
        <w:rPr>
          <w:rFonts w:ascii="Times New Roman" w:hAnsi="Times New Roman"/>
          <w:sz w:val="18"/>
          <w:szCs w:val="18"/>
        </w:rPr>
        <w:t>Prinicpal</w:t>
      </w:r>
      <w:proofErr w:type="spellEnd"/>
      <w:r w:rsidRPr="009B1675">
        <w:rPr>
          <w:rFonts w:ascii="Times New Roman" w:hAnsi="Times New Roman"/>
          <w:sz w:val="18"/>
          <w:szCs w:val="18"/>
          <w:lang w:val="en-GB"/>
        </w:rPr>
        <w:t xml:space="preserve"> UNMISS bases in the conflict-affected areas are in </w:t>
      </w:r>
      <w:proofErr w:type="spellStart"/>
      <w:r w:rsidRPr="009B1675">
        <w:rPr>
          <w:rFonts w:ascii="Times New Roman" w:hAnsi="Times New Roman"/>
          <w:sz w:val="18"/>
          <w:szCs w:val="18"/>
          <w:lang w:val="en-GB"/>
        </w:rPr>
        <w:t>Bentiu</w:t>
      </w:r>
      <w:proofErr w:type="spellEnd"/>
      <w:r w:rsidRPr="009B1675">
        <w:rPr>
          <w:rFonts w:ascii="Times New Roman" w:hAnsi="Times New Roman"/>
          <w:sz w:val="18"/>
          <w:szCs w:val="18"/>
          <w:lang w:val="en-GB"/>
        </w:rPr>
        <w:t xml:space="preserve">, </w:t>
      </w:r>
      <w:proofErr w:type="spellStart"/>
      <w:r w:rsidRPr="009B1675">
        <w:rPr>
          <w:rFonts w:ascii="Times New Roman" w:hAnsi="Times New Roman"/>
          <w:sz w:val="18"/>
          <w:szCs w:val="18"/>
          <w:lang w:val="en-GB"/>
        </w:rPr>
        <w:t>Bor</w:t>
      </w:r>
      <w:proofErr w:type="spellEnd"/>
      <w:r w:rsidRPr="009B1675">
        <w:rPr>
          <w:rFonts w:ascii="Times New Roman" w:hAnsi="Times New Roman"/>
          <w:sz w:val="18"/>
          <w:szCs w:val="18"/>
          <w:lang w:val="en-GB"/>
        </w:rPr>
        <w:t>, and Malakal</w:t>
      </w:r>
      <w:r w:rsidRPr="002249DD">
        <w:rPr>
          <w:rFonts w:ascii="Times New Roman" w:hAnsi="Times New Roman"/>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B4A63" w:rsidRPr="00D64B78" w14:paraId="590983CB" w14:textId="77777777" w:rsidTr="003046F5">
      <w:trPr>
        <w:trHeight w:hRule="exact" w:val="864"/>
      </w:trPr>
      <w:tc>
        <w:tcPr>
          <w:tcW w:w="4838" w:type="dxa"/>
          <w:tcBorders>
            <w:bottom w:val="single" w:sz="4" w:space="0" w:color="auto"/>
          </w:tcBorders>
          <w:vAlign w:val="bottom"/>
        </w:tcPr>
        <w:p w14:paraId="095B8397" w14:textId="77777777" w:rsidR="002B4A63" w:rsidRPr="00D64B78" w:rsidRDefault="002B4A63" w:rsidP="00944DE8">
          <w:pPr>
            <w:widowControl w:val="0"/>
            <w:tabs>
              <w:tab w:val="center" w:pos="4320"/>
              <w:tab w:val="right" w:pos="8640"/>
            </w:tabs>
            <w:spacing w:after="80"/>
            <w:rPr>
              <w:b/>
              <w:sz w:val="17"/>
              <w:szCs w:val="17"/>
            </w:rPr>
          </w:pPr>
          <w:r w:rsidRPr="00D64B78">
            <w:rPr>
              <w:b/>
              <w:sz w:val="17"/>
              <w:szCs w:val="17"/>
            </w:rPr>
            <w:t>DP/DCP/</w:t>
          </w:r>
          <w:r>
            <w:rPr>
              <w:b/>
              <w:sz w:val="17"/>
              <w:szCs w:val="17"/>
            </w:rPr>
            <w:t>SSD</w:t>
          </w:r>
          <w:r w:rsidRPr="00D64B78">
            <w:rPr>
              <w:b/>
              <w:sz w:val="17"/>
              <w:szCs w:val="17"/>
            </w:rPr>
            <w:t>/2</w:t>
          </w:r>
        </w:p>
      </w:tc>
      <w:tc>
        <w:tcPr>
          <w:tcW w:w="5047" w:type="dxa"/>
          <w:tcBorders>
            <w:bottom w:val="single" w:sz="4" w:space="0" w:color="auto"/>
          </w:tcBorders>
          <w:vAlign w:val="bottom"/>
        </w:tcPr>
        <w:p w14:paraId="16D3DE72" w14:textId="77777777" w:rsidR="002B4A63" w:rsidRPr="00D64B78" w:rsidRDefault="002B4A63" w:rsidP="00944DE8">
          <w:pPr>
            <w:widowControl w:val="0"/>
            <w:tabs>
              <w:tab w:val="center" w:pos="4320"/>
              <w:tab w:val="right" w:pos="8640"/>
            </w:tabs>
            <w:rPr>
              <w:sz w:val="17"/>
              <w:szCs w:val="17"/>
            </w:rPr>
          </w:pPr>
        </w:p>
      </w:tc>
    </w:tr>
  </w:tbl>
  <w:p w14:paraId="0F312D43" w14:textId="15397DA1" w:rsidR="002B4A63" w:rsidRPr="00944DE8" w:rsidRDefault="002B4A63">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B4A63" w:rsidRPr="00D64B78" w14:paraId="6FC1DB41" w14:textId="77777777" w:rsidTr="003046F5">
      <w:trPr>
        <w:trHeight w:hRule="exact" w:val="864"/>
      </w:trPr>
      <w:tc>
        <w:tcPr>
          <w:tcW w:w="4838" w:type="dxa"/>
          <w:tcBorders>
            <w:bottom w:val="single" w:sz="4" w:space="0" w:color="auto"/>
          </w:tcBorders>
          <w:vAlign w:val="bottom"/>
        </w:tcPr>
        <w:p w14:paraId="774473CD" w14:textId="75DAE6AB" w:rsidR="002B4A63" w:rsidRPr="00D64B78" w:rsidRDefault="002B4A63" w:rsidP="00D64B78">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181B70C4" w14:textId="69D01BAA" w:rsidR="002B4A63" w:rsidRPr="00D64B78" w:rsidRDefault="002B4A63" w:rsidP="00D64B78">
          <w:pPr>
            <w:widowControl w:val="0"/>
            <w:tabs>
              <w:tab w:val="center" w:pos="4320"/>
              <w:tab w:val="right" w:pos="8640"/>
            </w:tabs>
            <w:jc w:val="right"/>
            <w:rPr>
              <w:sz w:val="17"/>
              <w:szCs w:val="17"/>
            </w:rPr>
          </w:pPr>
          <w:r w:rsidRPr="00D64B78">
            <w:rPr>
              <w:b/>
              <w:sz w:val="17"/>
              <w:szCs w:val="17"/>
            </w:rPr>
            <w:t>DP/DCP/</w:t>
          </w:r>
          <w:r>
            <w:rPr>
              <w:b/>
              <w:sz w:val="17"/>
              <w:szCs w:val="17"/>
            </w:rPr>
            <w:t>SSD</w:t>
          </w:r>
          <w:r w:rsidRPr="00D64B78">
            <w:rPr>
              <w:b/>
              <w:sz w:val="17"/>
              <w:szCs w:val="17"/>
            </w:rPr>
            <w:t>/2</w:t>
          </w:r>
        </w:p>
      </w:tc>
    </w:tr>
  </w:tbl>
  <w:p w14:paraId="1281C9F8" w14:textId="77777777" w:rsidR="002B4A63" w:rsidRDefault="002B4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F34B0" w:rsidRPr="00DF34B0" w14:paraId="0BBE3037" w14:textId="77777777" w:rsidTr="002249DD">
      <w:trPr>
        <w:trHeight w:hRule="exact" w:val="864"/>
      </w:trPr>
      <w:tc>
        <w:tcPr>
          <w:tcW w:w="1267" w:type="dxa"/>
          <w:tcBorders>
            <w:bottom w:val="single" w:sz="4" w:space="0" w:color="auto"/>
          </w:tcBorders>
          <w:shd w:val="clear" w:color="auto" w:fill="auto"/>
          <w:vAlign w:val="bottom"/>
        </w:tcPr>
        <w:p w14:paraId="0ADD862A" w14:textId="77777777" w:rsidR="00DF34B0" w:rsidRPr="00DF34B0" w:rsidRDefault="00DF34B0" w:rsidP="00DF34B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6F70AE9B" w14:textId="77777777" w:rsidR="00DF34B0" w:rsidRPr="00DF34B0" w:rsidRDefault="00DF34B0" w:rsidP="00DF34B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DF34B0">
            <w:rPr>
              <w:spacing w:val="2"/>
              <w:w w:val="96"/>
              <w:kern w:val="14"/>
              <w:sz w:val="28"/>
              <w:lang w:val="en-GB"/>
            </w:rPr>
            <w:t>United Nations</w:t>
          </w:r>
        </w:p>
      </w:tc>
      <w:tc>
        <w:tcPr>
          <w:tcW w:w="245" w:type="dxa"/>
          <w:tcBorders>
            <w:bottom w:val="single" w:sz="4" w:space="0" w:color="auto"/>
          </w:tcBorders>
          <w:shd w:val="clear" w:color="auto" w:fill="auto"/>
          <w:vAlign w:val="bottom"/>
        </w:tcPr>
        <w:p w14:paraId="50E756BC" w14:textId="77777777" w:rsidR="00DF34B0" w:rsidRPr="00DF34B0" w:rsidRDefault="00DF34B0" w:rsidP="00DF34B0">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55F74FD3" w14:textId="360624CA" w:rsidR="00DF34B0" w:rsidRPr="00DF34B0" w:rsidRDefault="00DF34B0" w:rsidP="00DF34B0">
          <w:pPr>
            <w:suppressAutoHyphens/>
            <w:spacing w:after="80"/>
            <w:jc w:val="right"/>
            <w:rPr>
              <w:spacing w:val="4"/>
              <w:w w:val="103"/>
              <w:kern w:val="14"/>
              <w:position w:val="-4"/>
              <w:lang w:val="en-GB"/>
            </w:rPr>
          </w:pPr>
          <w:r w:rsidRPr="00DF34B0">
            <w:rPr>
              <w:spacing w:val="4"/>
              <w:w w:val="103"/>
              <w:kern w:val="14"/>
              <w:position w:val="-4"/>
              <w:sz w:val="40"/>
              <w:lang w:val="en-GB"/>
            </w:rPr>
            <w:t>DP</w:t>
          </w:r>
          <w:r w:rsidRPr="00DF34B0">
            <w:rPr>
              <w:spacing w:val="4"/>
              <w:w w:val="103"/>
              <w:kern w:val="14"/>
              <w:position w:val="-4"/>
              <w:lang w:val="en-GB"/>
            </w:rPr>
            <w:t>/DCP/</w:t>
          </w:r>
          <w:r>
            <w:rPr>
              <w:spacing w:val="4"/>
              <w:w w:val="103"/>
              <w:kern w:val="14"/>
              <w:position w:val="-4"/>
              <w:lang w:val="en-GB"/>
            </w:rPr>
            <w:t>SSD</w:t>
          </w:r>
          <w:r w:rsidRPr="00DF34B0">
            <w:rPr>
              <w:spacing w:val="4"/>
              <w:w w:val="103"/>
              <w:kern w:val="14"/>
              <w:position w:val="-4"/>
              <w:lang w:val="en-GB"/>
            </w:rPr>
            <w:t>/</w:t>
          </w:r>
          <w:r>
            <w:rPr>
              <w:spacing w:val="4"/>
              <w:w w:val="103"/>
              <w:kern w:val="14"/>
              <w:position w:val="-4"/>
              <w:lang w:val="en-GB"/>
            </w:rPr>
            <w:t>2</w:t>
          </w:r>
        </w:p>
      </w:tc>
    </w:tr>
    <w:tr w:rsidR="00DF34B0" w:rsidRPr="00DF34B0" w14:paraId="6CE4FE64" w14:textId="77777777" w:rsidTr="002249DD">
      <w:trPr>
        <w:gridAfter w:val="1"/>
        <w:wAfter w:w="28" w:type="dxa"/>
        <w:trHeight w:hRule="exact" w:val="2880"/>
      </w:trPr>
      <w:tc>
        <w:tcPr>
          <w:tcW w:w="1267" w:type="dxa"/>
          <w:tcBorders>
            <w:top w:val="single" w:sz="4" w:space="0" w:color="auto"/>
            <w:bottom w:val="single" w:sz="12" w:space="0" w:color="auto"/>
          </w:tcBorders>
          <w:shd w:val="clear" w:color="auto" w:fill="auto"/>
        </w:tcPr>
        <w:p w14:paraId="1A4C6A4D" w14:textId="77777777" w:rsidR="00DF34B0" w:rsidRPr="00DF34B0" w:rsidRDefault="00DF34B0" w:rsidP="00DF34B0">
          <w:pPr>
            <w:tabs>
              <w:tab w:val="center" w:pos="4320"/>
              <w:tab w:val="right" w:pos="8640"/>
            </w:tabs>
            <w:spacing w:before="109"/>
            <w:rPr>
              <w:noProof/>
              <w:sz w:val="17"/>
            </w:rPr>
          </w:pPr>
          <w:r w:rsidRPr="00DF34B0">
            <w:rPr>
              <w:noProof/>
              <w:sz w:val="17"/>
            </w:rPr>
            <w:t xml:space="preserve"> </w:t>
          </w:r>
          <w:r w:rsidRPr="00DF34B0">
            <w:rPr>
              <w:noProof/>
              <w:sz w:val="17"/>
            </w:rPr>
            <w:drawing>
              <wp:inline distT="0" distB="0" distL="0" distR="0" wp14:anchorId="28002CBA" wp14:editId="29C0B2B7">
                <wp:extent cx="702945" cy="592455"/>
                <wp:effectExtent l="0" t="0" r="1905" b="0"/>
                <wp:docPr id="6" name="Picture 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0096C7EB" w14:textId="77777777" w:rsidR="00DF34B0" w:rsidRPr="00DF34B0" w:rsidRDefault="00DF34B0" w:rsidP="00DF34B0">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338041D6" w14:textId="5FAF675A" w:rsidR="00DF34B0" w:rsidRDefault="00DF34B0" w:rsidP="00DF34B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DF34B0">
            <w:rPr>
              <w:b/>
              <w:sz w:val="34"/>
            </w:rPr>
            <w:t>Executive Board of the</w:t>
          </w:r>
          <w:r w:rsidRPr="00DF34B0">
            <w:rPr>
              <w:b/>
              <w:sz w:val="34"/>
            </w:rPr>
            <w:br/>
            <w:t>United Nations Development</w:t>
          </w:r>
          <w:r w:rsidRPr="00DF34B0">
            <w:rPr>
              <w:b/>
              <w:sz w:val="34"/>
            </w:rPr>
            <w:br/>
          </w:r>
          <w:proofErr w:type="spellStart"/>
          <w:r w:rsidRPr="00DF34B0">
            <w:rPr>
              <w:b/>
              <w:sz w:val="34"/>
            </w:rPr>
            <w:t>Programme</w:t>
          </w:r>
          <w:proofErr w:type="spellEnd"/>
          <w:r w:rsidRPr="00DF34B0">
            <w:rPr>
              <w:b/>
              <w:sz w:val="34"/>
            </w:rPr>
            <w:t xml:space="preserve">, the United Nations Population Fund and the </w:t>
          </w:r>
          <w:r w:rsidR="00F218D4" w:rsidRPr="00DF34B0">
            <w:rPr>
              <w:b/>
              <w:sz w:val="34"/>
            </w:rPr>
            <w:br/>
          </w:r>
          <w:r w:rsidRPr="00DF34B0">
            <w:rPr>
              <w:b/>
              <w:sz w:val="34"/>
            </w:rPr>
            <w:t xml:space="preserve">United Nations Office for </w:t>
          </w:r>
          <w:r w:rsidR="00F218D4" w:rsidRPr="00DF34B0">
            <w:rPr>
              <w:b/>
              <w:sz w:val="34"/>
            </w:rPr>
            <w:br/>
          </w:r>
          <w:r w:rsidRPr="00DF34B0">
            <w:rPr>
              <w:b/>
              <w:sz w:val="34"/>
            </w:rPr>
            <w:t>Project Services</w:t>
          </w:r>
        </w:p>
        <w:p w14:paraId="273FC259" w14:textId="540F921F" w:rsidR="00DF34B0" w:rsidRDefault="00DF34B0" w:rsidP="00DF34B0">
          <w:pPr>
            <w:rPr>
              <w:sz w:val="34"/>
              <w:lang w:val="en-GB"/>
            </w:rPr>
          </w:pPr>
        </w:p>
        <w:p w14:paraId="746580AB" w14:textId="77777777" w:rsidR="00DF34B0" w:rsidRPr="00DF34B0" w:rsidRDefault="00DF34B0" w:rsidP="00DF34B0">
          <w:pPr>
            <w:ind w:firstLine="720"/>
            <w:rPr>
              <w:sz w:val="34"/>
              <w:lang w:val="en-GB"/>
            </w:rPr>
          </w:pPr>
        </w:p>
      </w:tc>
      <w:tc>
        <w:tcPr>
          <w:tcW w:w="245" w:type="dxa"/>
          <w:tcBorders>
            <w:top w:val="single" w:sz="4" w:space="0" w:color="auto"/>
            <w:bottom w:val="single" w:sz="12" w:space="0" w:color="auto"/>
          </w:tcBorders>
          <w:shd w:val="clear" w:color="auto" w:fill="auto"/>
        </w:tcPr>
        <w:p w14:paraId="5A6A82D0" w14:textId="77777777" w:rsidR="00DF34B0" w:rsidRPr="00DF34B0" w:rsidRDefault="00DF34B0" w:rsidP="00DF34B0">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43294343" w14:textId="77777777" w:rsidR="00DF34B0" w:rsidRPr="00DF34B0" w:rsidRDefault="00DF34B0" w:rsidP="00DF34B0">
          <w:pPr>
            <w:suppressAutoHyphens/>
            <w:spacing w:before="240" w:line="240" w:lineRule="exact"/>
            <w:rPr>
              <w:spacing w:val="4"/>
              <w:w w:val="103"/>
              <w:kern w:val="14"/>
              <w:lang w:val="en-GB"/>
            </w:rPr>
          </w:pPr>
          <w:r w:rsidRPr="00DF34B0">
            <w:rPr>
              <w:spacing w:val="4"/>
              <w:w w:val="103"/>
              <w:kern w:val="14"/>
              <w:lang w:val="en-GB"/>
            </w:rPr>
            <w:t>Distr.: General</w:t>
          </w:r>
        </w:p>
        <w:p w14:paraId="21062D78" w14:textId="385F88A8" w:rsidR="00DF34B0" w:rsidRPr="00DF34B0" w:rsidRDefault="00D573AE" w:rsidP="00DF34B0">
          <w:pPr>
            <w:suppressAutoHyphens/>
            <w:spacing w:line="240" w:lineRule="exact"/>
            <w:rPr>
              <w:spacing w:val="4"/>
              <w:w w:val="103"/>
              <w:kern w:val="14"/>
              <w:lang w:val="en-GB"/>
            </w:rPr>
          </w:pPr>
          <w:r>
            <w:rPr>
              <w:spacing w:val="4"/>
              <w:w w:val="103"/>
              <w:kern w:val="14"/>
              <w:lang w:val="en-GB"/>
            </w:rPr>
            <w:t>14</w:t>
          </w:r>
          <w:r w:rsidR="00DF34B0" w:rsidRPr="00DF34B0">
            <w:rPr>
              <w:spacing w:val="4"/>
              <w:w w:val="103"/>
              <w:kern w:val="14"/>
              <w:lang w:val="en-GB"/>
            </w:rPr>
            <w:t xml:space="preserve"> March 2016</w:t>
          </w:r>
        </w:p>
        <w:p w14:paraId="050B1D0E" w14:textId="77777777" w:rsidR="00DF34B0" w:rsidRPr="00DF34B0" w:rsidRDefault="00DF34B0" w:rsidP="00DF34B0">
          <w:pPr>
            <w:suppressAutoHyphens/>
            <w:spacing w:line="240" w:lineRule="exact"/>
            <w:rPr>
              <w:spacing w:val="4"/>
              <w:w w:val="103"/>
              <w:kern w:val="14"/>
              <w:lang w:val="en-GB"/>
            </w:rPr>
          </w:pPr>
        </w:p>
        <w:p w14:paraId="16664801" w14:textId="77777777" w:rsidR="00DF34B0" w:rsidRPr="00DF34B0" w:rsidRDefault="00DF34B0" w:rsidP="00DF34B0">
          <w:pPr>
            <w:suppressAutoHyphens/>
            <w:spacing w:line="240" w:lineRule="exact"/>
            <w:rPr>
              <w:spacing w:val="4"/>
              <w:w w:val="103"/>
              <w:kern w:val="14"/>
              <w:lang w:val="en-GB"/>
            </w:rPr>
          </w:pPr>
          <w:r w:rsidRPr="00DF34B0">
            <w:rPr>
              <w:spacing w:val="4"/>
              <w:w w:val="103"/>
              <w:kern w:val="14"/>
              <w:lang w:val="en-GB"/>
            </w:rPr>
            <w:t>Original: English</w:t>
          </w:r>
        </w:p>
      </w:tc>
    </w:tr>
  </w:tbl>
  <w:p w14:paraId="73703F47" w14:textId="77777777" w:rsidR="002B4A63" w:rsidRPr="00ED7FBC" w:rsidRDefault="002B4A63">
    <w:pPr>
      <w:pStyle w:val="Header"/>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F34B0" w:rsidRPr="00D64B78" w14:paraId="7EC544A8" w14:textId="77777777" w:rsidTr="002249DD">
      <w:trPr>
        <w:trHeight w:hRule="exact" w:val="864"/>
      </w:trPr>
      <w:tc>
        <w:tcPr>
          <w:tcW w:w="4838" w:type="dxa"/>
          <w:tcBorders>
            <w:bottom w:val="single" w:sz="4" w:space="0" w:color="auto"/>
          </w:tcBorders>
          <w:vAlign w:val="bottom"/>
        </w:tcPr>
        <w:p w14:paraId="38E53E16" w14:textId="77777777" w:rsidR="00DF34B0" w:rsidRPr="00D64B78" w:rsidRDefault="00DF34B0" w:rsidP="00DF34B0">
          <w:pPr>
            <w:widowControl w:val="0"/>
            <w:tabs>
              <w:tab w:val="center" w:pos="4320"/>
              <w:tab w:val="right" w:pos="8640"/>
            </w:tabs>
            <w:spacing w:after="80"/>
            <w:rPr>
              <w:b/>
              <w:sz w:val="17"/>
              <w:szCs w:val="17"/>
            </w:rPr>
          </w:pPr>
          <w:r w:rsidRPr="00D64B78">
            <w:rPr>
              <w:b/>
              <w:sz w:val="17"/>
              <w:szCs w:val="17"/>
            </w:rPr>
            <w:t>DP/DCP/</w:t>
          </w:r>
          <w:r>
            <w:rPr>
              <w:b/>
              <w:sz w:val="17"/>
              <w:szCs w:val="17"/>
            </w:rPr>
            <w:t>SSD</w:t>
          </w:r>
          <w:r w:rsidRPr="00D64B78">
            <w:rPr>
              <w:b/>
              <w:sz w:val="17"/>
              <w:szCs w:val="17"/>
            </w:rPr>
            <w:t>/2</w:t>
          </w:r>
        </w:p>
      </w:tc>
      <w:tc>
        <w:tcPr>
          <w:tcW w:w="5047" w:type="dxa"/>
          <w:tcBorders>
            <w:bottom w:val="single" w:sz="4" w:space="0" w:color="auto"/>
          </w:tcBorders>
          <w:vAlign w:val="bottom"/>
        </w:tcPr>
        <w:p w14:paraId="4D8B944E" w14:textId="77777777" w:rsidR="00DF34B0" w:rsidRPr="00D64B78" w:rsidRDefault="00DF34B0" w:rsidP="00DF34B0">
          <w:pPr>
            <w:widowControl w:val="0"/>
            <w:tabs>
              <w:tab w:val="center" w:pos="4320"/>
              <w:tab w:val="right" w:pos="8640"/>
            </w:tabs>
            <w:rPr>
              <w:sz w:val="17"/>
              <w:szCs w:val="17"/>
            </w:rPr>
          </w:pPr>
        </w:p>
      </w:tc>
    </w:tr>
  </w:tbl>
  <w:p w14:paraId="1F77148D" w14:textId="77777777" w:rsidR="00DF34B0" w:rsidRPr="00ED7FBC" w:rsidRDefault="00DF34B0">
    <w:pPr>
      <w:pStyle w:val="Header"/>
      <w:rPr>
        <w:sz w:val="2"/>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742"/>
    </w:tblGrid>
    <w:tr w:rsidR="002B4A63" w:rsidRPr="00D64B78" w14:paraId="234470EF" w14:textId="77777777" w:rsidTr="00944DE8">
      <w:trPr>
        <w:trHeight w:hRule="exact" w:val="864"/>
      </w:trPr>
      <w:tc>
        <w:tcPr>
          <w:tcW w:w="4838" w:type="dxa"/>
          <w:tcBorders>
            <w:bottom w:val="single" w:sz="4" w:space="0" w:color="auto"/>
          </w:tcBorders>
          <w:vAlign w:val="bottom"/>
        </w:tcPr>
        <w:p w14:paraId="1F6D8345" w14:textId="77777777" w:rsidR="002B4A63" w:rsidRPr="00D64B78" w:rsidRDefault="002B4A63" w:rsidP="00D64B78">
          <w:pPr>
            <w:widowControl w:val="0"/>
            <w:tabs>
              <w:tab w:val="center" w:pos="4320"/>
              <w:tab w:val="right" w:pos="8640"/>
            </w:tabs>
            <w:spacing w:after="80"/>
            <w:rPr>
              <w:b/>
              <w:sz w:val="17"/>
              <w:szCs w:val="17"/>
            </w:rPr>
          </w:pPr>
        </w:p>
      </w:tc>
      <w:tc>
        <w:tcPr>
          <w:tcW w:w="9742" w:type="dxa"/>
          <w:tcBorders>
            <w:bottom w:val="single" w:sz="4" w:space="0" w:color="auto"/>
          </w:tcBorders>
          <w:vAlign w:val="bottom"/>
        </w:tcPr>
        <w:p w14:paraId="4751AC1B" w14:textId="77777777" w:rsidR="002B4A63" w:rsidRPr="00D64B78" w:rsidRDefault="002B4A63" w:rsidP="00D64B78">
          <w:pPr>
            <w:widowControl w:val="0"/>
            <w:tabs>
              <w:tab w:val="center" w:pos="4320"/>
              <w:tab w:val="right" w:pos="8640"/>
            </w:tabs>
            <w:jc w:val="right"/>
            <w:rPr>
              <w:sz w:val="17"/>
              <w:szCs w:val="17"/>
            </w:rPr>
          </w:pPr>
          <w:r w:rsidRPr="00D64B78">
            <w:rPr>
              <w:b/>
              <w:sz w:val="17"/>
              <w:szCs w:val="17"/>
            </w:rPr>
            <w:t>DP/DCP/</w:t>
          </w:r>
          <w:r>
            <w:rPr>
              <w:b/>
              <w:sz w:val="17"/>
              <w:szCs w:val="17"/>
            </w:rPr>
            <w:t>SSD</w:t>
          </w:r>
          <w:r w:rsidRPr="00D64B78">
            <w:rPr>
              <w:b/>
              <w:sz w:val="17"/>
              <w:szCs w:val="17"/>
            </w:rPr>
            <w:t>/2</w:t>
          </w:r>
        </w:p>
      </w:tc>
    </w:tr>
  </w:tbl>
  <w:p w14:paraId="13AD5499" w14:textId="77777777" w:rsidR="002B4A63" w:rsidRDefault="002B4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E6A74E0"/>
    <w:multiLevelType w:val="hybridMultilevel"/>
    <w:tmpl w:val="8CBEF0FE"/>
    <w:lvl w:ilvl="0" w:tplc="D236DE36">
      <w:start w:val="1"/>
      <w:numFmt w:val="decimal"/>
      <w:lvlText w:val="%1."/>
      <w:lvlJc w:val="left"/>
      <w:pPr>
        <w:ind w:left="720" w:hanging="360"/>
      </w:pPr>
      <w:rPr>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2E5495"/>
    <w:multiLevelType w:val="hybridMultilevel"/>
    <w:tmpl w:val="01B0FA18"/>
    <w:lvl w:ilvl="0" w:tplc="FF1CA2DC">
      <w:start w:val="8"/>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13"/>
    <w:rsid w:val="00000503"/>
    <w:rsid w:val="00004B9F"/>
    <w:rsid w:val="000125C3"/>
    <w:rsid w:val="00016E91"/>
    <w:rsid w:val="00020E05"/>
    <w:rsid w:val="00021531"/>
    <w:rsid w:val="000242AD"/>
    <w:rsid w:val="000302DA"/>
    <w:rsid w:val="000433A1"/>
    <w:rsid w:val="00047CA7"/>
    <w:rsid w:val="000529C7"/>
    <w:rsid w:val="0005536F"/>
    <w:rsid w:val="000627DE"/>
    <w:rsid w:val="00063D66"/>
    <w:rsid w:val="00065152"/>
    <w:rsid w:val="00066C54"/>
    <w:rsid w:val="00071C13"/>
    <w:rsid w:val="00081B19"/>
    <w:rsid w:val="00081FED"/>
    <w:rsid w:val="000A1276"/>
    <w:rsid w:val="000B0502"/>
    <w:rsid w:val="000B24B6"/>
    <w:rsid w:val="000B3E4C"/>
    <w:rsid w:val="000B5945"/>
    <w:rsid w:val="000C3781"/>
    <w:rsid w:val="000E42E5"/>
    <w:rsid w:val="000E60D6"/>
    <w:rsid w:val="000F03F6"/>
    <w:rsid w:val="000F2B91"/>
    <w:rsid w:val="000F5013"/>
    <w:rsid w:val="000F560F"/>
    <w:rsid w:val="000F56A7"/>
    <w:rsid w:val="000F7A0B"/>
    <w:rsid w:val="00107643"/>
    <w:rsid w:val="00115217"/>
    <w:rsid w:val="001154C2"/>
    <w:rsid w:val="00115CA2"/>
    <w:rsid w:val="00117658"/>
    <w:rsid w:val="00117EF6"/>
    <w:rsid w:val="00120C67"/>
    <w:rsid w:val="001216E2"/>
    <w:rsid w:val="00124424"/>
    <w:rsid w:val="0012652F"/>
    <w:rsid w:val="001279F9"/>
    <w:rsid w:val="00132C81"/>
    <w:rsid w:val="001557FC"/>
    <w:rsid w:val="00155ACF"/>
    <w:rsid w:val="00157D9B"/>
    <w:rsid w:val="00161FA7"/>
    <w:rsid w:val="00163C72"/>
    <w:rsid w:val="001651FC"/>
    <w:rsid w:val="00171E4E"/>
    <w:rsid w:val="00175454"/>
    <w:rsid w:val="0017682E"/>
    <w:rsid w:val="00177F47"/>
    <w:rsid w:val="00193DE9"/>
    <w:rsid w:val="001961DC"/>
    <w:rsid w:val="00197ECC"/>
    <w:rsid w:val="001A3F6A"/>
    <w:rsid w:val="001B0418"/>
    <w:rsid w:val="001B0A28"/>
    <w:rsid w:val="001B4F7C"/>
    <w:rsid w:val="001D107F"/>
    <w:rsid w:val="001D37D5"/>
    <w:rsid w:val="001D6F02"/>
    <w:rsid w:val="001D7CB4"/>
    <w:rsid w:val="001E0842"/>
    <w:rsid w:val="001F0D66"/>
    <w:rsid w:val="00204931"/>
    <w:rsid w:val="00206282"/>
    <w:rsid w:val="00207817"/>
    <w:rsid w:val="002132CC"/>
    <w:rsid w:val="00217F0A"/>
    <w:rsid w:val="00217FA4"/>
    <w:rsid w:val="002222D8"/>
    <w:rsid w:val="002249DD"/>
    <w:rsid w:val="0022780D"/>
    <w:rsid w:val="00231A04"/>
    <w:rsid w:val="00243760"/>
    <w:rsid w:val="00252BD5"/>
    <w:rsid w:val="00252CAE"/>
    <w:rsid w:val="00253ACA"/>
    <w:rsid w:val="00262968"/>
    <w:rsid w:val="002670F1"/>
    <w:rsid w:val="0027784E"/>
    <w:rsid w:val="002805A3"/>
    <w:rsid w:val="00283E02"/>
    <w:rsid w:val="00287FCC"/>
    <w:rsid w:val="00290463"/>
    <w:rsid w:val="002922B9"/>
    <w:rsid w:val="002B0EC7"/>
    <w:rsid w:val="002B14FD"/>
    <w:rsid w:val="002B2C93"/>
    <w:rsid w:val="002B4A63"/>
    <w:rsid w:val="002B5A2F"/>
    <w:rsid w:val="002C19D7"/>
    <w:rsid w:val="002C2DCD"/>
    <w:rsid w:val="002C6323"/>
    <w:rsid w:val="002D56BC"/>
    <w:rsid w:val="002D702D"/>
    <w:rsid w:val="002E0BF9"/>
    <w:rsid w:val="002E35E7"/>
    <w:rsid w:val="002F39F5"/>
    <w:rsid w:val="002F3D72"/>
    <w:rsid w:val="002F5127"/>
    <w:rsid w:val="00302D91"/>
    <w:rsid w:val="003046F5"/>
    <w:rsid w:val="00304E49"/>
    <w:rsid w:val="00312D7E"/>
    <w:rsid w:val="00313A80"/>
    <w:rsid w:val="003152B3"/>
    <w:rsid w:val="00321FA7"/>
    <w:rsid w:val="00340618"/>
    <w:rsid w:val="003507FA"/>
    <w:rsid w:val="003522A6"/>
    <w:rsid w:val="0035400F"/>
    <w:rsid w:val="003550E9"/>
    <w:rsid w:val="003562C2"/>
    <w:rsid w:val="003572A5"/>
    <w:rsid w:val="00357FC8"/>
    <w:rsid w:val="0036378A"/>
    <w:rsid w:val="00370A49"/>
    <w:rsid w:val="00387A3B"/>
    <w:rsid w:val="003A6056"/>
    <w:rsid w:val="003B0590"/>
    <w:rsid w:val="003B0697"/>
    <w:rsid w:val="003B1D8A"/>
    <w:rsid w:val="003B5256"/>
    <w:rsid w:val="003C19B3"/>
    <w:rsid w:val="003C1ECC"/>
    <w:rsid w:val="003C59C5"/>
    <w:rsid w:val="003C63DD"/>
    <w:rsid w:val="003C7B27"/>
    <w:rsid w:val="003D15A8"/>
    <w:rsid w:val="003D21D4"/>
    <w:rsid w:val="003D6FBA"/>
    <w:rsid w:val="003E437F"/>
    <w:rsid w:val="003E4CDF"/>
    <w:rsid w:val="003E5F27"/>
    <w:rsid w:val="003F4C48"/>
    <w:rsid w:val="003F6D76"/>
    <w:rsid w:val="00402596"/>
    <w:rsid w:val="0040498E"/>
    <w:rsid w:val="00404BFD"/>
    <w:rsid w:val="00412A0F"/>
    <w:rsid w:val="00413B03"/>
    <w:rsid w:val="00416E0E"/>
    <w:rsid w:val="004234F7"/>
    <w:rsid w:val="00425E93"/>
    <w:rsid w:val="004272D5"/>
    <w:rsid w:val="0043151C"/>
    <w:rsid w:val="00432B26"/>
    <w:rsid w:val="00433564"/>
    <w:rsid w:val="00434A51"/>
    <w:rsid w:val="004436E6"/>
    <w:rsid w:val="00444958"/>
    <w:rsid w:val="0045614A"/>
    <w:rsid w:val="00461C95"/>
    <w:rsid w:val="0046519C"/>
    <w:rsid w:val="0046749B"/>
    <w:rsid w:val="00487FF9"/>
    <w:rsid w:val="00490F12"/>
    <w:rsid w:val="00494333"/>
    <w:rsid w:val="004946C0"/>
    <w:rsid w:val="004947E1"/>
    <w:rsid w:val="00495BEF"/>
    <w:rsid w:val="004A69C2"/>
    <w:rsid w:val="004B020A"/>
    <w:rsid w:val="004B0E8B"/>
    <w:rsid w:val="004B3813"/>
    <w:rsid w:val="004B5CBF"/>
    <w:rsid w:val="004C6B92"/>
    <w:rsid w:val="004D1E05"/>
    <w:rsid w:val="004D3BA1"/>
    <w:rsid w:val="004E2CA7"/>
    <w:rsid w:val="004E4CCA"/>
    <w:rsid w:val="004E549C"/>
    <w:rsid w:val="005003E4"/>
    <w:rsid w:val="005131DE"/>
    <w:rsid w:val="0052106B"/>
    <w:rsid w:val="005248EC"/>
    <w:rsid w:val="005257BC"/>
    <w:rsid w:val="005265E6"/>
    <w:rsid w:val="00530AA8"/>
    <w:rsid w:val="00531244"/>
    <w:rsid w:val="005332D7"/>
    <w:rsid w:val="00533D30"/>
    <w:rsid w:val="0053489A"/>
    <w:rsid w:val="00534BF5"/>
    <w:rsid w:val="00534D14"/>
    <w:rsid w:val="005367CA"/>
    <w:rsid w:val="00540165"/>
    <w:rsid w:val="00542A79"/>
    <w:rsid w:val="00547A10"/>
    <w:rsid w:val="005503B3"/>
    <w:rsid w:val="005520F1"/>
    <w:rsid w:val="00553CBA"/>
    <w:rsid w:val="00566383"/>
    <w:rsid w:val="00567BB9"/>
    <w:rsid w:val="00571571"/>
    <w:rsid w:val="005856F6"/>
    <w:rsid w:val="0058793B"/>
    <w:rsid w:val="00590329"/>
    <w:rsid w:val="0059231B"/>
    <w:rsid w:val="0059435D"/>
    <w:rsid w:val="00597F23"/>
    <w:rsid w:val="005A5D59"/>
    <w:rsid w:val="005B6D3E"/>
    <w:rsid w:val="005D4E59"/>
    <w:rsid w:val="005D6DE9"/>
    <w:rsid w:val="005E1CFA"/>
    <w:rsid w:val="005E3777"/>
    <w:rsid w:val="005F3501"/>
    <w:rsid w:val="005F540D"/>
    <w:rsid w:val="006032C8"/>
    <w:rsid w:val="00605954"/>
    <w:rsid w:val="00607833"/>
    <w:rsid w:val="00610D43"/>
    <w:rsid w:val="00622129"/>
    <w:rsid w:val="00623C9D"/>
    <w:rsid w:val="0063325E"/>
    <w:rsid w:val="00635CB1"/>
    <w:rsid w:val="00637AF3"/>
    <w:rsid w:val="00647146"/>
    <w:rsid w:val="006521C9"/>
    <w:rsid w:val="006627C3"/>
    <w:rsid w:val="00666054"/>
    <w:rsid w:val="00675660"/>
    <w:rsid w:val="00683156"/>
    <w:rsid w:val="00690AC1"/>
    <w:rsid w:val="00690DCD"/>
    <w:rsid w:val="006933FE"/>
    <w:rsid w:val="00697BAD"/>
    <w:rsid w:val="006A7456"/>
    <w:rsid w:val="006A7780"/>
    <w:rsid w:val="006B2EBF"/>
    <w:rsid w:val="006B6D96"/>
    <w:rsid w:val="006B78B9"/>
    <w:rsid w:val="006C1917"/>
    <w:rsid w:val="006C4216"/>
    <w:rsid w:val="006D2F0F"/>
    <w:rsid w:val="006D3355"/>
    <w:rsid w:val="006D6C85"/>
    <w:rsid w:val="006E3D44"/>
    <w:rsid w:val="006E6525"/>
    <w:rsid w:val="006F6343"/>
    <w:rsid w:val="006F696D"/>
    <w:rsid w:val="00704264"/>
    <w:rsid w:val="007061E8"/>
    <w:rsid w:val="00706CBA"/>
    <w:rsid w:val="00711FB8"/>
    <w:rsid w:val="00714254"/>
    <w:rsid w:val="00721049"/>
    <w:rsid w:val="00722530"/>
    <w:rsid w:val="00722915"/>
    <w:rsid w:val="00736D0C"/>
    <w:rsid w:val="0074214A"/>
    <w:rsid w:val="00746B60"/>
    <w:rsid w:val="00751930"/>
    <w:rsid w:val="007562D1"/>
    <w:rsid w:val="00757FA4"/>
    <w:rsid w:val="00764021"/>
    <w:rsid w:val="007716A9"/>
    <w:rsid w:val="00781C50"/>
    <w:rsid w:val="007858DF"/>
    <w:rsid w:val="00790417"/>
    <w:rsid w:val="007908AC"/>
    <w:rsid w:val="007A3E18"/>
    <w:rsid w:val="007A47FD"/>
    <w:rsid w:val="007A7990"/>
    <w:rsid w:val="007B06BE"/>
    <w:rsid w:val="007C2837"/>
    <w:rsid w:val="007C656C"/>
    <w:rsid w:val="007C6573"/>
    <w:rsid w:val="007D1A77"/>
    <w:rsid w:val="007F40CA"/>
    <w:rsid w:val="007F54E2"/>
    <w:rsid w:val="007F7153"/>
    <w:rsid w:val="00802024"/>
    <w:rsid w:val="00804CD3"/>
    <w:rsid w:val="00813D34"/>
    <w:rsid w:val="00814B92"/>
    <w:rsid w:val="00816DF5"/>
    <w:rsid w:val="0082236A"/>
    <w:rsid w:val="008254B3"/>
    <w:rsid w:val="008258AA"/>
    <w:rsid w:val="00826C23"/>
    <w:rsid w:val="00830068"/>
    <w:rsid w:val="00831877"/>
    <w:rsid w:val="008412B3"/>
    <w:rsid w:val="008449AC"/>
    <w:rsid w:val="0084561E"/>
    <w:rsid w:val="00851DC8"/>
    <w:rsid w:val="00857A66"/>
    <w:rsid w:val="008612B7"/>
    <w:rsid w:val="00865639"/>
    <w:rsid w:val="008735E2"/>
    <w:rsid w:val="00873613"/>
    <w:rsid w:val="00884763"/>
    <w:rsid w:val="00884CEF"/>
    <w:rsid w:val="0088672C"/>
    <w:rsid w:val="00886785"/>
    <w:rsid w:val="0088751B"/>
    <w:rsid w:val="0089001F"/>
    <w:rsid w:val="00891AD9"/>
    <w:rsid w:val="008958DD"/>
    <w:rsid w:val="00896E53"/>
    <w:rsid w:val="00897F23"/>
    <w:rsid w:val="008B08CE"/>
    <w:rsid w:val="008B107F"/>
    <w:rsid w:val="008B1B08"/>
    <w:rsid w:val="008C3060"/>
    <w:rsid w:val="008D05D9"/>
    <w:rsid w:val="008D20B1"/>
    <w:rsid w:val="008D59C9"/>
    <w:rsid w:val="008D7D68"/>
    <w:rsid w:val="008E0872"/>
    <w:rsid w:val="008E433B"/>
    <w:rsid w:val="008E68F3"/>
    <w:rsid w:val="008F57DD"/>
    <w:rsid w:val="008F59E1"/>
    <w:rsid w:val="00906683"/>
    <w:rsid w:val="009067F5"/>
    <w:rsid w:val="0091094B"/>
    <w:rsid w:val="00911877"/>
    <w:rsid w:val="009132B5"/>
    <w:rsid w:val="00920D72"/>
    <w:rsid w:val="009214E6"/>
    <w:rsid w:val="00934894"/>
    <w:rsid w:val="00937044"/>
    <w:rsid w:val="009432C0"/>
    <w:rsid w:val="00943C4B"/>
    <w:rsid w:val="00944DE8"/>
    <w:rsid w:val="00947F8A"/>
    <w:rsid w:val="00950040"/>
    <w:rsid w:val="0095193C"/>
    <w:rsid w:val="0096275D"/>
    <w:rsid w:val="009660F9"/>
    <w:rsid w:val="00967FE5"/>
    <w:rsid w:val="009733AF"/>
    <w:rsid w:val="00974697"/>
    <w:rsid w:val="00980F10"/>
    <w:rsid w:val="009821EB"/>
    <w:rsid w:val="00984416"/>
    <w:rsid w:val="00991A7E"/>
    <w:rsid w:val="00995CDB"/>
    <w:rsid w:val="00995F8D"/>
    <w:rsid w:val="00996824"/>
    <w:rsid w:val="00996C30"/>
    <w:rsid w:val="009A7F25"/>
    <w:rsid w:val="009B1675"/>
    <w:rsid w:val="009B3F83"/>
    <w:rsid w:val="009C140E"/>
    <w:rsid w:val="009C546B"/>
    <w:rsid w:val="009C67A9"/>
    <w:rsid w:val="009D4BF2"/>
    <w:rsid w:val="009E7545"/>
    <w:rsid w:val="009F0441"/>
    <w:rsid w:val="009F0B8F"/>
    <w:rsid w:val="009F7DD1"/>
    <w:rsid w:val="00A0073D"/>
    <w:rsid w:val="00A0268D"/>
    <w:rsid w:val="00A058EC"/>
    <w:rsid w:val="00A118BC"/>
    <w:rsid w:val="00A15576"/>
    <w:rsid w:val="00A1566C"/>
    <w:rsid w:val="00A158E5"/>
    <w:rsid w:val="00A16B5C"/>
    <w:rsid w:val="00A23D53"/>
    <w:rsid w:val="00A2668F"/>
    <w:rsid w:val="00A37DCB"/>
    <w:rsid w:val="00A427F2"/>
    <w:rsid w:val="00A4627C"/>
    <w:rsid w:val="00A56457"/>
    <w:rsid w:val="00A57055"/>
    <w:rsid w:val="00A62865"/>
    <w:rsid w:val="00A93110"/>
    <w:rsid w:val="00A945BC"/>
    <w:rsid w:val="00A95105"/>
    <w:rsid w:val="00A97A5C"/>
    <w:rsid w:val="00AA35DE"/>
    <w:rsid w:val="00AA4C56"/>
    <w:rsid w:val="00AA6AF3"/>
    <w:rsid w:val="00AB09C0"/>
    <w:rsid w:val="00AB0A62"/>
    <w:rsid w:val="00AB37B6"/>
    <w:rsid w:val="00AC4E0A"/>
    <w:rsid w:val="00AC7166"/>
    <w:rsid w:val="00AD6F96"/>
    <w:rsid w:val="00AE0E40"/>
    <w:rsid w:val="00AF0544"/>
    <w:rsid w:val="00B027FE"/>
    <w:rsid w:val="00B05458"/>
    <w:rsid w:val="00B1105E"/>
    <w:rsid w:val="00B11D6C"/>
    <w:rsid w:val="00B15C15"/>
    <w:rsid w:val="00B204BD"/>
    <w:rsid w:val="00B21B63"/>
    <w:rsid w:val="00B22328"/>
    <w:rsid w:val="00B27CAD"/>
    <w:rsid w:val="00B3027B"/>
    <w:rsid w:val="00B30B28"/>
    <w:rsid w:val="00B30BE1"/>
    <w:rsid w:val="00B35548"/>
    <w:rsid w:val="00B35AAE"/>
    <w:rsid w:val="00B45D14"/>
    <w:rsid w:val="00B545CB"/>
    <w:rsid w:val="00B557FA"/>
    <w:rsid w:val="00B56410"/>
    <w:rsid w:val="00B70D4C"/>
    <w:rsid w:val="00B71ABA"/>
    <w:rsid w:val="00B77A83"/>
    <w:rsid w:val="00B93451"/>
    <w:rsid w:val="00B9754E"/>
    <w:rsid w:val="00B97C0C"/>
    <w:rsid w:val="00BA17A5"/>
    <w:rsid w:val="00BB3C4A"/>
    <w:rsid w:val="00BB6EA1"/>
    <w:rsid w:val="00BC5D29"/>
    <w:rsid w:val="00BD4679"/>
    <w:rsid w:val="00BD4B98"/>
    <w:rsid w:val="00BD4F05"/>
    <w:rsid w:val="00BD5845"/>
    <w:rsid w:val="00BE1425"/>
    <w:rsid w:val="00BE159F"/>
    <w:rsid w:val="00BE3BC5"/>
    <w:rsid w:val="00BF0718"/>
    <w:rsid w:val="00BF2C2C"/>
    <w:rsid w:val="00BF4F4E"/>
    <w:rsid w:val="00C04037"/>
    <w:rsid w:val="00C07C9F"/>
    <w:rsid w:val="00C126BC"/>
    <w:rsid w:val="00C127A1"/>
    <w:rsid w:val="00C20E99"/>
    <w:rsid w:val="00C22318"/>
    <w:rsid w:val="00C23483"/>
    <w:rsid w:val="00C25C8A"/>
    <w:rsid w:val="00C30EF8"/>
    <w:rsid w:val="00C32E6A"/>
    <w:rsid w:val="00C34339"/>
    <w:rsid w:val="00C344EA"/>
    <w:rsid w:val="00C3475A"/>
    <w:rsid w:val="00C35B60"/>
    <w:rsid w:val="00C40D73"/>
    <w:rsid w:val="00C43FF8"/>
    <w:rsid w:val="00C5045D"/>
    <w:rsid w:val="00C53907"/>
    <w:rsid w:val="00C53D18"/>
    <w:rsid w:val="00C56A9E"/>
    <w:rsid w:val="00C6551D"/>
    <w:rsid w:val="00C714C9"/>
    <w:rsid w:val="00C76EEC"/>
    <w:rsid w:val="00C81D29"/>
    <w:rsid w:val="00C8361E"/>
    <w:rsid w:val="00C84C8F"/>
    <w:rsid w:val="00C8541E"/>
    <w:rsid w:val="00C92789"/>
    <w:rsid w:val="00C960BD"/>
    <w:rsid w:val="00CA2B1B"/>
    <w:rsid w:val="00CA45AF"/>
    <w:rsid w:val="00CA768B"/>
    <w:rsid w:val="00CB0F20"/>
    <w:rsid w:val="00CB17BA"/>
    <w:rsid w:val="00CB2489"/>
    <w:rsid w:val="00CB2ACD"/>
    <w:rsid w:val="00CB5B9B"/>
    <w:rsid w:val="00CC64F8"/>
    <w:rsid w:val="00CC7C9E"/>
    <w:rsid w:val="00CD1C3A"/>
    <w:rsid w:val="00CD2C10"/>
    <w:rsid w:val="00CD2FE2"/>
    <w:rsid w:val="00CE008F"/>
    <w:rsid w:val="00CE0E05"/>
    <w:rsid w:val="00CE2ECD"/>
    <w:rsid w:val="00CE3814"/>
    <w:rsid w:val="00CE42E9"/>
    <w:rsid w:val="00CF0BEC"/>
    <w:rsid w:val="00CF15C8"/>
    <w:rsid w:val="00CF2276"/>
    <w:rsid w:val="00CF3006"/>
    <w:rsid w:val="00CF33A7"/>
    <w:rsid w:val="00D00EF1"/>
    <w:rsid w:val="00D0189B"/>
    <w:rsid w:val="00D05E24"/>
    <w:rsid w:val="00D15E6A"/>
    <w:rsid w:val="00D16C91"/>
    <w:rsid w:val="00D17CB7"/>
    <w:rsid w:val="00D2286C"/>
    <w:rsid w:val="00D35561"/>
    <w:rsid w:val="00D37548"/>
    <w:rsid w:val="00D41484"/>
    <w:rsid w:val="00D44B01"/>
    <w:rsid w:val="00D50A19"/>
    <w:rsid w:val="00D573AE"/>
    <w:rsid w:val="00D609DD"/>
    <w:rsid w:val="00D64B78"/>
    <w:rsid w:val="00D67279"/>
    <w:rsid w:val="00D71C01"/>
    <w:rsid w:val="00D87F00"/>
    <w:rsid w:val="00D950AC"/>
    <w:rsid w:val="00D95DBF"/>
    <w:rsid w:val="00DA094F"/>
    <w:rsid w:val="00DA5307"/>
    <w:rsid w:val="00DB380F"/>
    <w:rsid w:val="00DB4992"/>
    <w:rsid w:val="00DB7310"/>
    <w:rsid w:val="00DC35B9"/>
    <w:rsid w:val="00DD334E"/>
    <w:rsid w:val="00DD4E33"/>
    <w:rsid w:val="00DF2FAD"/>
    <w:rsid w:val="00DF31D2"/>
    <w:rsid w:val="00DF33E9"/>
    <w:rsid w:val="00DF34B0"/>
    <w:rsid w:val="00DF61F6"/>
    <w:rsid w:val="00E04B87"/>
    <w:rsid w:val="00E06A07"/>
    <w:rsid w:val="00E101F1"/>
    <w:rsid w:val="00E13D4F"/>
    <w:rsid w:val="00E169DF"/>
    <w:rsid w:val="00E1725C"/>
    <w:rsid w:val="00E24521"/>
    <w:rsid w:val="00E26785"/>
    <w:rsid w:val="00E279D5"/>
    <w:rsid w:val="00E27CAF"/>
    <w:rsid w:val="00E308F1"/>
    <w:rsid w:val="00E34D77"/>
    <w:rsid w:val="00E43B0A"/>
    <w:rsid w:val="00E456EF"/>
    <w:rsid w:val="00E50F6B"/>
    <w:rsid w:val="00E535C1"/>
    <w:rsid w:val="00E54869"/>
    <w:rsid w:val="00E54CBE"/>
    <w:rsid w:val="00E5574C"/>
    <w:rsid w:val="00E64B55"/>
    <w:rsid w:val="00E74DC9"/>
    <w:rsid w:val="00E75CE2"/>
    <w:rsid w:val="00E844D5"/>
    <w:rsid w:val="00E85481"/>
    <w:rsid w:val="00E85A28"/>
    <w:rsid w:val="00E93615"/>
    <w:rsid w:val="00EA1425"/>
    <w:rsid w:val="00EA1540"/>
    <w:rsid w:val="00EA3F2B"/>
    <w:rsid w:val="00EA7781"/>
    <w:rsid w:val="00EB1091"/>
    <w:rsid w:val="00EB4DBD"/>
    <w:rsid w:val="00EC195B"/>
    <w:rsid w:val="00EC5227"/>
    <w:rsid w:val="00ED0905"/>
    <w:rsid w:val="00ED206C"/>
    <w:rsid w:val="00ED7FBC"/>
    <w:rsid w:val="00EE154A"/>
    <w:rsid w:val="00EE4F51"/>
    <w:rsid w:val="00EE5446"/>
    <w:rsid w:val="00EE603B"/>
    <w:rsid w:val="00EF3F7C"/>
    <w:rsid w:val="00F03055"/>
    <w:rsid w:val="00F06D26"/>
    <w:rsid w:val="00F074BB"/>
    <w:rsid w:val="00F14964"/>
    <w:rsid w:val="00F14D38"/>
    <w:rsid w:val="00F1540E"/>
    <w:rsid w:val="00F208FA"/>
    <w:rsid w:val="00F218D4"/>
    <w:rsid w:val="00F232DA"/>
    <w:rsid w:val="00F26273"/>
    <w:rsid w:val="00F30718"/>
    <w:rsid w:val="00F33CFA"/>
    <w:rsid w:val="00F34497"/>
    <w:rsid w:val="00F41081"/>
    <w:rsid w:val="00F4275B"/>
    <w:rsid w:val="00F458F8"/>
    <w:rsid w:val="00F5135D"/>
    <w:rsid w:val="00F564E6"/>
    <w:rsid w:val="00F5786F"/>
    <w:rsid w:val="00F62913"/>
    <w:rsid w:val="00F64A66"/>
    <w:rsid w:val="00F65B00"/>
    <w:rsid w:val="00F70B03"/>
    <w:rsid w:val="00F817D0"/>
    <w:rsid w:val="00F84017"/>
    <w:rsid w:val="00F8792C"/>
    <w:rsid w:val="00F91733"/>
    <w:rsid w:val="00FB3E33"/>
    <w:rsid w:val="00FC2852"/>
    <w:rsid w:val="00FC41AC"/>
    <w:rsid w:val="00FC58D0"/>
    <w:rsid w:val="00FD0B48"/>
    <w:rsid w:val="00FE218F"/>
    <w:rsid w:val="00FE6C02"/>
    <w:rsid w:val="00FE7536"/>
    <w:rsid w:val="00FE7E4E"/>
    <w:rsid w:val="00FF3248"/>
    <w:rsid w:val="00FF573B"/>
    <w:rsid w:val="00FF5765"/>
    <w:rsid w:val="00FF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DAA52"/>
  <w15:docId w15:val="{57D738E2-5B56-402D-BD50-7A6F566B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91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62913"/>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F62913"/>
    <w:pPr>
      <w:keepNext/>
      <w:jc w:val="center"/>
      <w:outlineLvl w:val="1"/>
    </w:pPr>
    <w:rPr>
      <w:rFonts w:ascii="Arial" w:hAnsi="Arial"/>
      <w:b/>
      <w:sz w:val="28"/>
    </w:rPr>
  </w:style>
  <w:style w:type="paragraph" w:styleId="Heading4">
    <w:name w:val="heading 4"/>
    <w:basedOn w:val="Normal"/>
    <w:next w:val="Normal"/>
    <w:link w:val="Heading4Char"/>
    <w:qFormat/>
    <w:rsid w:val="00F62913"/>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913"/>
    <w:rPr>
      <w:rFonts w:ascii="Courier" w:eastAsia="Times New Roman" w:hAnsi="Courier" w:cs="Times New Roman"/>
      <w:b/>
      <w:spacing w:val="-3"/>
      <w:sz w:val="28"/>
      <w:szCs w:val="20"/>
      <w:lang w:val="x-none" w:eastAsia="x-none"/>
    </w:rPr>
  </w:style>
  <w:style w:type="character" w:customStyle="1" w:styleId="Heading2Char">
    <w:name w:val="Heading 2 Char"/>
    <w:basedOn w:val="DefaultParagraphFont"/>
    <w:link w:val="Heading2"/>
    <w:rsid w:val="00F62913"/>
    <w:rPr>
      <w:rFonts w:ascii="Arial" w:eastAsia="Times New Roman" w:hAnsi="Arial" w:cs="Times New Roman"/>
      <w:b/>
      <w:sz w:val="28"/>
      <w:szCs w:val="20"/>
      <w:lang w:val="en-US"/>
    </w:rPr>
  </w:style>
  <w:style w:type="character" w:customStyle="1" w:styleId="Heading4Char">
    <w:name w:val="Heading 4 Char"/>
    <w:basedOn w:val="DefaultParagraphFont"/>
    <w:link w:val="Heading4"/>
    <w:rsid w:val="00F62913"/>
    <w:rPr>
      <w:rFonts w:ascii="Arial" w:eastAsia="Times New Roman" w:hAnsi="Arial" w:cs="Times New Roman"/>
      <w:b/>
      <w:szCs w:val="20"/>
      <w:lang w:val="en-US"/>
    </w:rPr>
  </w:style>
  <w:style w:type="paragraph" w:styleId="Header">
    <w:name w:val="header"/>
    <w:basedOn w:val="Normal"/>
    <w:link w:val="HeaderChar"/>
    <w:uiPriority w:val="99"/>
    <w:rsid w:val="00F62913"/>
    <w:pPr>
      <w:widowControl w:val="0"/>
      <w:tabs>
        <w:tab w:val="center" w:pos="4320"/>
        <w:tab w:val="right" w:pos="8640"/>
      </w:tabs>
    </w:pPr>
    <w:rPr>
      <w:rFonts w:ascii="Courier" w:hAnsi="Courier"/>
      <w:sz w:val="22"/>
      <w:lang w:val="x-none" w:eastAsia="x-none"/>
    </w:rPr>
  </w:style>
  <w:style w:type="character" w:customStyle="1" w:styleId="HeaderChar">
    <w:name w:val="Header Char"/>
    <w:basedOn w:val="DefaultParagraphFont"/>
    <w:link w:val="Header"/>
    <w:uiPriority w:val="99"/>
    <w:rsid w:val="00F62913"/>
    <w:rPr>
      <w:rFonts w:ascii="Courier" w:eastAsia="Times New Roman" w:hAnsi="Courier" w:cs="Times New Roman"/>
      <w:szCs w:val="20"/>
      <w:lang w:val="x-none" w:eastAsia="x-none"/>
    </w:rPr>
  </w:style>
  <w:style w:type="paragraph" w:styleId="FootnoteText">
    <w:name w:val="footnote text"/>
    <w:aliases w:val="Char,Footnote Text Char Char,Geneva 9,Font: Geneva 9,Boston 10,f,Footnotes,ft,Текст сноски Знак1,Текст сноски Знак1 Char Char Char Char Char Char,Текст сноски Знак1 Char Char Char Char Char,Текст сноски Знак1 Char Char Char Char,FOOTNOTES"/>
    <w:basedOn w:val="Normal"/>
    <w:link w:val="FootnoteTextChar"/>
    <w:qFormat/>
    <w:rsid w:val="00F62913"/>
    <w:pPr>
      <w:widowControl w:val="0"/>
    </w:pPr>
    <w:rPr>
      <w:rFonts w:ascii="Courier" w:hAnsi="Courier"/>
    </w:rPr>
  </w:style>
  <w:style w:type="character" w:customStyle="1" w:styleId="FootnoteTextChar">
    <w:name w:val="Footnote Text Char"/>
    <w:aliases w:val="Char Char,Footnote Text Char Char Char,Geneva 9 Char,Font: Geneva 9 Char,Boston 10 Char,f Char,Footnotes Char,ft Char,Текст сноски Знак1 Char,Текст сноски Знак1 Char Char Char Char Char Char Char,FOOTNOTES Char"/>
    <w:basedOn w:val="DefaultParagraphFont"/>
    <w:link w:val="FootnoteText"/>
    <w:rsid w:val="00F62913"/>
    <w:rPr>
      <w:rFonts w:ascii="Courier" w:eastAsia="Times New Roman" w:hAnsi="Courier" w:cs="Times New Roman"/>
      <w:sz w:val="20"/>
      <w:szCs w:val="20"/>
      <w:lang w:val="en-US"/>
    </w:rPr>
  </w:style>
  <w:style w:type="paragraph" w:styleId="Subtitle">
    <w:name w:val="Subtitle"/>
    <w:basedOn w:val="Normal"/>
    <w:link w:val="SubtitleChar"/>
    <w:qFormat/>
    <w:rsid w:val="00F6291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F62913"/>
    <w:rPr>
      <w:rFonts w:ascii="Arial" w:eastAsia="Times New Roman" w:hAnsi="Arial" w:cs="Arial"/>
      <w:sz w:val="24"/>
      <w:szCs w:val="24"/>
      <w:lang w:val="en-US"/>
    </w:rPr>
  </w:style>
  <w:style w:type="character" w:styleId="FootnoteReference">
    <w:name w:val="footnote reference"/>
    <w:aliases w:val="16 Point,Superscript 6 Point,ftref,BVI fnr,Carattere Char1,Carattere Char Char Carattere Carattere Char Char,ftref1,ftref2,ftref11,8 Point,Footnote text,Footnotes refss,Ref,de nota al pie,Appel note de bas de page,Footnote number,4_G"/>
    <w:link w:val="BVIfnrCarCar"/>
    <w:uiPriority w:val="99"/>
    <w:qFormat/>
    <w:rsid w:val="00F62913"/>
    <w:rPr>
      <w:rFonts w:cs="Times New Roman"/>
      <w:vertAlign w:val="superscript"/>
    </w:rPr>
  </w:style>
  <w:style w:type="paragraph" w:styleId="Footer">
    <w:name w:val="footer"/>
    <w:basedOn w:val="Normal"/>
    <w:link w:val="FooterChar"/>
    <w:uiPriority w:val="99"/>
    <w:rsid w:val="00F6291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62913"/>
    <w:rPr>
      <w:rFonts w:ascii="Times New Roman" w:eastAsia="Times New Roman" w:hAnsi="Times New Roman" w:cs="Times New Roman"/>
      <w:sz w:val="20"/>
      <w:szCs w:val="20"/>
      <w:lang w:val="x-none" w:eastAsia="x-none"/>
    </w:rPr>
  </w:style>
  <w:style w:type="paragraph" w:customStyle="1" w:styleId="HCh">
    <w:name w:val="_ H _Ch"/>
    <w:basedOn w:val="Normal"/>
    <w:next w:val="Normal"/>
    <w:rsid w:val="00F62913"/>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F6291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F62913"/>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F62913"/>
    <w:rPr>
      <w:rFonts w:ascii="Tahoma" w:hAnsi="Tahoma" w:cs="Tahoma"/>
      <w:sz w:val="16"/>
      <w:szCs w:val="16"/>
    </w:rPr>
  </w:style>
  <w:style w:type="character" w:customStyle="1" w:styleId="BalloonTextChar">
    <w:name w:val="Balloon Text Char"/>
    <w:basedOn w:val="DefaultParagraphFont"/>
    <w:link w:val="BalloonText"/>
    <w:semiHidden/>
    <w:rsid w:val="00F62913"/>
    <w:rPr>
      <w:rFonts w:ascii="Tahoma" w:eastAsia="Times New Roman" w:hAnsi="Tahoma" w:cs="Tahoma"/>
      <w:sz w:val="16"/>
      <w:szCs w:val="16"/>
      <w:lang w:val="en-US"/>
    </w:rPr>
  </w:style>
  <w:style w:type="character" w:styleId="Hyperlink">
    <w:name w:val="Hyperlink"/>
    <w:uiPriority w:val="99"/>
    <w:rsid w:val="00F62913"/>
    <w:rPr>
      <w:rFonts w:cs="Times New Roman"/>
      <w:color w:val="336699"/>
      <w:u w:val="none"/>
      <w:effect w:val="none"/>
    </w:rPr>
  </w:style>
  <w:style w:type="paragraph" w:styleId="ListParagraph">
    <w:name w:val="List Paragraph"/>
    <w:aliases w:val="Ha,References,paragraph,List Paragraph1,references,List Paragraph (numbered (a)),WB Para,Bullets"/>
    <w:basedOn w:val="Normal"/>
    <w:link w:val="ListParagraphChar"/>
    <w:uiPriority w:val="34"/>
    <w:qFormat/>
    <w:rsid w:val="00F62913"/>
    <w:pPr>
      <w:ind w:left="720"/>
    </w:pPr>
  </w:style>
  <w:style w:type="paragraph" w:styleId="DocumentMap">
    <w:name w:val="Document Map"/>
    <w:basedOn w:val="Normal"/>
    <w:link w:val="DocumentMapChar"/>
    <w:semiHidden/>
    <w:rsid w:val="00F62913"/>
    <w:rPr>
      <w:rFonts w:ascii="Tahoma" w:hAnsi="Tahoma"/>
      <w:sz w:val="16"/>
      <w:szCs w:val="16"/>
      <w:lang w:val="x-none" w:eastAsia="x-none"/>
    </w:rPr>
  </w:style>
  <w:style w:type="character" w:customStyle="1" w:styleId="DocumentMapChar">
    <w:name w:val="Document Map Char"/>
    <w:basedOn w:val="DefaultParagraphFont"/>
    <w:link w:val="DocumentMap"/>
    <w:semiHidden/>
    <w:rsid w:val="00F62913"/>
    <w:rPr>
      <w:rFonts w:ascii="Tahoma" w:eastAsia="Times New Roman" w:hAnsi="Tahoma" w:cs="Times New Roman"/>
      <w:sz w:val="16"/>
      <w:szCs w:val="16"/>
      <w:lang w:val="x-none" w:eastAsia="x-none"/>
    </w:rPr>
  </w:style>
  <w:style w:type="character" w:styleId="CommentReference">
    <w:name w:val="annotation reference"/>
    <w:semiHidden/>
    <w:rsid w:val="00F62913"/>
    <w:rPr>
      <w:rFonts w:cs="Times New Roman"/>
      <w:sz w:val="6"/>
      <w:szCs w:val="6"/>
    </w:rPr>
  </w:style>
  <w:style w:type="paragraph" w:styleId="CommentText">
    <w:name w:val="annotation text"/>
    <w:basedOn w:val="Normal"/>
    <w:link w:val="CommentTextChar"/>
    <w:rsid w:val="00F62913"/>
  </w:style>
  <w:style w:type="character" w:customStyle="1" w:styleId="CommentTextChar">
    <w:name w:val="Comment Text Char"/>
    <w:basedOn w:val="DefaultParagraphFont"/>
    <w:link w:val="CommentText"/>
    <w:rsid w:val="00F629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F62913"/>
    <w:rPr>
      <w:b/>
      <w:bCs/>
      <w:lang w:val="x-none" w:eastAsia="x-none"/>
    </w:rPr>
  </w:style>
  <w:style w:type="character" w:customStyle="1" w:styleId="CommentSubjectChar">
    <w:name w:val="Comment Subject Char"/>
    <w:basedOn w:val="CommentTextChar"/>
    <w:link w:val="CommentSubject"/>
    <w:rsid w:val="00F62913"/>
    <w:rPr>
      <w:rFonts w:ascii="Times New Roman" w:eastAsia="Times New Roman" w:hAnsi="Times New Roman" w:cs="Times New Roman"/>
      <w:b/>
      <w:bCs/>
      <w:sz w:val="20"/>
      <w:szCs w:val="20"/>
      <w:lang w:val="x-none" w:eastAsia="x-none"/>
    </w:rPr>
  </w:style>
  <w:style w:type="character" w:styleId="PageNumber">
    <w:name w:val="page number"/>
    <w:basedOn w:val="DefaultParagraphFont"/>
    <w:semiHidden/>
    <w:rsid w:val="00F62913"/>
  </w:style>
  <w:style w:type="paragraph" w:styleId="BodyText">
    <w:name w:val="Body Text"/>
    <w:basedOn w:val="Normal"/>
    <w:link w:val="BodyTextChar"/>
    <w:semiHidden/>
    <w:rsid w:val="00F62913"/>
    <w:rPr>
      <w:b/>
      <w:bCs/>
      <w:sz w:val="24"/>
    </w:rPr>
  </w:style>
  <w:style w:type="character" w:customStyle="1" w:styleId="BodyTextChar">
    <w:name w:val="Body Text Char"/>
    <w:basedOn w:val="DefaultParagraphFont"/>
    <w:link w:val="BodyText"/>
    <w:semiHidden/>
    <w:rsid w:val="00F62913"/>
    <w:rPr>
      <w:rFonts w:ascii="Times New Roman" w:eastAsia="Times New Roman" w:hAnsi="Times New Roman" w:cs="Times New Roman"/>
      <w:b/>
      <w:bCs/>
      <w:sz w:val="24"/>
      <w:szCs w:val="20"/>
      <w:lang w:val="en-US"/>
    </w:rPr>
  </w:style>
  <w:style w:type="paragraph" w:styleId="BodyText2">
    <w:name w:val="Body Text 2"/>
    <w:basedOn w:val="Normal"/>
    <w:link w:val="BodyText2Char"/>
    <w:semiHidden/>
    <w:rsid w:val="00F62913"/>
    <w:rPr>
      <w:sz w:val="24"/>
    </w:rPr>
  </w:style>
  <w:style w:type="character" w:customStyle="1" w:styleId="BodyText2Char">
    <w:name w:val="Body Text 2 Char"/>
    <w:basedOn w:val="DefaultParagraphFont"/>
    <w:link w:val="BodyText2"/>
    <w:semiHidden/>
    <w:rsid w:val="00F62913"/>
    <w:rPr>
      <w:rFonts w:ascii="Times New Roman" w:eastAsia="Times New Roman" w:hAnsi="Times New Roman" w:cs="Times New Roman"/>
      <w:sz w:val="24"/>
      <w:szCs w:val="20"/>
      <w:lang w:val="en-US"/>
    </w:rPr>
  </w:style>
  <w:style w:type="paragraph" w:styleId="BodyText3">
    <w:name w:val="Body Text 3"/>
    <w:basedOn w:val="Normal"/>
    <w:link w:val="BodyText3Char"/>
    <w:semiHidden/>
    <w:rsid w:val="00F62913"/>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F62913"/>
    <w:rPr>
      <w:rFonts w:ascii="Times New Roman" w:eastAsia="Times New Roman" w:hAnsi="Times New Roman" w:cs="Times New Roman"/>
      <w:sz w:val="24"/>
      <w:szCs w:val="20"/>
      <w:lang w:val="en-US"/>
    </w:rPr>
  </w:style>
  <w:style w:type="character" w:customStyle="1" w:styleId="ListParagraphChar">
    <w:name w:val="List Paragraph Char"/>
    <w:aliases w:val="Ha Char,References Char,paragraph Char,List Paragraph1 Char,references Char,List Paragraph (numbered (a)) Char,WB Para Char,Bullets Char"/>
    <w:link w:val="ListParagraph"/>
    <w:uiPriority w:val="34"/>
    <w:rsid w:val="00F62913"/>
    <w:rPr>
      <w:rFonts w:ascii="Times New Roman" w:eastAsia="Times New Roman" w:hAnsi="Times New Roman" w:cs="Times New Roman"/>
      <w:sz w:val="20"/>
      <w:szCs w:val="20"/>
      <w:lang w:val="en-US"/>
    </w:rPr>
  </w:style>
  <w:style w:type="paragraph" w:customStyle="1" w:styleId="BVIfnrCarCar">
    <w:name w:val="BVI fnr Car Car"/>
    <w:aliases w:val="BVI fnr Car,BVI fnr Car Car Car Car,BVI fnr Char Char Char Char Char Char Char, BVI fnr Car Car, BVI fnr Car Car Car Car, BVI fnr Char Char Char Char Char Char Char"/>
    <w:basedOn w:val="Normal"/>
    <w:link w:val="FootnoteReference"/>
    <w:uiPriority w:val="99"/>
    <w:rsid w:val="00F62913"/>
    <w:pPr>
      <w:spacing w:after="160" w:line="240" w:lineRule="exact"/>
    </w:pPr>
    <w:rPr>
      <w:rFonts w:asciiTheme="minorHAnsi" w:eastAsiaTheme="minorHAnsi" w:hAnsiTheme="minorHAnsi"/>
      <w:sz w:val="22"/>
      <w:szCs w:val="22"/>
      <w:vertAlign w:val="superscript"/>
      <w:lang w:val="en-GB"/>
    </w:rPr>
  </w:style>
  <w:style w:type="paragraph" w:customStyle="1" w:styleId="Default">
    <w:name w:val="Default"/>
    <w:rsid w:val="00F62913"/>
    <w:pPr>
      <w:autoSpaceDE w:val="0"/>
      <w:autoSpaceDN w:val="0"/>
      <w:adjustRightInd w:val="0"/>
      <w:spacing w:after="0" w:line="240" w:lineRule="auto"/>
    </w:pPr>
    <w:rPr>
      <w:rFonts w:ascii="Arial" w:eastAsia="Times New Roman" w:hAnsi="Arial" w:cs="Arial"/>
      <w:color w:val="000000"/>
      <w:sz w:val="24"/>
      <w:szCs w:val="24"/>
      <w:lang w:val="en-US" w:eastAsia="en-GB"/>
    </w:rPr>
  </w:style>
  <w:style w:type="paragraph" w:styleId="BodyTextIndent">
    <w:name w:val="Body Text Indent"/>
    <w:basedOn w:val="Normal"/>
    <w:link w:val="BodyTextIndentChar"/>
    <w:semiHidden/>
    <w:unhideWhenUsed/>
    <w:rsid w:val="00F62913"/>
    <w:pPr>
      <w:spacing w:after="120"/>
      <w:ind w:left="283"/>
    </w:pPr>
  </w:style>
  <w:style w:type="character" w:customStyle="1" w:styleId="BodyTextIndentChar">
    <w:name w:val="Body Text Indent Char"/>
    <w:basedOn w:val="DefaultParagraphFont"/>
    <w:link w:val="BodyTextIndent"/>
    <w:semiHidden/>
    <w:rsid w:val="00F62913"/>
    <w:rPr>
      <w:rFonts w:ascii="Times New Roman" w:eastAsia="Times New Roman" w:hAnsi="Times New Roman" w:cs="Times New Roman"/>
      <w:sz w:val="20"/>
      <w:szCs w:val="20"/>
      <w:lang w:val="en-US"/>
    </w:rPr>
  </w:style>
  <w:style w:type="table" w:styleId="TableGrid">
    <w:name w:val="Table Grid"/>
    <w:basedOn w:val="TableNormal"/>
    <w:uiPriority w:val="39"/>
    <w:rsid w:val="00F629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_level2"/>
    <w:rsid w:val="00F629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pPr>
    <w:rPr>
      <w:rFonts w:ascii="Times New Roman" w:eastAsia="Times New Roman" w:hAnsi="Times New Roman" w:cs="Times New Roman"/>
      <w:sz w:val="24"/>
      <w:szCs w:val="24"/>
      <w:lang w:val="en-US"/>
    </w:rPr>
  </w:style>
  <w:style w:type="paragraph" w:styleId="Revision">
    <w:name w:val="Revision"/>
    <w:hidden/>
    <w:uiPriority w:val="99"/>
    <w:semiHidden/>
    <w:rsid w:val="00F62913"/>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basedOn w:val="DefaultParagraphFont"/>
    <w:semiHidden/>
    <w:unhideWhenUsed/>
    <w:rsid w:val="00F62913"/>
    <w:rPr>
      <w:color w:val="954F72" w:themeColor="followedHyperlink"/>
      <w:u w:val="single"/>
    </w:rPr>
  </w:style>
  <w:style w:type="paragraph" w:styleId="NormalWeb">
    <w:name w:val="Normal (Web)"/>
    <w:basedOn w:val="Normal"/>
    <w:uiPriority w:val="99"/>
    <w:unhideWhenUsed/>
    <w:rsid w:val="00F62913"/>
    <w:rPr>
      <w:sz w:val="24"/>
      <w:szCs w:val="24"/>
    </w:rPr>
  </w:style>
  <w:style w:type="character" w:customStyle="1" w:styleId="apple-converted-space">
    <w:name w:val="apple-converted-space"/>
    <w:basedOn w:val="DefaultParagraphFont"/>
    <w:rsid w:val="00F62913"/>
  </w:style>
  <w:style w:type="paragraph" w:styleId="TOCHeading">
    <w:name w:val="TOC Heading"/>
    <w:basedOn w:val="Heading1"/>
    <w:next w:val="Normal"/>
    <w:uiPriority w:val="39"/>
    <w:unhideWhenUsed/>
    <w:qFormat/>
    <w:rsid w:val="00F62913"/>
    <w:pPr>
      <w:keepLines/>
      <w:widowControl/>
      <w:suppressAutoHyphens w:val="0"/>
      <w:spacing w:before="240" w:line="259" w:lineRule="auto"/>
      <w:outlineLvl w:val="9"/>
    </w:pPr>
    <w:rPr>
      <w:rFonts w:asciiTheme="majorHAnsi" w:eastAsiaTheme="majorEastAsia" w:hAnsiTheme="majorHAnsi" w:cstheme="majorBidi"/>
      <w:b w:val="0"/>
      <w:color w:val="2E74B5" w:themeColor="accent1" w:themeShade="BF"/>
      <w:spacing w:val="0"/>
      <w:sz w:val="32"/>
      <w:szCs w:val="32"/>
      <w:lang w:val="en-US" w:eastAsia="en-US"/>
    </w:rPr>
  </w:style>
  <w:style w:type="paragraph" w:styleId="TOC1">
    <w:name w:val="toc 1"/>
    <w:basedOn w:val="Normal"/>
    <w:next w:val="Normal"/>
    <w:autoRedefine/>
    <w:uiPriority w:val="39"/>
    <w:unhideWhenUsed/>
    <w:rsid w:val="00F62913"/>
    <w:pPr>
      <w:spacing w:after="100"/>
    </w:pPr>
  </w:style>
  <w:style w:type="paragraph" w:styleId="TOC2">
    <w:name w:val="toc 2"/>
    <w:basedOn w:val="Normal"/>
    <w:next w:val="Normal"/>
    <w:autoRedefine/>
    <w:uiPriority w:val="39"/>
    <w:unhideWhenUsed/>
    <w:rsid w:val="00F62913"/>
    <w:pPr>
      <w:spacing w:after="100"/>
      <w:ind w:left="200"/>
    </w:pPr>
  </w:style>
  <w:style w:type="character" w:styleId="Emphasis">
    <w:name w:val="Emphasis"/>
    <w:basedOn w:val="DefaultParagraphFont"/>
    <w:uiPriority w:val="20"/>
    <w:qFormat/>
    <w:rsid w:val="00EE60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21792">
      <w:bodyDiv w:val="1"/>
      <w:marLeft w:val="0"/>
      <w:marRight w:val="0"/>
      <w:marTop w:val="0"/>
      <w:marBottom w:val="0"/>
      <w:divBdr>
        <w:top w:val="none" w:sz="0" w:space="0" w:color="auto"/>
        <w:left w:val="none" w:sz="0" w:space="0" w:color="auto"/>
        <w:bottom w:val="none" w:sz="0" w:space="0" w:color="auto"/>
        <w:right w:val="none" w:sz="0" w:space="0" w:color="auto"/>
      </w:divBdr>
    </w:div>
    <w:div w:id="1118061023">
      <w:bodyDiv w:val="1"/>
      <w:marLeft w:val="0"/>
      <w:marRight w:val="0"/>
      <w:marTop w:val="0"/>
      <w:marBottom w:val="0"/>
      <w:divBdr>
        <w:top w:val="none" w:sz="0" w:space="0" w:color="auto"/>
        <w:left w:val="none" w:sz="0" w:space="0" w:color="auto"/>
        <w:bottom w:val="none" w:sz="0" w:space="0" w:color="auto"/>
        <w:right w:val="none" w:sz="0" w:space="0" w:color="auto"/>
      </w:divBdr>
    </w:div>
    <w:div w:id="1331568442">
      <w:bodyDiv w:val="1"/>
      <w:marLeft w:val="0"/>
      <w:marRight w:val="0"/>
      <w:marTop w:val="0"/>
      <w:marBottom w:val="0"/>
      <w:divBdr>
        <w:top w:val="none" w:sz="0" w:space="0" w:color="auto"/>
        <w:left w:val="none" w:sz="0" w:space="0" w:color="auto"/>
        <w:bottom w:val="none" w:sz="0" w:space="0" w:color="auto"/>
        <w:right w:val="none" w:sz="0" w:space="0" w:color="auto"/>
      </w:divBdr>
    </w:div>
    <w:div w:id="2008629793">
      <w:bodyDiv w:val="1"/>
      <w:marLeft w:val="0"/>
      <w:marRight w:val="0"/>
      <w:marTop w:val="0"/>
      <w:marBottom w:val="0"/>
      <w:divBdr>
        <w:top w:val="none" w:sz="0" w:space="0" w:color="auto"/>
        <w:left w:val="none" w:sz="0" w:space="0" w:color="auto"/>
        <w:bottom w:val="none" w:sz="0" w:space="0" w:color="auto"/>
        <w:right w:val="none" w:sz="0" w:space="0" w:color="auto"/>
      </w:divBdr>
    </w:div>
    <w:div w:id="21347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erc.undp.org/" TargetMode="External"/><Relationship Id="rId2" Type="http://schemas.openxmlformats.org/officeDocument/2006/relationships/hyperlink" Target="http://erc.undp.org/" TargetMode="External"/><Relationship Id="rId1" Type="http://schemas.openxmlformats.org/officeDocument/2006/relationships/hyperlink" Target="http://www.hart-uk.org/blog/conflict-south-sudan-affect-wom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93BDE-2E35-4397-9552-B896B6E2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Lootsma</dc:creator>
  <cp:keywords/>
  <dc:description/>
  <cp:lastModifiedBy>Svetlana Iazykova</cp:lastModifiedBy>
  <cp:revision>5</cp:revision>
  <cp:lastPrinted>2016-03-02T04:25:00Z</cp:lastPrinted>
  <dcterms:created xsi:type="dcterms:W3CDTF">2016-03-04T20:43:00Z</dcterms:created>
  <dcterms:modified xsi:type="dcterms:W3CDTF">2016-03-10T20:21:00Z</dcterms:modified>
</cp:coreProperties>
</file>