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3A" w:rsidRPr="00C8239D" w:rsidRDefault="005A7ABF" w:rsidP="007C003A">
      <w:pPr>
        <w:rPr>
          <w:b/>
          <w:i/>
          <w:color w:val="000000"/>
        </w:rPr>
      </w:pPr>
      <w:r>
        <w:rPr>
          <w:b/>
          <w:bCs/>
          <w:color w:val="000000"/>
        </w:rPr>
        <w:t>ANNEX</w:t>
      </w:r>
      <w:bookmarkStart w:id="0" w:name="_GoBack"/>
      <w:bookmarkEnd w:id="0"/>
      <w:r w:rsidR="007C003A" w:rsidRPr="00C8239D">
        <w:rPr>
          <w:bCs/>
          <w:color w:val="000000"/>
        </w:rPr>
        <w:t xml:space="preserve">. </w:t>
      </w:r>
      <w:r w:rsidR="007C003A" w:rsidRPr="00C8239D">
        <w:rPr>
          <w:b/>
          <w:bCs/>
          <w:color w:val="000000"/>
        </w:rPr>
        <w:t>FULLY-</w:t>
      </w:r>
      <w:r w:rsidR="007C003A" w:rsidRPr="00C8239D">
        <w:rPr>
          <w:b/>
          <w:color w:val="000000"/>
        </w:rPr>
        <w:t xml:space="preserve">COSTED EVALUATION PLAN </w:t>
      </w: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349"/>
        <w:gridCol w:w="1357"/>
        <w:gridCol w:w="1356"/>
        <w:gridCol w:w="1630"/>
        <w:gridCol w:w="1633"/>
        <w:gridCol w:w="1353"/>
        <w:gridCol w:w="1490"/>
        <w:gridCol w:w="1436"/>
        <w:gridCol w:w="1356"/>
      </w:tblGrid>
      <w:tr w:rsidR="007C003A" w:rsidRPr="00C8239D" w:rsidTr="0035179B">
        <w:trPr>
          <w:trHeight w:val="845"/>
        </w:trPr>
        <w:tc>
          <w:tcPr>
            <w:tcW w:w="520"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UNDAF (or equivalent)</w:t>
            </w:r>
          </w:p>
          <w:p w:rsidR="007C003A" w:rsidRPr="00C8239D" w:rsidRDefault="007C003A" w:rsidP="0035179B">
            <w:pPr>
              <w:jc w:val="center"/>
              <w:rPr>
                <w:b/>
                <w:bCs/>
                <w:sz w:val="16"/>
                <w:szCs w:val="16"/>
              </w:rPr>
            </w:pPr>
            <w:r w:rsidRPr="00C8239D">
              <w:rPr>
                <w:b/>
                <w:bCs/>
                <w:sz w:val="16"/>
                <w:szCs w:val="16"/>
              </w:rPr>
              <w:t xml:space="preserve">Outcome </w:t>
            </w:r>
          </w:p>
        </w:tc>
        <w:tc>
          <w:tcPr>
            <w:tcW w:w="523"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UNDP Strategic Plan Outcome</w:t>
            </w:r>
          </w:p>
        </w:tc>
        <w:tc>
          <w:tcPr>
            <w:tcW w:w="523"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Evaluation Title</w:t>
            </w:r>
          </w:p>
        </w:tc>
        <w:tc>
          <w:tcPr>
            <w:tcW w:w="629" w:type="pct"/>
            <w:shd w:val="clear" w:color="auto" w:fill="DEEAF6" w:themeFill="accent1" w:themeFillTint="33"/>
            <w:vAlign w:val="center"/>
          </w:tcPr>
          <w:p w:rsidR="007C003A" w:rsidRPr="00C8239D" w:rsidDel="00BA628C" w:rsidRDefault="007C003A" w:rsidP="0035179B">
            <w:pPr>
              <w:jc w:val="center"/>
              <w:rPr>
                <w:b/>
                <w:bCs/>
                <w:sz w:val="16"/>
                <w:szCs w:val="16"/>
              </w:rPr>
            </w:pPr>
            <w:r w:rsidRPr="00C8239D">
              <w:rPr>
                <w:b/>
                <w:bCs/>
                <w:sz w:val="16"/>
                <w:szCs w:val="16"/>
              </w:rPr>
              <w:t>Partners (joint evaluation)</w:t>
            </w:r>
          </w:p>
        </w:tc>
        <w:tc>
          <w:tcPr>
            <w:tcW w:w="630"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Evaluation commissioned by (if not UNDP)</w:t>
            </w:r>
          </w:p>
        </w:tc>
        <w:tc>
          <w:tcPr>
            <w:tcW w:w="522"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Type of evaluation</w:t>
            </w:r>
          </w:p>
        </w:tc>
        <w:tc>
          <w:tcPr>
            <w:tcW w:w="575"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Planned Evaluation Completion Date</w:t>
            </w:r>
          </w:p>
        </w:tc>
        <w:tc>
          <w:tcPr>
            <w:tcW w:w="554" w:type="pct"/>
            <w:shd w:val="clear" w:color="auto" w:fill="DEEAF6" w:themeFill="accent1" w:themeFillTint="33"/>
            <w:vAlign w:val="center"/>
          </w:tcPr>
          <w:p w:rsidR="007C003A" w:rsidRDefault="007C003A" w:rsidP="0035179B">
            <w:pPr>
              <w:jc w:val="center"/>
              <w:rPr>
                <w:b/>
                <w:bCs/>
                <w:sz w:val="16"/>
                <w:szCs w:val="16"/>
              </w:rPr>
            </w:pPr>
            <w:r w:rsidRPr="00C8239D">
              <w:rPr>
                <w:b/>
                <w:bCs/>
                <w:sz w:val="16"/>
                <w:szCs w:val="16"/>
              </w:rPr>
              <w:t>Estimated Cost</w:t>
            </w:r>
          </w:p>
          <w:p w:rsidR="007C003A" w:rsidRPr="00C8239D" w:rsidRDefault="007C003A" w:rsidP="0035179B">
            <w:pPr>
              <w:jc w:val="center"/>
              <w:rPr>
                <w:b/>
                <w:bCs/>
                <w:sz w:val="16"/>
                <w:szCs w:val="16"/>
              </w:rPr>
            </w:pPr>
            <w:r>
              <w:rPr>
                <w:b/>
                <w:bCs/>
                <w:sz w:val="16"/>
                <w:szCs w:val="16"/>
              </w:rPr>
              <w:t>(USD)</w:t>
            </w:r>
          </w:p>
        </w:tc>
        <w:tc>
          <w:tcPr>
            <w:tcW w:w="523" w:type="pct"/>
            <w:shd w:val="clear" w:color="auto" w:fill="DEEAF6" w:themeFill="accent1" w:themeFillTint="33"/>
            <w:vAlign w:val="center"/>
          </w:tcPr>
          <w:p w:rsidR="007C003A" w:rsidRPr="00C8239D" w:rsidRDefault="007C003A" w:rsidP="0035179B">
            <w:pPr>
              <w:jc w:val="center"/>
              <w:rPr>
                <w:b/>
                <w:bCs/>
                <w:sz w:val="16"/>
                <w:szCs w:val="16"/>
              </w:rPr>
            </w:pPr>
            <w:r w:rsidRPr="00C8239D">
              <w:rPr>
                <w:b/>
                <w:bCs/>
                <w:sz w:val="16"/>
                <w:szCs w:val="16"/>
              </w:rPr>
              <w:t>Provisional Source of Funding</w:t>
            </w:r>
          </w:p>
        </w:tc>
      </w:tr>
      <w:tr w:rsidR="007C003A" w:rsidRPr="00C8239D" w:rsidTr="0035179B">
        <w:trPr>
          <w:trHeight w:val="1850"/>
        </w:trPr>
        <w:tc>
          <w:tcPr>
            <w:tcW w:w="520" w:type="pct"/>
          </w:tcPr>
          <w:p w:rsidR="007C003A" w:rsidRPr="00C8239D" w:rsidRDefault="007C003A" w:rsidP="0035179B">
            <w:pPr>
              <w:rPr>
                <w:sz w:val="16"/>
                <w:szCs w:val="16"/>
              </w:rPr>
            </w:pPr>
            <w:r w:rsidRPr="00C8239D">
              <w:rPr>
                <w:sz w:val="16"/>
                <w:szCs w:val="16"/>
              </w:rPr>
              <w:t>Improved knowledge-based equitable and sustainable development, underpinned by innovation and improved infrastructure</w:t>
            </w:r>
          </w:p>
        </w:tc>
        <w:tc>
          <w:tcPr>
            <w:tcW w:w="523" w:type="pct"/>
          </w:tcPr>
          <w:p w:rsidR="007C003A" w:rsidRPr="00C8239D" w:rsidRDefault="007C003A" w:rsidP="0035179B">
            <w:pPr>
              <w:rPr>
                <w:sz w:val="16"/>
                <w:szCs w:val="16"/>
              </w:rPr>
            </w:pPr>
            <w:r w:rsidRPr="00C8239D">
              <w:rPr>
                <w:sz w:val="16"/>
                <w:szCs w:val="16"/>
              </w:rPr>
              <w:t>Outcome 1:  Growth and development are inclusive and sustainable incorporating productive capacities that create employment and livelihoods for the poor and excluded.</w:t>
            </w:r>
          </w:p>
        </w:tc>
        <w:tc>
          <w:tcPr>
            <w:tcW w:w="523" w:type="pct"/>
          </w:tcPr>
          <w:p w:rsidR="007C003A" w:rsidRPr="00C8239D" w:rsidRDefault="007C003A" w:rsidP="0035179B">
            <w:pPr>
              <w:rPr>
                <w:sz w:val="16"/>
                <w:szCs w:val="16"/>
              </w:rPr>
            </w:pPr>
            <w:r w:rsidRPr="00C8239D">
              <w:rPr>
                <w:sz w:val="16"/>
                <w:szCs w:val="16"/>
              </w:rPr>
              <w:t>Improved knowledge-based equitable and sustainable development, underpinned by innovation and improved infrastructure</w:t>
            </w:r>
          </w:p>
        </w:tc>
        <w:tc>
          <w:tcPr>
            <w:tcW w:w="629" w:type="pct"/>
          </w:tcPr>
          <w:p w:rsidR="007C003A" w:rsidRPr="00C8239D" w:rsidRDefault="007C003A" w:rsidP="0035179B">
            <w:pPr>
              <w:rPr>
                <w:sz w:val="16"/>
                <w:szCs w:val="16"/>
              </w:rPr>
            </w:pPr>
            <w:r w:rsidRPr="00C8239D">
              <w:rPr>
                <w:bCs/>
                <w:sz w:val="16"/>
                <w:szCs w:val="16"/>
              </w:rPr>
              <w:t>Ministry of Economy and Planning, Ministry of Labor, the Human Resources Development Fund and other relevant national partners</w:t>
            </w:r>
            <w:r w:rsidRPr="00C8239D">
              <w:rPr>
                <w:sz w:val="16"/>
                <w:szCs w:val="16"/>
              </w:rPr>
              <w:t>, ILO, WB</w:t>
            </w:r>
          </w:p>
        </w:tc>
        <w:tc>
          <w:tcPr>
            <w:tcW w:w="630" w:type="pct"/>
          </w:tcPr>
          <w:p w:rsidR="007C003A" w:rsidRPr="00C8239D" w:rsidRDefault="007C003A" w:rsidP="0035179B">
            <w:pPr>
              <w:rPr>
                <w:sz w:val="16"/>
                <w:szCs w:val="16"/>
              </w:rPr>
            </w:pPr>
            <w:r w:rsidRPr="00C8239D">
              <w:rPr>
                <w:sz w:val="16"/>
                <w:szCs w:val="16"/>
              </w:rPr>
              <w:t>UNDP</w:t>
            </w:r>
          </w:p>
        </w:tc>
        <w:tc>
          <w:tcPr>
            <w:tcW w:w="522" w:type="pct"/>
          </w:tcPr>
          <w:p w:rsidR="007C003A" w:rsidRPr="00C8239D" w:rsidRDefault="007C003A" w:rsidP="0035179B">
            <w:pPr>
              <w:rPr>
                <w:sz w:val="16"/>
                <w:szCs w:val="16"/>
              </w:rPr>
            </w:pPr>
            <w:r w:rsidRPr="00C8239D">
              <w:rPr>
                <w:sz w:val="16"/>
                <w:szCs w:val="16"/>
              </w:rPr>
              <w:t>Mandatory</w:t>
            </w:r>
            <w:r>
              <w:rPr>
                <w:sz w:val="16"/>
                <w:szCs w:val="16"/>
              </w:rPr>
              <w:t xml:space="preserve"> Outcome </w:t>
            </w:r>
            <w:r w:rsidRPr="00C8239D">
              <w:rPr>
                <w:sz w:val="16"/>
                <w:szCs w:val="16"/>
              </w:rPr>
              <w:t>Mid-term evaluation</w:t>
            </w:r>
          </w:p>
        </w:tc>
        <w:tc>
          <w:tcPr>
            <w:tcW w:w="575" w:type="pct"/>
          </w:tcPr>
          <w:p w:rsidR="007C003A" w:rsidRPr="00C8239D" w:rsidRDefault="007C003A" w:rsidP="0035179B">
            <w:pPr>
              <w:spacing w:before="40" w:after="40"/>
              <w:rPr>
                <w:sz w:val="16"/>
                <w:szCs w:val="16"/>
              </w:rPr>
            </w:pPr>
            <w:r w:rsidRPr="00C8239D">
              <w:rPr>
                <w:sz w:val="16"/>
                <w:szCs w:val="16"/>
              </w:rPr>
              <w:t>December 2019</w:t>
            </w:r>
          </w:p>
        </w:tc>
        <w:tc>
          <w:tcPr>
            <w:tcW w:w="554" w:type="pct"/>
          </w:tcPr>
          <w:p w:rsidR="007C003A" w:rsidRPr="00C8239D" w:rsidRDefault="007C003A" w:rsidP="0035179B">
            <w:pPr>
              <w:rPr>
                <w:sz w:val="16"/>
                <w:szCs w:val="16"/>
              </w:rPr>
            </w:pPr>
            <w:r w:rsidRPr="00C8239D">
              <w:rPr>
                <w:sz w:val="16"/>
                <w:szCs w:val="16"/>
              </w:rPr>
              <w:t>35000</w:t>
            </w:r>
          </w:p>
        </w:tc>
        <w:tc>
          <w:tcPr>
            <w:tcW w:w="523" w:type="pct"/>
          </w:tcPr>
          <w:p w:rsidR="007C003A" w:rsidRPr="00C8239D" w:rsidRDefault="007C003A" w:rsidP="0035179B">
            <w:pPr>
              <w:rPr>
                <w:sz w:val="16"/>
                <w:szCs w:val="16"/>
                <w:lang w:eastAsia="uk-UA"/>
              </w:rPr>
            </w:pPr>
            <w:r w:rsidRPr="00C8239D">
              <w:rPr>
                <w:sz w:val="16"/>
                <w:szCs w:val="16"/>
                <w:lang w:eastAsia="uk-UA"/>
              </w:rPr>
              <w:t>UNDP Office M&amp; E Budget</w:t>
            </w:r>
          </w:p>
        </w:tc>
      </w:tr>
      <w:tr w:rsidR="007C003A" w:rsidRPr="00C8239D" w:rsidTr="0035179B">
        <w:trPr>
          <w:trHeight w:val="490"/>
        </w:trPr>
        <w:tc>
          <w:tcPr>
            <w:tcW w:w="520" w:type="pct"/>
          </w:tcPr>
          <w:p w:rsidR="007C003A" w:rsidRPr="00C8239D" w:rsidRDefault="007C003A" w:rsidP="0035179B">
            <w:pPr>
              <w:rPr>
                <w:sz w:val="16"/>
                <w:szCs w:val="16"/>
              </w:rPr>
            </w:pPr>
            <w:r w:rsidRPr="00C8239D">
              <w:rPr>
                <w:sz w:val="16"/>
                <w:szCs w:val="16"/>
              </w:rPr>
              <w:t>Public sector strengthened through improved efficiency, effectiveness, equity and accountability</w:t>
            </w:r>
          </w:p>
        </w:tc>
        <w:tc>
          <w:tcPr>
            <w:tcW w:w="523" w:type="pct"/>
          </w:tcPr>
          <w:p w:rsidR="007C003A" w:rsidRPr="00C8239D" w:rsidRDefault="007C003A" w:rsidP="0035179B">
            <w:pPr>
              <w:rPr>
                <w:sz w:val="16"/>
                <w:szCs w:val="16"/>
              </w:rPr>
            </w:pPr>
            <w:r w:rsidRPr="00C8239D">
              <w:rPr>
                <w:sz w:val="16"/>
                <w:szCs w:val="16"/>
              </w:rPr>
              <w:t>Outcome 3: Countries have strengthened institutions to progressively deliver universal access to basic services</w:t>
            </w:r>
          </w:p>
        </w:tc>
        <w:tc>
          <w:tcPr>
            <w:tcW w:w="523" w:type="pct"/>
          </w:tcPr>
          <w:p w:rsidR="007C003A" w:rsidRPr="00C8239D" w:rsidRDefault="007C003A" w:rsidP="0035179B">
            <w:pPr>
              <w:rPr>
                <w:sz w:val="16"/>
                <w:szCs w:val="16"/>
              </w:rPr>
            </w:pPr>
            <w:r w:rsidRPr="00C8239D">
              <w:rPr>
                <w:sz w:val="16"/>
                <w:szCs w:val="16"/>
              </w:rPr>
              <w:t>Public sector strengthened through improved efficiency, effectiveness, equity and accountability</w:t>
            </w:r>
          </w:p>
        </w:tc>
        <w:tc>
          <w:tcPr>
            <w:tcW w:w="629" w:type="pct"/>
          </w:tcPr>
          <w:p w:rsidR="007C003A" w:rsidRPr="00DC01DD" w:rsidRDefault="007C003A" w:rsidP="0035179B">
            <w:pPr>
              <w:rPr>
                <w:sz w:val="16"/>
                <w:szCs w:val="16"/>
              </w:rPr>
            </w:pPr>
            <w:r w:rsidRPr="00DC01DD">
              <w:rPr>
                <w:sz w:val="16"/>
                <w:szCs w:val="16"/>
              </w:rPr>
              <w:t xml:space="preserve">Central Department of Statistics and Information (CDSI),  </w:t>
            </w:r>
          </w:p>
          <w:p w:rsidR="007C003A" w:rsidRPr="00DC01DD" w:rsidRDefault="007C003A" w:rsidP="0035179B">
            <w:pPr>
              <w:rPr>
                <w:sz w:val="16"/>
                <w:szCs w:val="16"/>
              </w:rPr>
            </w:pPr>
            <w:r w:rsidRPr="00DC01DD">
              <w:rPr>
                <w:sz w:val="16"/>
                <w:szCs w:val="16"/>
              </w:rPr>
              <w:t xml:space="preserve">CEDA, </w:t>
            </w:r>
          </w:p>
          <w:p w:rsidR="007C003A" w:rsidRPr="00DC01DD" w:rsidRDefault="007C003A" w:rsidP="0035179B">
            <w:pPr>
              <w:rPr>
                <w:sz w:val="16"/>
                <w:szCs w:val="16"/>
              </w:rPr>
            </w:pPr>
            <w:r w:rsidRPr="00DC01DD">
              <w:rPr>
                <w:sz w:val="16"/>
                <w:szCs w:val="16"/>
              </w:rPr>
              <w:t xml:space="preserve">Ministry of Social Affairs (MoSA),  </w:t>
            </w:r>
          </w:p>
          <w:p w:rsidR="007C003A" w:rsidRPr="00DC01DD" w:rsidRDefault="007C003A" w:rsidP="0035179B">
            <w:pPr>
              <w:rPr>
                <w:sz w:val="16"/>
                <w:szCs w:val="16"/>
              </w:rPr>
            </w:pPr>
            <w:r w:rsidRPr="00DC01DD">
              <w:rPr>
                <w:sz w:val="16"/>
                <w:szCs w:val="16"/>
              </w:rPr>
              <w:t>Ministry of Civil Service, Arriyad Development Authority (ADA)</w:t>
            </w:r>
          </w:p>
          <w:p w:rsidR="007C003A" w:rsidRPr="00DC01DD" w:rsidRDefault="007C003A" w:rsidP="0035179B">
            <w:pPr>
              <w:rPr>
                <w:sz w:val="16"/>
                <w:szCs w:val="16"/>
              </w:rPr>
            </w:pPr>
            <w:r w:rsidRPr="00DC01DD">
              <w:rPr>
                <w:sz w:val="16"/>
                <w:szCs w:val="16"/>
              </w:rPr>
              <w:t>UNDESA</w:t>
            </w:r>
          </w:p>
          <w:p w:rsidR="007C003A" w:rsidRPr="00DC01DD" w:rsidRDefault="007C003A" w:rsidP="0035179B">
            <w:pPr>
              <w:rPr>
                <w:sz w:val="16"/>
                <w:szCs w:val="16"/>
              </w:rPr>
            </w:pPr>
            <w:r w:rsidRPr="00DC01DD">
              <w:rPr>
                <w:sz w:val="16"/>
                <w:szCs w:val="16"/>
              </w:rPr>
              <w:t>ESCWA</w:t>
            </w:r>
          </w:p>
          <w:p w:rsidR="007C003A" w:rsidRPr="00DC01DD" w:rsidRDefault="007C003A" w:rsidP="0035179B">
            <w:pPr>
              <w:rPr>
                <w:sz w:val="16"/>
                <w:szCs w:val="16"/>
              </w:rPr>
            </w:pPr>
            <w:r w:rsidRPr="00DC01DD">
              <w:rPr>
                <w:sz w:val="16"/>
                <w:szCs w:val="16"/>
              </w:rPr>
              <w:t>UNFPA</w:t>
            </w:r>
          </w:p>
          <w:p w:rsidR="007C003A" w:rsidRPr="00C8239D" w:rsidRDefault="007C003A" w:rsidP="0035179B">
            <w:pPr>
              <w:rPr>
                <w:sz w:val="16"/>
                <w:szCs w:val="16"/>
              </w:rPr>
            </w:pPr>
            <w:r w:rsidRPr="00DC01DD">
              <w:rPr>
                <w:sz w:val="16"/>
                <w:szCs w:val="16"/>
              </w:rPr>
              <w:t>UNITAR</w:t>
            </w:r>
          </w:p>
        </w:tc>
        <w:tc>
          <w:tcPr>
            <w:tcW w:w="630" w:type="pct"/>
          </w:tcPr>
          <w:p w:rsidR="007C003A" w:rsidRPr="00C8239D" w:rsidRDefault="007C003A" w:rsidP="0035179B">
            <w:pPr>
              <w:rPr>
                <w:sz w:val="16"/>
                <w:szCs w:val="16"/>
              </w:rPr>
            </w:pPr>
            <w:r w:rsidRPr="00C8239D">
              <w:rPr>
                <w:sz w:val="16"/>
                <w:szCs w:val="16"/>
              </w:rPr>
              <w:t>UNDP</w:t>
            </w:r>
          </w:p>
        </w:tc>
        <w:tc>
          <w:tcPr>
            <w:tcW w:w="522" w:type="pct"/>
          </w:tcPr>
          <w:p w:rsidR="007C003A" w:rsidRPr="00C8239D" w:rsidRDefault="007C003A" w:rsidP="0035179B">
            <w:pPr>
              <w:rPr>
                <w:sz w:val="16"/>
                <w:szCs w:val="16"/>
              </w:rPr>
            </w:pPr>
            <w:r w:rsidRPr="00C8239D">
              <w:rPr>
                <w:sz w:val="16"/>
                <w:szCs w:val="16"/>
              </w:rPr>
              <w:t>Mandatory</w:t>
            </w:r>
            <w:r>
              <w:rPr>
                <w:sz w:val="16"/>
                <w:szCs w:val="16"/>
              </w:rPr>
              <w:t xml:space="preserve"> Outcome</w:t>
            </w:r>
            <w:r w:rsidRPr="00C8239D">
              <w:rPr>
                <w:sz w:val="16"/>
                <w:szCs w:val="16"/>
              </w:rPr>
              <w:t xml:space="preserve"> Mid-term evaluation</w:t>
            </w:r>
          </w:p>
        </w:tc>
        <w:tc>
          <w:tcPr>
            <w:tcW w:w="575" w:type="pct"/>
          </w:tcPr>
          <w:p w:rsidR="007C003A" w:rsidRPr="00C8239D" w:rsidRDefault="007C003A" w:rsidP="0035179B">
            <w:pPr>
              <w:spacing w:before="40" w:after="40"/>
              <w:rPr>
                <w:sz w:val="16"/>
                <w:szCs w:val="16"/>
              </w:rPr>
            </w:pPr>
            <w:r w:rsidRPr="00C8239D">
              <w:rPr>
                <w:sz w:val="16"/>
                <w:szCs w:val="16"/>
              </w:rPr>
              <w:t>June 2020</w:t>
            </w:r>
          </w:p>
        </w:tc>
        <w:tc>
          <w:tcPr>
            <w:tcW w:w="554" w:type="pct"/>
          </w:tcPr>
          <w:p w:rsidR="007C003A" w:rsidRPr="00C8239D" w:rsidRDefault="007C003A" w:rsidP="0035179B">
            <w:pPr>
              <w:rPr>
                <w:sz w:val="16"/>
                <w:szCs w:val="16"/>
              </w:rPr>
            </w:pPr>
            <w:r w:rsidRPr="00C8239D">
              <w:rPr>
                <w:sz w:val="16"/>
                <w:szCs w:val="16"/>
              </w:rPr>
              <w:t>35000</w:t>
            </w:r>
          </w:p>
        </w:tc>
        <w:tc>
          <w:tcPr>
            <w:tcW w:w="523" w:type="pct"/>
          </w:tcPr>
          <w:p w:rsidR="007C003A" w:rsidRPr="00C8239D" w:rsidRDefault="007C003A" w:rsidP="0035179B">
            <w:pPr>
              <w:rPr>
                <w:sz w:val="16"/>
                <w:szCs w:val="16"/>
                <w:lang w:eastAsia="uk-UA"/>
              </w:rPr>
            </w:pPr>
            <w:r w:rsidRPr="00C8239D">
              <w:rPr>
                <w:sz w:val="16"/>
                <w:szCs w:val="16"/>
                <w:lang w:eastAsia="uk-UA"/>
              </w:rPr>
              <w:t>UNDP Office M&amp; E Budget</w:t>
            </w:r>
          </w:p>
        </w:tc>
      </w:tr>
      <w:tr w:rsidR="007C003A" w:rsidRPr="00C8239D" w:rsidTr="0035179B">
        <w:trPr>
          <w:trHeight w:val="490"/>
        </w:trPr>
        <w:tc>
          <w:tcPr>
            <w:tcW w:w="520" w:type="pct"/>
          </w:tcPr>
          <w:p w:rsidR="007C003A" w:rsidRPr="00C8239D" w:rsidRDefault="007C003A" w:rsidP="0035179B">
            <w:pPr>
              <w:rPr>
                <w:sz w:val="16"/>
                <w:szCs w:val="16"/>
              </w:rPr>
            </w:pPr>
            <w:r w:rsidRPr="00C8239D">
              <w:rPr>
                <w:sz w:val="16"/>
                <w:szCs w:val="16"/>
              </w:rPr>
              <w:t>Improved management of non-oil Natural Resources and preservation of Culture and Heritage</w:t>
            </w:r>
          </w:p>
        </w:tc>
        <w:tc>
          <w:tcPr>
            <w:tcW w:w="523" w:type="pct"/>
          </w:tcPr>
          <w:p w:rsidR="007C003A" w:rsidRPr="00C8239D" w:rsidRDefault="007C003A" w:rsidP="0035179B">
            <w:pPr>
              <w:rPr>
                <w:sz w:val="16"/>
                <w:szCs w:val="16"/>
              </w:rPr>
            </w:pPr>
            <w:r w:rsidRPr="00C8239D">
              <w:rPr>
                <w:sz w:val="16"/>
                <w:szCs w:val="16"/>
              </w:rPr>
              <w:t>Outcome 1: Growth and development are inclusive and sustainable incorporating productive capacities that create employment and livelihoods for the poor and excluded</w:t>
            </w:r>
          </w:p>
        </w:tc>
        <w:tc>
          <w:tcPr>
            <w:tcW w:w="523" w:type="pct"/>
          </w:tcPr>
          <w:p w:rsidR="007C003A" w:rsidRPr="00C8239D" w:rsidRDefault="007C003A" w:rsidP="0035179B">
            <w:pPr>
              <w:rPr>
                <w:sz w:val="16"/>
                <w:szCs w:val="16"/>
              </w:rPr>
            </w:pPr>
            <w:r w:rsidRPr="00C8239D">
              <w:rPr>
                <w:sz w:val="16"/>
                <w:szCs w:val="16"/>
              </w:rPr>
              <w:t>Improved management of non-oil Natural Resources and preservation of Culture and Heritage</w:t>
            </w:r>
          </w:p>
        </w:tc>
        <w:tc>
          <w:tcPr>
            <w:tcW w:w="629" w:type="pct"/>
          </w:tcPr>
          <w:p w:rsidR="007C003A" w:rsidRPr="00C8239D" w:rsidRDefault="007C003A" w:rsidP="0035179B">
            <w:pPr>
              <w:rPr>
                <w:sz w:val="16"/>
                <w:szCs w:val="16"/>
              </w:rPr>
            </w:pPr>
            <w:r w:rsidRPr="00C8239D">
              <w:rPr>
                <w:bCs/>
                <w:sz w:val="16"/>
                <w:szCs w:val="16"/>
              </w:rPr>
              <w:t xml:space="preserve">Ministry of Economy and Planning, Saudi Commission for Tourism and Heritage, Ministry of Petroleum and Minerals (Focal Point to United Nations Convention on Climate Change), the Saudi Energy Efficiency Center, Ministry of Water and Electricity, the Saudi Wildlife Authority (Focal Point on the </w:t>
            </w:r>
            <w:r w:rsidRPr="00C8239D">
              <w:rPr>
                <w:bCs/>
                <w:sz w:val="16"/>
                <w:szCs w:val="16"/>
              </w:rPr>
              <w:lastRenderedPageBreak/>
              <w:t xml:space="preserve">Convention on Biodiversity) and the Presidency of Meteorology and Environment (Focal Point for the Global Environment Facility).  </w:t>
            </w:r>
          </w:p>
        </w:tc>
        <w:tc>
          <w:tcPr>
            <w:tcW w:w="630" w:type="pct"/>
          </w:tcPr>
          <w:p w:rsidR="007C003A" w:rsidRPr="00C8239D" w:rsidRDefault="007C003A" w:rsidP="0035179B">
            <w:pPr>
              <w:rPr>
                <w:sz w:val="16"/>
                <w:szCs w:val="16"/>
              </w:rPr>
            </w:pPr>
            <w:r w:rsidRPr="00C8239D">
              <w:rPr>
                <w:sz w:val="16"/>
                <w:szCs w:val="16"/>
              </w:rPr>
              <w:lastRenderedPageBreak/>
              <w:t>UNDP</w:t>
            </w:r>
          </w:p>
        </w:tc>
        <w:tc>
          <w:tcPr>
            <w:tcW w:w="522" w:type="pct"/>
          </w:tcPr>
          <w:p w:rsidR="007C003A" w:rsidRPr="00C8239D" w:rsidRDefault="007C003A" w:rsidP="0035179B">
            <w:pPr>
              <w:rPr>
                <w:sz w:val="16"/>
                <w:szCs w:val="16"/>
              </w:rPr>
            </w:pPr>
            <w:r w:rsidRPr="00C8239D">
              <w:rPr>
                <w:sz w:val="16"/>
                <w:szCs w:val="16"/>
              </w:rPr>
              <w:t xml:space="preserve">Mandatory </w:t>
            </w:r>
            <w:r>
              <w:rPr>
                <w:sz w:val="16"/>
                <w:szCs w:val="16"/>
              </w:rPr>
              <w:t xml:space="preserve">Outcome </w:t>
            </w:r>
            <w:r w:rsidRPr="00C8239D">
              <w:rPr>
                <w:sz w:val="16"/>
                <w:szCs w:val="16"/>
              </w:rPr>
              <w:t>Mid-term evaluation</w:t>
            </w:r>
          </w:p>
        </w:tc>
        <w:tc>
          <w:tcPr>
            <w:tcW w:w="575" w:type="pct"/>
          </w:tcPr>
          <w:p w:rsidR="007C003A" w:rsidRPr="00C8239D" w:rsidRDefault="007C003A" w:rsidP="0035179B">
            <w:pPr>
              <w:spacing w:before="40" w:after="40"/>
              <w:rPr>
                <w:sz w:val="16"/>
                <w:szCs w:val="16"/>
              </w:rPr>
            </w:pPr>
            <w:r w:rsidRPr="00C8239D">
              <w:rPr>
                <w:sz w:val="16"/>
                <w:szCs w:val="16"/>
              </w:rPr>
              <w:t>December 2018</w:t>
            </w:r>
          </w:p>
        </w:tc>
        <w:tc>
          <w:tcPr>
            <w:tcW w:w="554" w:type="pct"/>
          </w:tcPr>
          <w:p w:rsidR="007C003A" w:rsidRPr="00C8239D" w:rsidRDefault="007C003A" w:rsidP="0035179B">
            <w:pPr>
              <w:rPr>
                <w:sz w:val="16"/>
                <w:szCs w:val="16"/>
              </w:rPr>
            </w:pPr>
            <w:r w:rsidRPr="00C8239D">
              <w:rPr>
                <w:sz w:val="16"/>
                <w:szCs w:val="16"/>
              </w:rPr>
              <w:t>30000</w:t>
            </w:r>
          </w:p>
        </w:tc>
        <w:tc>
          <w:tcPr>
            <w:tcW w:w="523" w:type="pct"/>
          </w:tcPr>
          <w:p w:rsidR="007C003A" w:rsidRPr="00C8239D" w:rsidRDefault="007C003A" w:rsidP="0035179B">
            <w:pPr>
              <w:rPr>
                <w:sz w:val="16"/>
                <w:szCs w:val="16"/>
                <w:lang w:eastAsia="uk-UA"/>
              </w:rPr>
            </w:pPr>
            <w:r w:rsidRPr="00C8239D">
              <w:rPr>
                <w:sz w:val="16"/>
                <w:szCs w:val="16"/>
                <w:lang w:eastAsia="uk-UA"/>
              </w:rPr>
              <w:t>UNDP Office M&amp; E Budget</w:t>
            </w:r>
          </w:p>
        </w:tc>
      </w:tr>
    </w:tbl>
    <w:p w:rsidR="00D91270" w:rsidRDefault="00D152A3"/>
    <w:sectPr w:rsidR="00D91270" w:rsidSect="007C003A">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A3" w:rsidRDefault="00D152A3">
      <w:r>
        <w:separator/>
      </w:r>
    </w:p>
  </w:endnote>
  <w:endnote w:type="continuationSeparator" w:id="0">
    <w:p w:rsidR="00D152A3" w:rsidRDefault="00D1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05" w:rsidRDefault="007C0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A41405" w:rsidRDefault="00D15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05" w:rsidRDefault="007C0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ABF">
      <w:rPr>
        <w:rStyle w:val="PageNumber"/>
        <w:noProof/>
      </w:rPr>
      <w:t>2</w:t>
    </w:r>
    <w:r>
      <w:rPr>
        <w:rStyle w:val="PageNumber"/>
      </w:rPr>
      <w:fldChar w:fldCharType="end"/>
    </w:r>
  </w:p>
  <w:p w:rsidR="00A41405" w:rsidRDefault="00D152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A3" w:rsidRDefault="00D152A3">
      <w:r>
        <w:separator/>
      </w:r>
    </w:p>
  </w:footnote>
  <w:footnote w:type="continuationSeparator" w:id="0">
    <w:p w:rsidR="00D152A3" w:rsidRDefault="00D1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A"/>
    <w:rsid w:val="000623DB"/>
    <w:rsid w:val="000D295E"/>
    <w:rsid w:val="005A7ABF"/>
    <w:rsid w:val="007C003A"/>
    <w:rsid w:val="00D1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8529-C6F3-4148-AFA2-8A7F0EF6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003A"/>
    <w:pPr>
      <w:tabs>
        <w:tab w:val="center" w:pos="4320"/>
        <w:tab w:val="right" w:pos="8640"/>
      </w:tabs>
    </w:pPr>
    <w:rPr>
      <w:lang w:val="x-none" w:eastAsia="x-none"/>
    </w:rPr>
  </w:style>
  <w:style w:type="character" w:customStyle="1" w:styleId="FooterChar">
    <w:name w:val="Footer Char"/>
    <w:basedOn w:val="DefaultParagraphFont"/>
    <w:link w:val="Footer"/>
    <w:rsid w:val="007C003A"/>
    <w:rPr>
      <w:rFonts w:ascii="Times New Roman" w:eastAsia="Times New Roman" w:hAnsi="Times New Roman" w:cs="Times New Roman"/>
      <w:sz w:val="20"/>
      <w:szCs w:val="20"/>
      <w:lang w:val="x-none" w:eastAsia="x-none"/>
    </w:rPr>
  </w:style>
  <w:style w:type="character" w:styleId="PageNumber">
    <w:name w:val="page number"/>
    <w:basedOn w:val="DefaultParagraphFont"/>
    <w:semiHidden/>
    <w:rsid w:val="007C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2018</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Svetlana Iazykova</cp:lastModifiedBy>
  <cp:revision>2</cp:revision>
  <dcterms:created xsi:type="dcterms:W3CDTF">2016-05-16T15:26:00Z</dcterms:created>
  <dcterms:modified xsi:type="dcterms:W3CDTF">2016-05-16T15:26:00Z</dcterms:modified>
</cp:coreProperties>
</file>