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6C7A9E" w14:textId="77777777" w:rsidR="00AA6568" w:rsidRPr="003A103F" w:rsidRDefault="00AA6568" w:rsidP="00AA6568">
      <w:pPr>
        <w:rPr>
          <w:sz w:val="36"/>
        </w:rPr>
      </w:pPr>
      <w:bookmarkStart w:id="0" w:name="_GoBack"/>
      <w:bookmarkEnd w:id="0"/>
      <w:r>
        <w:rPr>
          <w:lang w:val="en-US"/>
        </w:rPr>
        <w:drawing>
          <wp:anchor distT="0" distB="0" distL="114300" distR="114300" simplePos="0" relativeHeight="251659264" behindDoc="0" locked="0" layoutInCell="1" allowOverlap="1" wp14:anchorId="090E05DF" wp14:editId="7A03FFAB">
            <wp:simplePos x="0" y="0"/>
            <wp:positionH relativeFrom="margin">
              <wp:align>left</wp:align>
            </wp:positionH>
            <wp:positionV relativeFrom="paragraph">
              <wp:align>top</wp:align>
            </wp:positionV>
            <wp:extent cx="1419225" cy="1231900"/>
            <wp:effectExtent l="0" t="0" r="9525" b="635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9225" cy="12319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lang w:val="en-US"/>
        </w:rPr>
        <w:drawing>
          <wp:anchor distT="0" distB="0" distL="114300" distR="114300" simplePos="0" relativeHeight="251660288" behindDoc="0" locked="0" layoutInCell="1" allowOverlap="1" wp14:anchorId="06744427" wp14:editId="3567378D">
            <wp:simplePos x="0" y="0"/>
            <wp:positionH relativeFrom="column">
              <wp:posOffset>5186680</wp:posOffset>
            </wp:positionH>
            <wp:positionV relativeFrom="paragraph">
              <wp:posOffset>635</wp:posOffset>
            </wp:positionV>
            <wp:extent cx="1132205" cy="1361440"/>
            <wp:effectExtent l="0" t="0" r="0" b="0"/>
            <wp:wrapThrough wrapText="bothSides">
              <wp:wrapPolygon edited="0">
                <wp:start x="0" y="0"/>
                <wp:lineTo x="0" y="21157"/>
                <wp:lineTo x="21079" y="21157"/>
                <wp:lineTo x="21079" y="0"/>
                <wp:lineTo x="0" y="0"/>
              </wp:wrapPolygon>
            </wp:wrapThrough>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32205" cy="13614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36"/>
        </w:rPr>
        <w:t xml:space="preserve">                                                      </w:t>
      </w:r>
      <w:r>
        <w:rPr>
          <w:sz w:val="36"/>
        </w:rPr>
        <w:br w:type="textWrapping" w:clear="all"/>
      </w:r>
    </w:p>
    <w:p w14:paraId="0AA8B833" w14:textId="77777777" w:rsidR="00AA6568" w:rsidRPr="003A103F" w:rsidRDefault="00AA6568" w:rsidP="00AA6568">
      <w:pPr>
        <w:jc w:val="center"/>
        <w:rPr>
          <w:sz w:val="36"/>
        </w:rPr>
      </w:pPr>
    </w:p>
    <w:p w14:paraId="05AF23DE" w14:textId="77777777" w:rsidR="00AA6568" w:rsidRPr="003A103F" w:rsidRDefault="00AA6568" w:rsidP="00AA6568">
      <w:pPr>
        <w:jc w:val="center"/>
        <w:rPr>
          <w:sz w:val="36"/>
        </w:rPr>
      </w:pPr>
    </w:p>
    <w:p w14:paraId="2AFFBCFD" w14:textId="77777777" w:rsidR="00AA6568" w:rsidRPr="003A103F" w:rsidRDefault="00AA6568" w:rsidP="00AA6568">
      <w:pPr>
        <w:jc w:val="center"/>
        <w:rPr>
          <w:sz w:val="36"/>
        </w:rPr>
      </w:pPr>
    </w:p>
    <w:p w14:paraId="3001F85F" w14:textId="77777777" w:rsidR="00AA6568" w:rsidRPr="003A103F" w:rsidRDefault="00AA6568" w:rsidP="00AA6568">
      <w:pPr>
        <w:jc w:val="center"/>
        <w:rPr>
          <w:sz w:val="36"/>
        </w:rPr>
      </w:pPr>
    </w:p>
    <w:p w14:paraId="56A232C5" w14:textId="77777777" w:rsidR="00AA6568" w:rsidRPr="003A103F" w:rsidRDefault="00AA6568" w:rsidP="00AA6568">
      <w:pPr>
        <w:jc w:val="center"/>
        <w:rPr>
          <w:sz w:val="36"/>
        </w:rPr>
      </w:pPr>
    </w:p>
    <w:p w14:paraId="27829CBD" w14:textId="77777777" w:rsidR="00AA6568" w:rsidRPr="003A103F" w:rsidRDefault="00AA6568" w:rsidP="00AA6568">
      <w:pPr>
        <w:jc w:val="center"/>
        <w:rPr>
          <w:sz w:val="36"/>
        </w:rPr>
      </w:pPr>
    </w:p>
    <w:p w14:paraId="58C3CB16" w14:textId="77777777" w:rsidR="00AA6568" w:rsidRPr="003A103F" w:rsidRDefault="00AA6568" w:rsidP="00AA6568">
      <w:pPr>
        <w:tabs>
          <w:tab w:val="left" w:pos="6781"/>
        </w:tabs>
        <w:rPr>
          <w:sz w:val="36"/>
        </w:rPr>
      </w:pPr>
      <w:r>
        <w:rPr>
          <w:sz w:val="36"/>
        </w:rPr>
        <w:tab/>
      </w:r>
    </w:p>
    <w:p w14:paraId="6A52EF52" w14:textId="77777777" w:rsidR="00AA6568" w:rsidRDefault="00AA6568" w:rsidP="00AA6568">
      <w:pPr>
        <w:jc w:val="center"/>
        <w:rPr>
          <w:sz w:val="36"/>
        </w:rPr>
      </w:pPr>
      <w:r w:rsidRPr="003A103F">
        <w:rPr>
          <w:sz w:val="36"/>
        </w:rPr>
        <w:t>PLAN CADRE DES NATIONS UNIES D’ASSISTANCE AU DEVELOPPEMENT</w:t>
      </w:r>
      <w:r>
        <w:rPr>
          <w:sz w:val="36"/>
        </w:rPr>
        <w:t xml:space="preserve"> </w:t>
      </w:r>
      <w:r w:rsidRPr="003A103F">
        <w:rPr>
          <w:sz w:val="36"/>
        </w:rPr>
        <w:t>(UNDAF)</w:t>
      </w:r>
      <w:r>
        <w:rPr>
          <w:sz w:val="36"/>
        </w:rPr>
        <w:t xml:space="preserve"> - TCHAD</w:t>
      </w:r>
    </w:p>
    <w:p w14:paraId="0AB3FEF3" w14:textId="77777777" w:rsidR="00AA6568" w:rsidRPr="003A103F" w:rsidRDefault="00AA6568" w:rsidP="00AA6568">
      <w:pPr>
        <w:jc w:val="center"/>
        <w:rPr>
          <w:sz w:val="36"/>
        </w:rPr>
      </w:pPr>
      <w:r w:rsidRPr="003A103F">
        <w:rPr>
          <w:sz w:val="36"/>
        </w:rPr>
        <w:t xml:space="preserve"> 2017-2021</w:t>
      </w:r>
    </w:p>
    <w:p w14:paraId="364861CE" w14:textId="77777777" w:rsidR="00AA6568" w:rsidRPr="00596D1A" w:rsidRDefault="00AA6568" w:rsidP="00AA6568">
      <w:pPr>
        <w:rPr>
          <w:rFonts w:ascii="Times New Roman" w:hAnsi="Times New Roman"/>
          <w:sz w:val="48"/>
          <w:szCs w:val="48"/>
        </w:rPr>
      </w:pPr>
    </w:p>
    <w:p w14:paraId="11DCF827" w14:textId="77777777" w:rsidR="00AA6568" w:rsidRDefault="00AA6568" w:rsidP="00AA6568"/>
    <w:p w14:paraId="65289B40" w14:textId="77777777" w:rsidR="00AA6568" w:rsidRDefault="00AA6568" w:rsidP="00AA6568"/>
    <w:p w14:paraId="61D8D119" w14:textId="77777777" w:rsidR="00AA6568" w:rsidRDefault="00AA6568" w:rsidP="00AA6568"/>
    <w:p w14:paraId="55DA86AB" w14:textId="77777777" w:rsidR="00AA6568" w:rsidRDefault="00AA6568" w:rsidP="00AA6568"/>
    <w:p w14:paraId="3B6D3F1D" w14:textId="77777777" w:rsidR="00AA6568" w:rsidRDefault="00AA6568" w:rsidP="00AA6568"/>
    <w:p w14:paraId="691B1213" w14:textId="77777777" w:rsidR="00AA6568" w:rsidRDefault="00AA6568" w:rsidP="00AA6568"/>
    <w:p w14:paraId="4E915B3D" w14:textId="77777777" w:rsidR="00AA6568" w:rsidRDefault="00AA6568" w:rsidP="00AA6568"/>
    <w:p w14:paraId="3966020F" w14:textId="77777777" w:rsidR="004A77F5" w:rsidRDefault="004A77F5"/>
    <w:p w14:paraId="1969DD8E" w14:textId="77777777" w:rsidR="00AA6568" w:rsidRDefault="00AA6568"/>
    <w:p w14:paraId="0D655DD7" w14:textId="77777777" w:rsidR="00AA6568" w:rsidRPr="002A057B" w:rsidRDefault="00AA6568" w:rsidP="00AA6568">
      <w:pPr>
        <w:pStyle w:val="Heading2"/>
        <w:pBdr>
          <w:bottom w:val="single" w:sz="4" w:space="1" w:color="auto"/>
        </w:pBdr>
        <w:jc w:val="left"/>
        <w:rPr>
          <w:i/>
        </w:rPr>
      </w:pPr>
      <w:bookmarkStart w:id="1" w:name="_Toc197153560"/>
      <w:bookmarkStart w:id="2" w:name="_Toc367893284"/>
      <w:bookmarkStart w:id="3" w:name="_Toc455604592"/>
      <w:bookmarkStart w:id="4" w:name="_Toc456889032"/>
      <w:bookmarkStart w:id="5" w:name="_Toc459363392"/>
      <w:r w:rsidRPr="002A057B">
        <w:lastRenderedPageBreak/>
        <w:t>Liste des Sigles et Abréviations</w:t>
      </w:r>
      <w:bookmarkEnd w:id="1"/>
      <w:bookmarkEnd w:id="2"/>
      <w:bookmarkEnd w:id="3"/>
      <w:bookmarkEnd w:id="4"/>
      <w:bookmarkEnd w:id="5"/>
    </w:p>
    <w:p w14:paraId="04CDBF00" w14:textId="77777777" w:rsidR="00AA6568" w:rsidRDefault="00AA6568" w:rsidP="00AA6568"/>
    <w:p w14:paraId="642517D3" w14:textId="5397E055" w:rsidR="00AA6568" w:rsidRDefault="00AA6568"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AGIR</w:t>
      </w:r>
      <w:r w:rsidR="003F4E29">
        <w:rPr>
          <w:rFonts w:ascii="Times New Roman" w:eastAsia="Times New Roman" w:hAnsi="Times New Roman"/>
          <w:bCs/>
          <w:noProof w:val="0"/>
          <w:sz w:val="24"/>
          <w:szCs w:val="24"/>
          <w:lang w:eastAsia="fr-FR"/>
        </w:rPr>
        <w:t xml:space="preserve">                          Alliance globale pour la résilience</w:t>
      </w:r>
    </w:p>
    <w:p w14:paraId="7E0FD5A9"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AGR</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Activités Génératrices de Revenus</w:t>
      </w:r>
    </w:p>
    <w:p w14:paraId="4084B6B2" w14:textId="77777777" w:rsidR="00AA6568"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AIEA</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Agence Internationale de l'Energie Atomique</w:t>
      </w:r>
    </w:p>
    <w:p w14:paraId="3E619FB5"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C4D</w:t>
      </w:r>
      <w:r>
        <w:rPr>
          <w:rFonts w:ascii="Times New Roman" w:eastAsia="Times New Roman" w:hAnsi="Times New Roman"/>
          <w:bCs/>
          <w:noProof w:val="0"/>
          <w:sz w:val="24"/>
          <w:szCs w:val="24"/>
          <w:lang w:eastAsia="fr-FR"/>
        </w:rPr>
        <w:tab/>
      </w:r>
      <w:r>
        <w:rPr>
          <w:rFonts w:ascii="Times New Roman" w:eastAsia="Times New Roman" w:hAnsi="Times New Roman"/>
          <w:bCs/>
          <w:noProof w:val="0"/>
          <w:sz w:val="24"/>
          <w:szCs w:val="24"/>
          <w:lang w:eastAsia="fr-FR"/>
        </w:rPr>
        <w:tab/>
      </w:r>
      <w:r>
        <w:rPr>
          <w:rFonts w:ascii="Times New Roman" w:eastAsia="Times New Roman" w:hAnsi="Times New Roman"/>
          <w:bCs/>
          <w:noProof w:val="0"/>
          <w:sz w:val="24"/>
          <w:szCs w:val="24"/>
          <w:lang w:eastAsia="fr-FR"/>
        </w:rPr>
        <w:tab/>
        <w:t>Communication pour le développement</w:t>
      </w:r>
    </w:p>
    <w:p w14:paraId="4238C2D0" w14:textId="77777777" w:rsidR="00AA6568" w:rsidRPr="000318CE" w:rsidRDefault="00AA6568" w:rsidP="00AA6568">
      <w:pPr>
        <w:spacing w:after="0" w:line="240" w:lineRule="auto"/>
        <w:rPr>
          <w:rFonts w:ascii="Times New Roman" w:eastAsia="Times New Roman" w:hAnsi="Times New Roman"/>
          <w:bCs/>
          <w:noProof w:val="0"/>
          <w:sz w:val="24"/>
          <w:szCs w:val="24"/>
          <w:lang w:eastAsia="fr-FR"/>
        </w:rPr>
      </w:pPr>
      <w:r w:rsidRPr="000318CE">
        <w:rPr>
          <w:rFonts w:ascii="Times New Roman" w:eastAsia="Times New Roman" w:hAnsi="Times New Roman"/>
          <w:bCs/>
          <w:noProof w:val="0"/>
          <w:sz w:val="24"/>
          <w:szCs w:val="24"/>
          <w:lang w:eastAsia="fr-FR"/>
        </w:rPr>
        <w:t>DaO</w:t>
      </w:r>
      <w:r w:rsidRPr="000318CE">
        <w:rPr>
          <w:rFonts w:ascii="Times New Roman" w:eastAsia="Times New Roman" w:hAnsi="Times New Roman"/>
          <w:bCs/>
          <w:noProof w:val="0"/>
          <w:sz w:val="24"/>
          <w:szCs w:val="24"/>
          <w:lang w:eastAsia="fr-FR"/>
        </w:rPr>
        <w:tab/>
      </w:r>
      <w:r w:rsidRPr="000318CE">
        <w:rPr>
          <w:rFonts w:ascii="Times New Roman" w:eastAsia="Times New Roman" w:hAnsi="Times New Roman"/>
          <w:bCs/>
          <w:noProof w:val="0"/>
          <w:sz w:val="24"/>
          <w:szCs w:val="24"/>
          <w:lang w:eastAsia="fr-FR"/>
        </w:rPr>
        <w:tab/>
      </w:r>
      <w:r w:rsidRPr="000318CE">
        <w:rPr>
          <w:rFonts w:ascii="Times New Roman" w:eastAsia="Times New Roman" w:hAnsi="Times New Roman"/>
          <w:bCs/>
          <w:noProof w:val="0"/>
          <w:sz w:val="24"/>
          <w:szCs w:val="24"/>
          <w:lang w:eastAsia="fr-FR"/>
        </w:rPr>
        <w:tab/>
        <w:t>Delivering As One</w:t>
      </w:r>
    </w:p>
    <w:p w14:paraId="16967A29" w14:textId="77777777" w:rsidR="00AA6568" w:rsidRPr="00ED655A" w:rsidRDefault="00AA6568" w:rsidP="00AA6568">
      <w:pPr>
        <w:spacing w:after="0" w:line="240" w:lineRule="auto"/>
        <w:ind w:left="2130" w:hanging="2130"/>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FACE</w:t>
      </w:r>
      <w:r w:rsidRPr="00ED655A">
        <w:rPr>
          <w:rFonts w:ascii="Times New Roman" w:eastAsia="Times New Roman" w:hAnsi="Times New Roman"/>
          <w:bCs/>
          <w:noProof w:val="0"/>
          <w:sz w:val="24"/>
          <w:szCs w:val="24"/>
          <w:lang w:eastAsia="fr-FR"/>
        </w:rPr>
        <w:tab/>
        <w:t>Formulaire d’Autorisation de financement et de Confirmation des Dépenses</w:t>
      </w:r>
    </w:p>
    <w:p w14:paraId="25D92D25"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FAO</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 pour l’Agriculture et l’Alimentation</w:t>
      </w:r>
    </w:p>
    <w:p w14:paraId="17A5AB67"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GAR</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Gestion Axée sur les Résultats</w:t>
      </w:r>
    </w:p>
    <w:p w14:paraId="49AD426B" w14:textId="77777777" w:rsidR="00AA6568" w:rsidRPr="00ED655A" w:rsidRDefault="00AA6568" w:rsidP="00AA6568">
      <w:pPr>
        <w:spacing w:after="0" w:line="240" w:lineRule="auto"/>
        <w:ind w:left="2124" w:hanging="2124"/>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HACT</w:t>
      </w:r>
      <w:r w:rsidRPr="00ED655A">
        <w:rPr>
          <w:rFonts w:ascii="Times New Roman" w:eastAsia="Times New Roman" w:hAnsi="Times New Roman"/>
          <w:bCs/>
          <w:noProof w:val="0"/>
          <w:sz w:val="24"/>
          <w:szCs w:val="24"/>
          <w:lang w:eastAsia="fr-FR"/>
        </w:rPr>
        <w:tab/>
        <w:t>Approche Harmonisée de Remise d’Espèces aux Partenaires d’Exécution</w:t>
      </w:r>
    </w:p>
    <w:p w14:paraId="16D9DEF6" w14:textId="77777777" w:rsidR="00AA6568"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IDH</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Indice de Développement Humain</w:t>
      </w:r>
    </w:p>
    <w:p w14:paraId="0485EFFA" w14:textId="21540E28" w:rsidR="003F4E29" w:rsidRPr="00ED655A" w:rsidRDefault="003F4E29"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MGF                           Mutilation Génitale Féminine</w:t>
      </w:r>
    </w:p>
    <w:p w14:paraId="3F4B3FE9"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NU</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 xml:space="preserve">Nations Unies </w:t>
      </w:r>
    </w:p>
    <w:p w14:paraId="44DF9E7E"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OCHA</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 xml:space="preserve">Bureau de Coordination des Affaires Humanitaires </w:t>
      </w:r>
    </w:p>
    <w:p w14:paraId="51D0213D"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OIM</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 Internationale pour les Migrations</w:t>
      </w:r>
    </w:p>
    <w:p w14:paraId="3897F65B"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OIT</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 xml:space="preserve">Organisation Internationale du Travail </w:t>
      </w:r>
    </w:p>
    <w:p w14:paraId="38D2C8B1"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OMD</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Objectifs du Millénaire pour le Développement</w:t>
      </w:r>
    </w:p>
    <w:p w14:paraId="0969FAA8"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OMS</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 Mondiale de la Santé</w:t>
      </w:r>
    </w:p>
    <w:p w14:paraId="41C1B607"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ONUDI</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 des Nations Unies pour le Développement Industriel</w:t>
      </w:r>
    </w:p>
    <w:p w14:paraId="3F7110D2"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ONU-FEMMES</w:t>
      </w:r>
      <w:r w:rsidRPr="00ED655A">
        <w:rPr>
          <w:rFonts w:ascii="Times New Roman" w:eastAsia="Times New Roman" w:hAnsi="Times New Roman"/>
          <w:bCs/>
          <w:noProof w:val="0"/>
          <w:sz w:val="18"/>
          <w:szCs w:val="24"/>
          <w:lang w:eastAsia="fr-FR"/>
        </w:rPr>
        <w:tab/>
      </w:r>
      <w:r w:rsidRPr="00ED655A">
        <w:rPr>
          <w:rFonts w:ascii="Times New Roman" w:eastAsia="Times New Roman" w:hAnsi="Times New Roman"/>
          <w:bCs/>
          <w:noProof w:val="0"/>
          <w:sz w:val="24"/>
          <w:szCs w:val="24"/>
          <w:lang w:eastAsia="fr-FR"/>
        </w:rPr>
        <w:t>Organisation des Nations Unies pour les Femmes</w:t>
      </w:r>
    </w:p>
    <w:p w14:paraId="6F9F1FCD"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 xml:space="preserve">ONU-Habitat  </w:t>
      </w:r>
      <w:r w:rsidRPr="00ED655A">
        <w:rPr>
          <w:rFonts w:ascii="Times New Roman" w:eastAsia="Times New Roman" w:hAnsi="Times New Roman"/>
          <w:bCs/>
          <w:noProof w:val="0"/>
          <w:sz w:val="24"/>
          <w:szCs w:val="24"/>
          <w:lang w:eastAsia="fr-FR"/>
        </w:rPr>
        <w:tab/>
        <w:t>Programmes des Nations Unies pour les Etablissements Humains</w:t>
      </w:r>
    </w:p>
    <w:p w14:paraId="469401AB"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ONUSIDA</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Programme Commun des Nations Unies sur le VIH/SIDA</w:t>
      </w:r>
    </w:p>
    <w:p w14:paraId="3710E340"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OSC</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Organisations de la Société Civile</w:t>
      </w:r>
    </w:p>
    <w:p w14:paraId="1DEAD7D5"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PAM</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Programme Alimentaire Mondial</w:t>
      </w:r>
    </w:p>
    <w:p w14:paraId="5566C817"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PIB</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Produit Intérieur Brut</w:t>
      </w:r>
    </w:p>
    <w:p w14:paraId="6316FFA8"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PNUE                         Programme des Nations Unies pour l’Environnement</w:t>
      </w:r>
    </w:p>
    <w:p w14:paraId="045AC00E"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PNUD</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Programme des Nations Unies pour le Développement</w:t>
      </w:r>
    </w:p>
    <w:p w14:paraId="28867B68"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PTF</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Partenaires Techniques et Financiers</w:t>
      </w:r>
    </w:p>
    <w:p w14:paraId="4A38FF9A" w14:textId="77777777" w:rsidR="00E219F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PTME</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Protection contre la Transmission Mère Enfant</w:t>
      </w:r>
    </w:p>
    <w:p w14:paraId="07B280FA"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SINUS</w:t>
      </w:r>
      <w:r w:rsidR="001F7D49">
        <w:rPr>
          <w:rFonts w:ascii="Times New Roman" w:eastAsia="Times New Roman" w:hAnsi="Times New Roman"/>
          <w:bCs/>
          <w:noProof w:val="0"/>
          <w:sz w:val="24"/>
          <w:szCs w:val="24"/>
          <w:lang w:eastAsia="fr-FR"/>
        </w:rPr>
        <w:t xml:space="preserve">                        Stratégie Intégrée des Nations Unies pour le Sahel</w:t>
      </w:r>
    </w:p>
    <w:p w14:paraId="660ABBFA"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SNU</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Système des Nations Unies</w:t>
      </w:r>
    </w:p>
    <w:p w14:paraId="44DA58C3"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SR</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Santé de la Reproduction</w:t>
      </w:r>
    </w:p>
    <w:p w14:paraId="078BFCBF"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SSB</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Services Sociaux de Base</w:t>
      </w:r>
    </w:p>
    <w:p w14:paraId="206BDEF1" w14:textId="77777777" w:rsidR="00AA6568" w:rsidRPr="00955CB3" w:rsidRDefault="00AA6568" w:rsidP="00AA6568">
      <w:pPr>
        <w:spacing w:after="0" w:line="240" w:lineRule="auto"/>
        <w:rPr>
          <w:rFonts w:ascii="Times New Roman" w:hAnsi="Times New Roman"/>
          <w:sz w:val="24"/>
        </w:rPr>
      </w:pPr>
      <w:r w:rsidRPr="00955CB3">
        <w:rPr>
          <w:rFonts w:ascii="Times New Roman" w:hAnsi="Times New Roman"/>
          <w:sz w:val="24"/>
        </w:rPr>
        <w:t>UNCDF</w:t>
      </w:r>
      <w:r w:rsidRPr="00955CB3">
        <w:rPr>
          <w:rFonts w:ascii="Times New Roman" w:hAnsi="Times New Roman"/>
          <w:sz w:val="24"/>
        </w:rPr>
        <w:tab/>
      </w:r>
      <w:r w:rsidRPr="00955CB3">
        <w:rPr>
          <w:rFonts w:ascii="Times New Roman" w:hAnsi="Times New Roman"/>
          <w:sz w:val="24"/>
        </w:rPr>
        <w:tab/>
        <w:t>UN Capital Development Fund</w:t>
      </w:r>
    </w:p>
    <w:p w14:paraId="655475D3"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UNDAF</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Plan Cadre des Nations Unies pour l’Assistance au Développement</w:t>
      </w:r>
    </w:p>
    <w:p w14:paraId="74391B48" w14:textId="77777777" w:rsidR="00AA6568" w:rsidRPr="00ED655A" w:rsidRDefault="00AA6568" w:rsidP="00AA6568">
      <w:pPr>
        <w:spacing w:after="0" w:line="240" w:lineRule="auto"/>
        <w:ind w:left="2124" w:hanging="2124"/>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UNESCO</w:t>
      </w:r>
      <w:r w:rsidRPr="00ED655A">
        <w:rPr>
          <w:rFonts w:ascii="Times New Roman" w:eastAsia="Times New Roman" w:hAnsi="Times New Roman"/>
          <w:bCs/>
          <w:noProof w:val="0"/>
          <w:sz w:val="24"/>
          <w:szCs w:val="24"/>
          <w:lang w:eastAsia="fr-FR"/>
        </w:rPr>
        <w:tab/>
        <w:t>Organisation des Nations Unies pour l’Education, la Science et la Culture</w:t>
      </w:r>
    </w:p>
    <w:p w14:paraId="4DD88E1E"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UNFPA</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Fonds des Nations Unies pour la Population</w:t>
      </w:r>
    </w:p>
    <w:p w14:paraId="07D10392"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UNHCR</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Haut-Commissariat des Nations Unies pour les Réfugiés</w:t>
      </w:r>
    </w:p>
    <w:p w14:paraId="7882B660" w14:textId="77777777"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UNICEF</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Fonds des Nations Unies pour l’Enfance</w:t>
      </w:r>
    </w:p>
    <w:p w14:paraId="499B85DF" w14:textId="77777777" w:rsidR="00AA6568"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UNODC</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Organisation des Nations Unies contre le Crime et la Drogue</w:t>
      </w:r>
    </w:p>
    <w:p w14:paraId="4B993F92" w14:textId="206B3953" w:rsidR="003F4E29" w:rsidRPr="00ED655A" w:rsidRDefault="003F4E29" w:rsidP="00AA6568">
      <w:pPr>
        <w:spacing w:after="0" w:line="240" w:lineRule="auto"/>
        <w:rPr>
          <w:rFonts w:ascii="Times New Roman" w:eastAsia="Times New Roman" w:hAnsi="Times New Roman"/>
          <w:bCs/>
          <w:noProof w:val="0"/>
          <w:sz w:val="24"/>
          <w:szCs w:val="24"/>
          <w:lang w:eastAsia="fr-FR"/>
        </w:rPr>
      </w:pPr>
      <w:r>
        <w:rPr>
          <w:rFonts w:ascii="Times New Roman" w:eastAsia="Times New Roman" w:hAnsi="Times New Roman"/>
          <w:bCs/>
          <w:noProof w:val="0"/>
          <w:sz w:val="24"/>
          <w:szCs w:val="24"/>
          <w:lang w:eastAsia="fr-FR"/>
        </w:rPr>
        <w:t>VBG                           Violences basées sur le Niger</w:t>
      </w:r>
    </w:p>
    <w:p w14:paraId="6E6BA5BC" w14:textId="665E9AF1" w:rsidR="00AA6568" w:rsidRPr="00ED655A" w:rsidRDefault="00AA6568"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VIH/sida</w:t>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Virus d’Immuno-Déficience Humaine/</w:t>
      </w:r>
      <w:r w:rsidR="003F4E29" w:rsidRPr="00ED655A">
        <w:rPr>
          <w:rFonts w:ascii="Times New Roman" w:eastAsia="Times New Roman" w:hAnsi="Times New Roman"/>
          <w:bCs/>
          <w:noProof w:val="0"/>
          <w:sz w:val="24"/>
          <w:szCs w:val="24"/>
          <w:lang w:eastAsia="fr-FR"/>
        </w:rPr>
        <w:t>syndrome d’immuno-déficience</w:t>
      </w:r>
    </w:p>
    <w:p w14:paraId="32C20274" w14:textId="63ACF7C4" w:rsidR="00AA6568" w:rsidRPr="00ED655A" w:rsidRDefault="003F4E29" w:rsidP="00AA6568">
      <w:pPr>
        <w:spacing w:after="0" w:line="240" w:lineRule="auto"/>
        <w:rPr>
          <w:rFonts w:ascii="Times New Roman" w:eastAsia="Times New Roman" w:hAnsi="Times New Roman"/>
          <w:bCs/>
          <w:noProof w:val="0"/>
          <w:sz w:val="24"/>
          <w:szCs w:val="24"/>
          <w:lang w:eastAsia="fr-FR"/>
        </w:rPr>
      </w:pP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r>
      <w:r w:rsidRPr="00ED655A">
        <w:rPr>
          <w:rFonts w:ascii="Times New Roman" w:eastAsia="Times New Roman" w:hAnsi="Times New Roman"/>
          <w:bCs/>
          <w:noProof w:val="0"/>
          <w:sz w:val="24"/>
          <w:szCs w:val="24"/>
          <w:lang w:eastAsia="fr-FR"/>
        </w:rPr>
        <w:tab/>
        <w:t>acquise</w:t>
      </w:r>
    </w:p>
    <w:p w14:paraId="57E4D802" w14:textId="77777777" w:rsidR="00AA6568" w:rsidRDefault="00AA6568" w:rsidP="00AA6568"/>
    <w:p w14:paraId="013FA397" w14:textId="77777777" w:rsidR="00AA6568" w:rsidRDefault="00AA6568" w:rsidP="00AA6568">
      <w:pPr>
        <w:sectPr w:rsidR="00AA6568">
          <w:footerReference w:type="default" r:id="rId10"/>
          <w:pgSz w:w="11906" w:h="16838"/>
          <w:pgMar w:top="1417" w:right="1417" w:bottom="1417" w:left="1417" w:header="708" w:footer="708" w:gutter="0"/>
          <w:cols w:space="708"/>
          <w:docGrid w:linePitch="360"/>
        </w:sectPr>
      </w:pPr>
    </w:p>
    <w:p w14:paraId="400337A2" w14:textId="567A0F1A" w:rsidR="006411FF" w:rsidRPr="006411FF" w:rsidRDefault="006411FF" w:rsidP="006411FF">
      <w:pPr>
        <w:pStyle w:val="Heading2"/>
        <w:pBdr>
          <w:bottom w:val="single" w:sz="4" w:space="1" w:color="auto"/>
        </w:pBdr>
        <w:jc w:val="left"/>
      </w:pPr>
      <w:bookmarkStart w:id="6" w:name="_Toc459363393"/>
      <w:r w:rsidRPr="006411FF">
        <w:lastRenderedPageBreak/>
        <w:t>Avant propos</w:t>
      </w:r>
      <w:bookmarkEnd w:id="6"/>
    </w:p>
    <w:p w14:paraId="4BC5647D" w14:textId="77777777" w:rsidR="00A9008D" w:rsidRDefault="006411FF" w:rsidP="006411FF">
      <w:pPr>
        <w:jc w:val="both"/>
        <w:rPr>
          <w:rFonts w:ascii="Times New Roman" w:hAnsi="Times New Roman"/>
        </w:rPr>
      </w:pPr>
      <w:r w:rsidRPr="000318CE">
        <w:rPr>
          <w:rFonts w:ascii="Times New Roman" w:hAnsi="Times New Roman"/>
        </w:rPr>
        <w:t>Le plan cadre des Nations Unies d’assistance au développement (</w:t>
      </w:r>
      <w:r>
        <w:rPr>
          <w:rFonts w:ascii="Times New Roman" w:hAnsi="Times New Roman"/>
        </w:rPr>
        <w:t xml:space="preserve">UNDAF </w:t>
      </w:r>
      <w:r w:rsidRPr="000318CE">
        <w:rPr>
          <w:rFonts w:ascii="Times New Roman" w:hAnsi="Times New Roman"/>
        </w:rPr>
        <w:t xml:space="preserve">2017-2021) </w:t>
      </w:r>
      <w:r>
        <w:rPr>
          <w:rFonts w:ascii="Times New Roman" w:hAnsi="Times New Roman"/>
        </w:rPr>
        <w:t xml:space="preserve">constitue la réponse consolidée du système des Nations Unies aux défis du développement du Tchad. Il est formulé dans un contexte particulier, marqué d’une part, par la sortie de crises du pays et d’autre part, par la formulation pour la première fois, d’un plan de développement à long terme, la « Vision 2030 », </w:t>
      </w:r>
      <w:r w:rsidR="00B20455">
        <w:rPr>
          <w:rFonts w:ascii="Times New Roman" w:hAnsi="Times New Roman"/>
        </w:rPr>
        <w:t>« </w:t>
      </w:r>
      <w:r>
        <w:rPr>
          <w:rFonts w:ascii="Times New Roman" w:hAnsi="Times New Roman"/>
        </w:rPr>
        <w:t>le Tchad que nous voulons</w:t>
      </w:r>
      <w:r w:rsidR="00B20455">
        <w:rPr>
          <w:rFonts w:ascii="Times New Roman" w:hAnsi="Times New Roman"/>
        </w:rPr>
        <w:t> » !</w:t>
      </w:r>
      <w:r>
        <w:rPr>
          <w:rFonts w:ascii="Times New Roman" w:hAnsi="Times New Roman"/>
        </w:rPr>
        <w:t xml:space="preserve"> </w:t>
      </w:r>
    </w:p>
    <w:p w14:paraId="75C0AC51" w14:textId="5A4DBE3B" w:rsidR="006411FF" w:rsidRDefault="006411FF" w:rsidP="006411FF">
      <w:pPr>
        <w:jc w:val="both"/>
        <w:rPr>
          <w:rFonts w:ascii="Times New Roman" w:hAnsi="Times New Roman"/>
        </w:rPr>
      </w:pPr>
      <w:r>
        <w:rPr>
          <w:rFonts w:ascii="Times New Roman" w:hAnsi="Times New Roman"/>
        </w:rPr>
        <w:t>L’UNDAF 2017-2021 est</w:t>
      </w:r>
      <w:r w:rsidR="004B4C4D">
        <w:rPr>
          <w:rFonts w:ascii="Times New Roman" w:hAnsi="Times New Roman"/>
        </w:rPr>
        <w:t>, en effet,</w:t>
      </w:r>
      <w:r>
        <w:rPr>
          <w:rFonts w:ascii="Times New Roman" w:hAnsi="Times New Roman"/>
        </w:rPr>
        <w:t xml:space="preserve"> </w:t>
      </w:r>
      <w:r w:rsidR="00A9008D">
        <w:rPr>
          <w:rFonts w:ascii="Times New Roman" w:hAnsi="Times New Roman"/>
        </w:rPr>
        <w:t>élaboré</w:t>
      </w:r>
      <w:r>
        <w:rPr>
          <w:rFonts w:ascii="Times New Roman" w:hAnsi="Times New Roman"/>
        </w:rPr>
        <w:t xml:space="preserve"> à la suite de la Vision 2030 et sa déclinaison le plan quinquennal 2016-2020 dont il s’approprie l’analyse de situation et les orientations stratégiques. Cet UNDAF se nourrit aussi, des stratégies régionales dont la </w:t>
      </w:r>
      <w:r w:rsidRPr="0067658C">
        <w:rPr>
          <w:rFonts w:ascii="Times New Roman" w:hAnsi="Times New Roman"/>
        </w:rPr>
        <w:t>Stratégie Intégrée des Nations Unies pour le Sahel</w:t>
      </w:r>
      <w:r>
        <w:rPr>
          <w:rFonts w:ascii="Times New Roman" w:hAnsi="Times New Roman"/>
        </w:rPr>
        <w:t xml:space="preserve"> (SINUS) et les priorités pays </w:t>
      </w:r>
      <w:r w:rsidR="00363E0F">
        <w:rPr>
          <w:rFonts w:ascii="Times New Roman" w:hAnsi="Times New Roman"/>
        </w:rPr>
        <w:t xml:space="preserve"> relatives à l’</w:t>
      </w:r>
      <w:r w:rsidR="00363E0F" w:rsidRPr="00363E0F">
        <w:rPr>
          <w:rFonts w:ascii="Times New Roman" w:hAnsi="Times New Roman"/>
        </w:rPr>
        <w:t>Alliance Globale pour la Résilience</w:t>
      </w:r>
      <w:r w:rsidR="00A9008D">
        <w:rPr>
          <w:rFonts w:ascii="Times New Roman" w:hAnsi="Times New Roman"/>
        </w:rPr>
        <w:t xml:space="preserve"> (</w:t>
      </w:r>
      <w:r>
        <w:rPr>
          <w:rFonts w:ascii="Times New Roman" w:hAnsi="Times New Roman"/>
        </w:rPr>
        <w:t>AGIR</w:t>
      </w:r>
      <w:r w:rsidR="00A9008D">
        <w:rPr>
          <w:rFonts w:ascii="Times New Roman" w:hAnsi="Times New Roman"/>
        </w:rPr>
        <w:t>)</w:t>
      </w:r>
      <w:r>
        <w:rPr>
          <w:rFonts w:ascii="Times New Roman" w:hAnsi="Times New Roman"/>
        </w:rPr>
        <w:t>.</w:t>
      </w:r>
      <w:r w:rsidR="00B20455">
        <w:rPr>
          <w:rFonts w:ascii="Times New Roman" w:hAnsi="Times New Roman"/>
        </w:rPr>
        <w:t xml:space="preserve"> </w:t>
      </w:r>
      <w:r>
        <w:rPr>
          <w:rFonts w:ascii="Times New Roman" w:hAnsi="Times New Roman"/>
        </w:rPr>
        <w:t xml:space="preserve">Il est enrichi par l’adoption récente des Objectifs de Développement Durables (ODD) qui ont été adaptés aux besoins et réalités nationaux, les leçons tirées de la mise en œuvre des cadres stratégiques intérimaires du SNU et des rapports d’évaluation des OMD. </w:t>
      </w:r>
    </w:p>
    <w:p w14:paraId="7B9F8793" w14:textId="10FD4287" w:rsidR="006411FF" w:rsidRDefault="006411FF" w:rsidP="006411FF">
      <w:pPr>
        <w:jc w:val="both"/>
        <w:rPr>
          <w:rFonts w:ascii="Times New Roman" w:hAnsi="Times New Roman"/>
        </w:rPr>
      </w:pPr>
      <w:r>
        <w:rPr>
          <w:rFonts w:ascii="Times New Roman" w:hAnsi="Times New Roman"/>
        </w:rPr>
        <w:t xml:space="preserve">Sur la base de ses avantages comparatifs, en tenant compte des principes de programmation du système des Nations Unies, des thématiques émergentes de développement dans le contexte Tchadien particulièrement en ce qui concerne la thématique </w:t>
      </w:r>
      <w:r w:rsidRPr="00D94003">
        <w:rPr>
          <w:rFonts w:ascii="Times New Roman" w:hAnsi="Times New Roman"/>
        </w:rPr>
        <w:t>jeunesse-emploi-radicalisation</w:t>
      </w:r>
      <w:r>
        <w:rPr>
          <w:rFonts w:ascii="Times New Roman" w:hAnsi="Times New Roman"/>
        </w:rPr>
        <w:t>, le SNU en appui au gouvernement, compte</w:t>
      </w:r>
      <w:r w:rsidR="00B20455">
        <w:rPr>
          <w:rFonts w:ascii="Times New Roman" w:hAnsi="Times New Roman"/>
        </w:rPr>
        <w:t>,</w:t>
      </w:r>
      <w:r>
        <w:rPr>
          <w:rFonts w:ascii="Times New Roman" w:hAnsi="Times New Roman"/>
        </w:rPr>
        <w:t xml:space="preserve"> d’ici 2021 contribuer au développement du capital humain, au renforcement de la protection des groupes cibles les plus vulnérables, à l’amélioration de la gestion des crises et catastrophes, à la durabilité, et à la promotion de la gouvernance, de la paix et de la sécurité.</w:t>
      </w:r>
      <w:r w:rsidR="00B20455">
        <w:rPr>
          <w:rFonts w:ascii="Times New Roman" w:hAnsi="Times New Roman"/>
        </w:rPr>
        <w:t xml:space="preserve"> Le SNU entend ainsi œuvrer à l’amélioration significative du développement humain au Tchad.</w:t>
      </w:r>
    </w:p>
    <w:p w14:paraId="3220FED3" w14:textId="77777777" w:rsidR="006411FF" w:rsidRDefault="006411FF" w:rsidP="006411FF">
      <w:pPr>
        <w:jc w:val="both"/>
        <w:rPr>
          <w:rFonts w:ascii="Times New Roman" w:hAnsi="Times New Roman"/>
        </w:rPr>
      </w:pPr>
      <w:r>
        <w:rPr>
          <w:rFonts w:ascii="Times New Roman" w:hAnsi="Times New Roman"/>
        </w:rPr>
        <w:t>Pour ce faire, en partenariat avec le gouvernement, le SNU entend intégrer la réponse humanitaire dans l’UNDAF en veillant à une adresse simultanée des défis liés aux questions humanitaires et de développement, ce, à travers une approche différenciée des groupes cibles et des besoins, une définition des zones d’intervention prioritaires ou zones de convergences et la mise en place de stratégies intégrées.</w:t>
      </w:r>
    </w:p>
    <w:p w14:paraId="36DCB833" w14:textId="77777777" w:rsidR="006411FF" w:rsidRDefault="006411FF" w:rsidP="006411FF">
      <w:pPr>
        <w:jc w:val="both"/>
        <w:rPr>
          <w:rFonts w:ascii="Times New Roman" w:hAnsi="Times New Roman"/>
        </w:rPr>
      </w:pPr>
      <w:r>
        <w:rPr>
          <w:rFonts w:ascii="Times New Roman" w:hAnsi="Times New Roman"/>
        </w:rPr>
        <w:t>Ce plan cadre a été formulé grâce à un travail itératif et participatif qui a vu l’implication des plus hauts cadres de l’Administration Tchadienne, des acteurs de la société civile, des représentants des partenaires techniques et financiers et des agences du système des Nations Unies. Nous remercions tous les acteurs pour leur mobilisation au cours des travaux qui nous ont permis assurément de construire la route vers « le Tchad que nous voulons » !</w:t>
      </w:r>
    </w:p>
    <w:p w14:paraId="0FB696D9" w14:textId="77777777" w:rsidR="006411FF" w:rsidRPr="000318CE" w:rsidRDefault="006411FF" w:rsidP="006411FF">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672"/>
      </w:tblGrid>
      <w:tr w:rsidR="006411FF" w:rsidRPr="00862219" w14:paraId="321F1308" w14:textId="77777777" w:rsidTr="006411FF">
        <w:tc>
          <w:tcPr>
            <w:tcW w:w="4390" w:type="dxa"/>
            <w:shd w:val="clear" w:color="auto" w:fill="auto"/>
          </w:tcPr>
          <w:p w14:paraId="4C93444F" w14:textId="7D967294" w:rsidR="006411FF" w:rsidRPr="00B77A50" w:rsidRDefault="006411FF" w:rsidP="006411FF">
            <w:pPr>
              <w:spacing w:after="0"/>
              <w:rPr>
                <w:rFonts w:ascii="Times New Roman" w:hAnsi="Times New Roman"/>
                <w:b/>
              </w:rPr>
            </w:pPr>
            <w:r w:rsidRPr="00B77A50">
              <w:rPr>
                <w:rFonts w:ascii="Times New Roman" w:hAnsi="Times New Roman"/>
                <w:b/>
              </w:rPr>
              <w:t xml:space="preserve"> </w:t>
            </w:r>
          </w:p>
        </w:tc>
        <w:tc>
          <w:tcPr>
            <w:tcW w:w="4672" w:type="dxa"/>
            <w:shd w:val="clear" w:color="auto" w:fill="auto"/>
          </w:tcPr>
          <w:p w14:paraId="48B064FD" w14:textId="77777777" w:rsidR="006411FF" w:rsidRPr="00862219" w:rsidRDefault="006411FF" w:rsidP="006411FF">
            <w:pPr>
              <w:spacing w:after="0"/>
              <w:rPr>
                <w:rFonts w:ascii="Times New Roman" w:hAnsi="Times New Roman"/>
                <w:b/>
                <w:lang w:val="en-GB"/>
              </w:rPr>
            </w:pPr>
            <w:r w:rsidRPr="00862219">
              <w:rPr>
                <w:rFonts w:ascii="Times New Roman" w:hAnsi="Times New Roman"/>
                <w:b/>
                <w:lang w:val="en-GB"/>
              </w:rPr>
              <w:t>Stephen Tull</w:t>
            </w:r>
          </w:p>
        </w:tc>
      </w:tr>
      <w:tr w:rsidR="006411FF" w:rsidRPr="00862219" w14:paraId="5ECEF5B9" w14:textId="77777777" w:rsidTr="006411FF">
        <w:tc>
          <w:tcPr>
            <w:tcW w:w="4390" w:type="dxa"/>
            <w:shd w:val="clear" w:color="auto" w:fill="auto"/>
          </w:tcPr>
          <w:p w14:paraId="426ECBFE" w14:textId="77777777" w:rsidR="006411FF" w:rsidRDefault="006411FF" w:rsidP="006411FF">
            <w:pPr>
              <w:spacing w:after="0"/>
              <w:rPr>
                <w:rFonts w:ascii="Times New Roman" w:hAnsi="Times New Roman"/>
              </w:rPr>
            </w:pPr>
            <w:r>
              <w:rPr>
                <w:rFonts w:ascii="Times New Roman" w:hAnsi="Times New Roman"/>
              </w:rPr>
              <w:t>Premier Ministre</w:t>
            </w:r>
          </w:p>
          <w:p w14:paraId="2F949422" w14:textId="77777777" w:rsidR="00BF74B6" w:rsidRDefault="00BF74B6" w:rsidP="006411FF">
            <w:pPr>
              <w:spacing w:after="0"/>
              <w:rPr>
                <w:rFonts w:ascii="Times New Roman" w:hAnsi="Times New Roman"/>
              </w:rPr>
            </w:pPr>
          </w:p>
          <w:p w14:paraId="7203B36A" w14:textId="77777777" w:rsidR="00BF74B6" w:rsidRDefault="00BF74B6" w:rsidP="006411FF">
            <w:pPr>
              <w:spacing w:after="0"/>
              <w:rPr>
                <w:rFonts w:ascii="Times New Roman" w:hAnsi="Times New Roman"/>
              </w:rPr>
            </w:pPr>
          </w:p>
          <w:p w14:paraId="1306EC43" w14:textId="77777777" w:rsidR="00BF74B6" w:rsidRDefault="00BF74B6" w:rsidP="006411FF">
            <w:pPr>
              <w:spacing w:after="0"/>
              <w:rPr>
                <w:rFonts w:ascii="Times New Roman" w:hAnsi="Times New Roman"/>
              </w:rPr>
            </w:pPr>
          </w:p>
          <w:p w14:paraId="6D29DA91" w14:textId="683BCB35" w:rsidR="00BF74B6" w:rsidRPr="00862219" w:rsidRDefault="00BF74B6" w:rsidP="006411FF">
            <w:pPr>
              <w:spacing w:after="0"/>
              <w:rPr>
                <w:rFonts w:ascii="Times New Roman" w:hAnsi="Times New Roman"/>
              </w:rPr>
            </w:pPr>
          </w:p>
        </w:tc>
        <w:tc>
          <w:tcPr>
            <w:tcW w:w="4672" w:type="dxa"/>
            <w:shd w:val="clear" w:color="auto" w:fill="auto"/>
          </w:tcPr>
          <w:p w14:paraId="79B2E382" w14:textId="77777777" w:rsidR="006411FF" w:rsidRPr="00862219" w:rsidRDefault="006411FF" w:rsidP="006411FF">
            <w:pPr>
              <w:spacing w:after="0"/>
              <w:rPr>
                <w:rFonts w:ascii="Times New Roman" w:hAnsi="Times New Roman"/>
              </w:rPr>
            </w:pPr>
            <w:r w:rsidRPr="00862219">
              <w:rPr>
                <w:rFonts w:ascii="Times New Roman" w:hAnsi="Times New Roman"/>
              </w:rPr>
              <w:t xml:space="preserve">Coordonnateur Résident du système des Nations Unies </w:t>
            </w:r>
          </w:p>
        </w:tc>
      </w:tr>
    </w:tbl>
    <w:p w14:paraId="5475C3F6" w14:textId="77777777" w:rsidR="006411FF" w:rsidRDefault="006411FF" w:rsidP="008F4083">
      <w:pPr>
        <w:pStyle w:val="Heading2"/>
        <w:pBdr>
          <w:bottom w:val="single" w:sz="4" w:space="1" w:color="auto"/>
        </w:pBdr>
        <w:jc w:val="left"/>
        <w:sectPr w:rsidR="006411FF">
          <w:pgSz w:w="11906" w:h="16838"/>
          <w:pgMar w:top="1417" w:right="1417" w:bottom="1417" w:left="1417" w:header="708" w:footer="708" w:gutter="0"/>
          <w:cols w:space="708"/>
          <w:docGrid w:linePitch="360"/>
        </w:sectPr>
      </w:pPr>
    </w:p>
    <w:p w14:paraId="670B8EC7" w14:textId="5B016324" w:rsidR="00A60539" w:rsidRDefault="00A60539" w:rsidP="008F4083">
      <w:pPr>
        <w:pStyle w:val="Heading2"/>
        <w:pBdr>
          <w:bottom w:val="single" w:sz="4" w:space="1" w:color="auto"/>
        </w:pBdr>
        <w:jc w:val="left"/>
      </w:pPr>
      <w:bookmarkStart w:id="7" w:name="_Toc459363394"/>
      <w:r>
        <w:lastRenderedPageBreak/>
        <w:t>Table des matières</w:t>
      </w:r>
      <w:bookmarkEnd w:id="7"/>
    </w:p>
    <w:sdt>
      <w:sdtPr>
        <w:rPr>
          <w:rFonts w:asciiTheme="minorHAnsi" w:eastAsiaTheme="minorHAnsi" w:hAnsiTheme="minorHAnsi" w:cstheme="minorBidi"/>
          <w:noProof/>
          <w:color w:val="auto"/>
          <w:sz w:val="22"/>
          <w:szCs w:val="22"/>
          <w:lang w:eastAsia="en-US"/>
        </w:rPr>
        <w:id w:val="-1353260801"/>
        <w:docPartObj>
          <w:docPartGallery w:val="Table of Contents"/>
          <w:docPartUnique/>
        </w:docPartObj>
      </w:sdtPr>
      <w:sdtEndPr>
        <w:rPr>
          <w:b/>
          <w:bCs/>
        </w:rPr>
      </w:sdtEndPr>
      <w:sdtContent>
        <w:p w14:paraId="50E53792" w14:textId="75FA5840" w:rsidR="00993327" w:rsidRPr="006C55A0" w:rsidRDefault="00993327">
          <w:pPr>
            <w:pStyle w:val="TOCHeading"/>
            <w:rPr>
              <w:rFonts w:ascii="Times New Roman" w:hAnsi="Times New Roman" w:cs="Times New Roman"/>
            </w:rPr>
          </w:pPr>
        </w:p>
        <w:p w14:paraId="706EE785" w14:textId="77777777" w:rsidR="006C55A0" w:rsidRPr="006C55A0" w:rsidRDefault="00993327">
          <w:pPr>
            <w:pStyle w:val="TOC2"/>
            <w:tabs>
              <w:tab w:val="right" w:leader="dot" w:pos="9062"/>
            </w:tabs>
            <w:rPr>
              <w:rFonts w:ascii="Times New Roman" w:eastAsiaTheme="minorEastAsia" w:hAnsi="Times New Roman" w:cs="Times New Roman"/>
              <w:lang w:eastAsia="fr-FR"/>
            </w:rPr>
          </w:pPr>
          <w:r w:rsidRPr="006C55A0">
            <w:rPr>
              <w:rFonts w:ascii="Times New Roman" w:hAnsi="Times New Roman" w:cs="Times New Roman"/>
            </w:rPr>
            <w:fldChar w:fldCharType="begin"/>
          </w:r>
          <w:r w:rsidRPr="006C55A0">
            <w:rPr>
              <w:rFonts w:ascii="Times New Roman" w:hAnsi="Times New Roman" w:cs="Times New Roman"/>
            </w:rPr>
            <w:instrText xml:space="preserve"> TOC \o "1-3" \h \z \u </w:instrText>
          </w:r>
          <w:r w:rsidRPr="006C55A0">
            <w:rPr>
              <w:rFonts w:ascii="Times New Roman" w:hAnsi="Times New Roman" w:cs="Times New Roman"/>
            </w:rPr>
            <w:fldChar w:fldCharType="separate"/>
          </w:r>
          <w:hyperlink w:anchor="_Toc459363392" w:history="1">
            <w:r w:rsidR="006C55A0" w:rsidRPr="006C55A0">
              <w:rPr>
                <w:rStyle w:val="Hyperlink"/>
                <w:rFonts w:ascii="Times New Roman" w:hAnsi="Times New Roman" w:cs="Times New Roman"/>
              </w:rPr>
              <w:t>Liste des Sigles et Abréviations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_Toc459363392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w:t>
            </w:r>
            <w:r w:rsidR="006C55A0" w:rsidRPr="006C55A0">
              <w:rPr>
                <w:rFonts w:ascii="Times New Roman" w:hAnsi="Times New Roman" w:cs="Times New Roman"/>
                <w:webHidden/>
              </w:rPr>
              <w:fldChar w:fldCharType="end"/>
            </w:r>
          </w:hyperlink>
        </w:p>
        <w:p w14:paraId="69B4CD9A"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393" w:history="1">
            <w:r w:rsidR="006C55A0" w:rsidRPr="006C55A0">
              <w:rPr>
                <w:rStyle w:val="Hyperlink"/>
                <w:rFonts w:ascii="Times New Roman" w:hAnsi="Times New Roman" w:cs="Times New Roman"/>
              </w:rPr>
              <w:t>Avant propos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_Toc459363393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w:t>
            </w:r>
            <w:r w:rsidR="006C55A0" w:rsidRPr="006C55A0">
              <w:rPr>
                <w:rFonts w:ascii="Times New Roman" w:hAnsi="Times New Roman" w:cs="Times New Roman"/>
                <w:webHidden/>
              </w:rPr>
              <w:fldChar w:fldCharType="end"/>
            </w:r>
          </w:hyperlink>
        </w:p>
        <w:p w14:paraId="5840898D"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394" w:history="1">
            <w:r w:rsidR="006C55A0" w:rsidRPr="006C55A0">
              <w:rPr>
                <w:rStyle w:val="Hyperlink"/>
                <w:rFonts w:ascii="Times New Roman" w:hAnsi="Times New Roman" w:cs="Times New Roman"/>
              </w:rPr>
              <w:t>Table des matières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_Toc459363394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4</w:t>
            </w:r>
            <w:r w:rsidR="006C55A0" w:rsidRPr="006C55A0">
              <w:rPr>
                <w:rFonts w:ascii="Times New Roman" w:hAnsi="Times New Roman" w:cs="Times New Roman"/>
                <w:webHidden/>
              </w:rPr>
              <w:fldChar w:fldCharType="end"/>
            </w:r>
          </w:hyperlink>
        </w:p>
        <w:p w14:paraId="3EE9C2AF"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395" w:history="1">
            <w:r w:rsidR="006C55A0" w:rsidRPr="006C55A0">
              <w:rPr>
                <w:rStyle w:val="Hyperlink"/>
                <w:rFonts w:ascii="Times New Roman" w:hAnsi="Times New Roman" w:cs="Times New Roman"/>
              </w:rPr>
              <w:t>Page de Signature</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_Toc459363395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6</w:t>
            </w:r>
            <w:r w:rsidR="006C55A0" w:rsidRPr="006C55A0">
              <w:rPr>
                <w:rFonts w:ascii="Times New Roman" w:hAnsi="Times New Roman" w:cs="Times New Roman"/>
                <w:webHidden/>
              </w:rPr>
              <w:fldChar w:fldCharType="end"/>
            </w:r>
          </w:hyperlink>
        </w:p>
        <w:p w14:paraId="28DE92F6"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396" w:history="1">
            <w:r w:rsidR="006C55A0" w:rsidRPr="006C55A0">
              <w:rPr>
                <w:rStyle w:val="Hyperlink"/>
                <w:rFonts w:ascii="Times New Roman" w:hAnsi="Times New Roman" w:cs="Times New Roman"/>
              </w:rPr>
              <w:t>Résumé Exécutif</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_Toc459363396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7</w:t>
            </w:r>
            <w:r w:rsidR="006C55A0" w:rsidRPr="006C55A0">
              <w:rPr>
                <w:rFonts w:ascii="Times New Roman" w:hAnsi="Times New Roman" w:cs="Times New Roman"/>
                <w:webHidden/>
              </w:rPr>
              <w:fldChar w:fldCharType="end"/>
            </w:r>
          </w:hyperlink>
        </w:p>
        <w:p w14:paraId="7DB8A39B" w14:textId="77777777" w:rsidR="006C55A0" w:rsidRPr="006C55A0" w:rsidRDefault="006A62C2">
          <w:pPr>
            <w:pStyle w:val="TOC2"/>
            <w:tabs>
              <w:tab w:val="left" w:pos="660"/>
              <w:tab w:val="right" w:leader="dot" w:pos="9062"/>
            </w:tabs>
            <w:rPr>
              <w:rFonts w:ascii="Times New Roman" w:eastAsiaTheme="minorEastAsia" w:hAnsi="Times New Roman" w:cs="Times New Roman"/>
              <w:lang w:eastAsia="fr-FR"/>
            </w:rPr>
          </w:pPr>
          <w:hyperlink w:anchor="_Toc459363397" w:history="1">
            <w:r w:rsidR="006C55A0" w:rsidRPr="006C55A0">
              <w:rPr>
                <w:rStyle w:val="Hyperlink"/>
                <w:rFonts w:ascii="Times New Roman" w:hAnsi="Times New Roman" w:cs="Times New Roman"/>
              </w:rPr>
              <w:t>I.</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Introduction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_Toc459363397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9</w:t>
            </w:r>
            <w:r w:rsidR="006C55A0" w:rsidRPr="006C55A0">
              <w:rPr>
                <w:rFonts w:ascii="Times New Roman" w:hAnsi="Times New Roman" w:cs="Times New Roman"/>
                <w:webHidden/>
              </w:rPr>
              <w:fldChar w:fldCharType="end"/>
            </w:r>
          </w:hyperlink>
        </w:p>
        <w:p w14:paraId="2F697303"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398" w:history="1">
            <w:r w:rsidR="006C55A0" w:rsidRPr="006C55A0">
              <w:rPr>
                <w:rStyle w:val="Hyperlink"/>
                <w:rFonts w:ascii="Times New Roman" w:hAnsi="Times New Roman" w:cs="Times New Roman"/>
              </w:rPr>
              <w:t>1.1. Objectif de l’UNDAF 2017-2021 du Tchad</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_Toc459363398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9</w:t>
            </w:r>
            <w:r w:rsidR="006C55A0" w:rsidRPr="006C55A0">
              <w:rPr>
                <w:rFonts w:ascii="Times New Roman" w:hAnsi="Times New Roman" w:cs="Times New Roman"/>
                <w:webHidden/>
              </w:rPr>
              <w:fldChar w:fldCharType="end"/>
            </w:r>
          </w:hyperlink>
        </w:p>
        <w:p w14:paraId="7B6DFDBF"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399" w:history="1">
            <w:r w:rsidR="006C55A0" w:rsidRPr="006C55A0">
              <w:rPr>
                <w:rStyle w:val="Hyperlink"/>
                <w:rFonts w:ascii="Times New Roman" w:hAnsi="Times New Roman" w:cs="Times New Roman"/>
              </w:rPr>
              <w:t>1.2. Processus d’élaboration de l’UNDAF</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_Toc459363399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10</w:t>
            </w:r>
            <w:r w:rsidR="006C55A0" w:rsidRPr="006C55A0">
              <w:rPr>
                <w:rFonts w:ascii="Times New Roman" w:hAnsi="Times New Roman" w:cs="Times New Roman"/>
                <w:webHidden/>
              </w:rPr>
              <w:fldChar w:fldCharType="end"/>
            </w:r>
          </w:hyperlink>
        </w:p>
        <w:p w14:paraId="45AC896A" w14:textId="77777777" w:rsidR="006C55A0" w:rsidRPr="006C55A0" w:rsidRDefault="006A62C2">
          <w:pPr>
            <w:pStyle w:val="TOC2"/>
            <w:tabs>
              <w:tab w:val="left" w:pos="1100"/>
              <w:tab w:val="right" w:leader="dot" w:pos="9062"/>
            </w:tabs>
            <w:rPr>
              <w:rFonts w:ascii="Times New Roman" w:eastAsiaTheme="minorEastAsia" w:hAnsi="Times New Roman" w:cs="Times New Roman"/>
              <w:lang w:eastAsia="fr-FR"/>
            </w:rPr>
          </w:pPr>
          <w:hyperlink w:anchor="_Toc459363400" w:history="1">
            <w:r w:rsidR="006C55A0" w:rsidRPr="006C55A0">
              <w:rPr>
                <w:rStyle w:val="Hyperlink"/>
                <w:rFonts w:ascii="Times New Roman" w:hAnsi="Times New Roman" w:cs="Times New Roman"/>
              </w:rPr>
              <w:t>1.2.1</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Revue et consolidation des analyses de situation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_Toc459363400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10</w:t>
            </w:r>
            <w:r w:rsidR="006C55A0" w:rsidRPr="006C55A0">
              <w:rPr>
                <w:rFonts w:ascii="Times New Roman" w:hAnsi="Times New Roman" w:cs="Times New Roman"/>
                <w:webHidden/>
              </w:rPr>
              <w:fldChar w:fldCharType="end"/>
            </w:r>
          </w:hyperlink>
        </w:p>
        <w:p w14:paraId="07207942" w14:textId="77777777" w:rsidR="006C55A0" w:rsidRPr="006C55A0" w:rsidRDefault="006A62C2">
          <w:pPr>
            <w:pStyle w:val="TOC2"/>
            <w:tabs>
              <w:tab w:val="left" w:pos="1100"/>
              <w:tab w:val="right" w:leader="dot" w:pos="9062"/>
            </w:tabs>
            <w:rPr>
              <w:rFonts w:ascii="Times New Roman" w:eastAsiaTheme="minorEastAsia" w:hAnsi="Times New Roman" w:cs="Times New Roman"/>
              <w:lang w:eastAsia="fr-FR"/>
            </w:rPr>
          </w:pPr>
          <w:hyperlink w:anchor="_Toc459363401" w:history="1">
            <w:r w:rsidR="006C55A0" w:rsidRPr="006C55A0">
              <w:rPr>
                <w:rStyle w:val="Hyperlink"/>
                <w:rFonts w:ascii="Times New Roman" w:hAnsi="Times New Roman" w:cs="Times New Roman"/>
              </w:rPr>
              <w:t>1.2.2</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Retraite de Planification stratégique de l’UNDAF</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_Toc459363401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11</w:t>
            </w:r>
            <w:r w:rsidR="006C55A0" w:rsidRPr="006C55A0">
              <w:rPr>
                <w:rFonts w:ascii="Times New Roman" w:hAnsi="Times New Roman" w:cs="Times New Roman"/>
                <w:webHidden/>
              </w:rPr>
              <w:fldChar w:fldCharType="end"/>
            </w:r>
          </w:hyperlink>
        </w:p>
        <w:p w14:paraId="03D892FA"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02" w:history="1">
            <w:r w:rsidR="006C55A0" w:rsidRPr="006C55A0">
              <w:rPr>
                <w:rStyle w:val="Hyperlink"/>
                <w:rFonts w:ascii="Times New Roman" w:hAnsi="Times New Roman" w:cs="Times New Roman"/>
              </w:rPr>
              <w:t>1.2.3. Formulation et validation de l’UNDAF</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_Toc459363402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11</w:t>
            </w:r>
            <w:r w:rsidR="006C55A0" w:rsidRPr="006C55A0">
              <w:rPr>
                <w:rFonts w:ascii="Times New Roman" w:hAnsi="Times New Roman" w:cs="Times New Roman"/>
                <w:webHidden/>
              </w:rPr>
              <w:fldChar w:fldCharType="end"/>
            </w:r>
          </w:hyperlink>
        </w:p>
        <w:p w14:paraId="268B2490"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03" w:history="1">
            <w:r w:rsidR="006C55A0" w:rsidRPr="006C55A0">
              <w:rPr>
                <w:rStyle w:val="Hyperlink"/>
                <w:rFonts w:ascii="Times New Roman" w:hAnsi="Times New Roman" w:cs="Times New Roman"/>
              </w:rPr>
              <w:t>1.3. Contexte national</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_Toc459363403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11</w:t>
            </w:r>
            <w:r w:rsidR="006C55A0" w:rsidRPr="006C55A0">
              <w:rPr>
                <w:rFonts w:ascii="Times New Roman" w:hAnsi="Times New Roman" w:cs="Times New Roman"/>
                <w:webHidden/>
              </w:rPr>
              <w:fldChar w:fldCharType="end"/>
            </w:r>
          </w:hyperlink>
        </w:p>
        <w:p w14:paraId="43067471"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04" w:history="1">
            <w:r w:rsidR="006C55A0" w:rsidRPr="006C55A0">
              <w:rPr>
                <w:rStyle w:val="Hyperlink"/>
                <w:rFonts w:ascii="Times New Roman" w:hAnsi="Times New Roman" w:cs="Times New Roman"/>
              </w:rPr>
              <w:t>1.4. Les axes stratégiques de la Vision 2030</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_Toc459363404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14</w:t>
            </w:r>
            <w:r w:rsidR="006C55A0" w:rsidRPr="006C55A0">
              <w:rPr>
                <w:rFonts w:ascii="Times New Roman" w:hAnsi="Times New Roman" w:cs="Times New Roman"/>
                <w:webHidden/>
              </w:rPr>
              <w:fldChar w:fldCharType="end"/>
            </w:r>
          </w:hyperlink>
        </w:p>
        <w:p w14:paraId="69ADDB81" w14:textId="77777777" w:rsidR="006C55A0" w:rsidRPr="006C55A0" w:rsidRDefault="006A62C2">
          <w:pPr>
            <w:pStyle w:val="TOC2"/>
            <w:tabs>
              <w:tab w:val="left" w:pos="660"/>
              <w:tab w:val="right" w:leader="dot" w:pos="9062"/>
            </w:tabs>
            <w:rPr>
              <w:rFonts w:ascii="Times New Roman" w:eastAsiaTheme="minorEastAsia" w:hAnsi="Times New Roman" w:cs="Times New Roman"/>
              <w:lang w:eastAsia="fr-FR"/>
            </w:rPr>
          </w:pPr>
          <w:hyperlink w:anchor="_Toc459363405" w:history="1">
            <w:r w:rsidR="006C55A0" w:rsidRPr="006C55A0">
              <w:rPr>
                <w:rStyle w:val="Hyperlink"/>
                <w:rFonts w:ascii="Times New Roman" w:hAnsi="Times New Roman" w:cs="Times New Roman"/>
              </w:rPr>
              <w:t>II.</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Résultats prioritaires stratégiques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_Toc459363405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15</w:t>
            </w:r>
            <w:r w:rsidR="006C55A0" w:rsidRPr="006C55A0">
              <w:rPr>
                <w:rFonts w:ascii="Times New Roman" w:hAnsi="Times New Roman" w:cs="Times New Roman"/>
                <w:webHidden/>
              </w:rPr>
              <w:fldChar w:fldCharType="end"/>
            </w:r>
          </w:hyperlink>
        </w:p>
        <w:p w14:paraId="4DCAD681"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06" w:history="1">
            <w:r w:rsidR="006C55A0" w:rsidRPr="006C55A0">
              <w:rPr>
                <w:rStyle w:val="Hyperlink"/>
                <w:rFonts w:ascii="Times New Roman" w:hAnsi="Times New Roman" w:cs="Times New Roman"/>
              </w:rPr>
              <w:t>2.1. Positionnement de l’UNDAF et principaux domaines de coopération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_Toc459363406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15</w:t>
            </w:r>
            <w:r w:rsidR="006C55A0" w:rsidRPr="006C55A0">
              <w:rPr>
                <w:rFonts w:ascii="Times New Roman" w:hAnsi="Times New Roman" w:cs="Times New Roman"/>
                <w:webHidden/>
              </w:rPr>
              <w:fldChar w:fldCharType="end"/>
            </w:r>
          </w:hyperlink>
        </w:p>
        <w:p w14:paraId="7993E941"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07" w:history="1">
            <w:r w:rsidR="006C55A0" w:rsidRPr="006C55A0">
              <w:rPr>
                <w:rStyle w:val="Hyperlink"/>
                <w:rFonts w:ascii="Times New Roman" w:hAnsi="Times New Roman" w:cs="Times New Roman"/>
              </w:rPr>
              <w:t>2.2. Résultat Stratégique 1. Développement du Capital Humain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_Toc459363407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19</w:t>
            </w:r>
            <w:r w:rsidR="006C55A0" w:rsidRPr="006C55A0">
              <w:rPr>
                <w:rFonts w:ascii="Times New Roman" w:hAnsi="Times New Roman" w:cs="Times New Roman"/>
                <w:webHidden/>
              </w:rPr>
              <w:fldChar w:fldCharType="end"/>
            </w:r>
          </w:hyperlink>
        </w:p>
        <w:p w14:paraId="3A684D03"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08" w:history="1">
            <w:r w:rsidR="006C55A0" w:rsidRPr="006C55A0">
              <w:rPr>
                <w:rStyle w:val="Hyperlink"/>
                <w:rFonts w:ascii="Times New Roman" w:hAnsi="Times New Roman" w:cs="Times New Roman"/>
              </w:rPr>
              <w:t>2.2.1. Les défis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_Toc459363408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19</w:t>
            </w:r>
            <w:r w:rsidR="006C55A0" w:rsidRPr="006C55A0">
              <w:rPr>
                <w:rFonts w:ascii="Times New Roman" w:hAnsi="Times New Roman" w:cs="Times New Roman"/>
                <w:webHidden/>
              </w:rPr>
              <w:fldChar w:fldCharType="end"/>
            </w:r>
          </w:hyperlink>
        </w:p>
        <w:p w14:paraId="4E5F433B"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09" w:history="1">
            <w:r w:rsidR="006C55A0" w:rsidRPr="006C55A0">
              <w:rPr>
                <w:rStyle w:val="Hyperlink"/>
                <w:rFonts w:ascii="Times New Roman" w:hAnsi="Times New Roman" w:cs="Times New Roman"/>
              </w:rPr>
              <w:t>2.2.2. Stratégies de coopération des Nations Unies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_Toc459363409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21</w:t>
            </w:r>
            <w:r w:rsidR="006C55A0" w:rsidRPr="006C55A0">
              <w:rPr>
                <w:rFonts w:ascii="Times New Roman" w:hAnsi="Times New Roman" w:cs="Times New Roman"/>
                <w:webHidden/>
              </w:rPr>
              <w:fldChar w:fldCharType="end"/>
            </w:r>
          </w:hyperlink>
        </w:p>
        <w:p w14:paraId="37A311CA"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0" w:history="1">
            <w:r w:rsidR="006C55A0" w:rsidRPr="006C55A0">
              <w:rPr>
                <w:rStyle w:val="Hyperlink"/>
                <w:rFonts w:ascii="Times New Roman" w:hAnsi="Times New Roman" w:cs="Times New Roman"/>
              </w:rPr>
              <w:t>2.2.3. Résultats attendus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_Toc459363410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22</w:t>
            </w:r>
            <w:r w:rsidR="006C55A0" w:rsidRPr="006C55A0">
              <w:rPr>
                <w:rFonts w:ascii="Times New Roman" w:hAnsi="Times New Roman" w:cs="Times New Roman"/>
                <w:webHidden/>
              </w:rPr>
              <w:fldChar w:fldCharType="end"/>
            </w:r>
          </w:hyperlink>
        </w:p>
        <w:p w14:paraId="05EE46AE"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11" w:history="1">
            <w:r w:rsidR="006C55A0" w:rsidRPr="006C55A0">
              <w:rPr>
                <w:rStyle w:val="Hyperlink"/>
                <w:rFonts w:ascii="Times New Roman" w:hAnsi="Times New Roman" w:cs="Times New Roman"/>
              </w:rPr>
              <w:t>2.3. Résultat Stratégique 2. Protection sociale, gestion des crises et durabilité</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_Toc459363411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23</w:t>
            </w:r>
            <w:r w:rsidR="006C55A0" w:rsidRPr="006C55A0">
              <w:rPr>
                <w:rFonts w:ascii="Times New Roman" w:hAnsi="Times New Roman" w:cs="Times New Roman"/>
                <w:webHidden/>
              </w:rPr>
              <w:fldChar w:fldCharType="end"/>
            </w:r>
          </w:hyperlink>
        </w:p>
        <w:p w14:paraId="211A41F4"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2" w:history="1">
            <w:r w:rsidR="006C55A0" w:rsidRPr="006C55A0">
              <w:rPr>
                <w:rStyle w:val="Hyperlink"/>
                <w:rFonts w:ascii="Times New Roman" w:hAnsi="Times New Roman" w:cs="Times New Roman"/>
              </w:rPr>
              <w:t>2.3.1. Défis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_Toc459363412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23</w:t>
            </w:r>
            <w:r w:rsidR="006C55A0" w:rsidRPr="006C55A0">
              <w:rPr>
                <w:rFonts w:ascii="Times New Roman" w:hAnsi="Times New Roman" w:cs="Times New Roman"/>
                <w:webHidden/>
              </w:rPr>
              <w:fldChar w:fldCharType="end"/>
            </w:r>
          </w:hyperlink>
        </w:p>
        <w:p w14:paraId="0760DEB9"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3" w:history="1">
            <w:r w:rsidR="006C55A0" w:rsidRPr="006C55A0">
              <w:rPr>
                <w:rStyle w:val="Hyperlink"/>
                <w:rFonts w:ascii="Times New Roman" w:hAnsi="Times New Roman" w:cs="Times New Roman"/>
              </w:rPr>
              <w:t>2.3.2. Stratégies de coopération des Nations Unies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_Toc459363413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24</w:t>
            </w:r>
            <w:r w:rsidR="006C55A0" w:rsidRPr="006C55A0">
              <w:rPr>
                <w:rFonts w:ascii="Times New Roman" w:hAnsi="Times New Roman" w:cs="Times New Roman"/>
                <w:webHidden/>
              </w:rPr>
              <w:fldChar w:fldCharType="end"/>
            </w:r>
          </w:hyperlink>
        </w:p>
        <w:p w14:paraId="2A4D11B6"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4" w:history="1">
            <w:r w:rsidR="006C55A0" w:rsidRPr="006C55A0">
              <w:rPr>
                <w:rStyle w:val="Hyperlink"/>
                <w:rFonts w:ascii="Times New Roman" w:hAnsi="Times New Roman" w:cs="Times New Roman"/>
              </w:rPr>
              <w:t>2.3.3. Résultats attendus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_Toc459363414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25</w:t>
            </w:r>
            <w:r w:rsidR="006C55A0" w:rsidRPr="006C55A0">
              <w:rPr>
                <w:rFonts w:ascii="Times New Roman" w:hAnsi="Times New Roman" w:cs="Times New Roman"/>
                <w:webHidden/>
              </w:rPr>
              <w:fldChar w:fldCharType="end"/>
            </w:r>
          </w:hyperlink>
        </w:p>
        <w:p w14:paraId="69AD36ED"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15" w:history="1">
            <w:r w:rsidR="006C55A0" w:rsidRPr="006C55A0">
              <w:rPr>
                <w:rStyle w:val="Hyperlink"/>
                <w:rFonts w:ascii="Times New Roman" w:hAnsi="Times New Roman" w:cs="Times New Roman"/>
              </w:rPr>
              <w:t>2.4. Résultat Stratégique 3. Gouvernance-paix-sécurité</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_Toc459363415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25</w:t>
            </w:r>
            <w:r w:rsidR="006C55A0" w:rsidRPr="006C55A0">
              <w:rPr>
                <w:rFonts w:ascii="Times New Roman" w:hAnsi="Times New Roman" w:cs="Times New Roman"/>
                <w:webHidden/>
              </w:rPr>
              <w:fldChar w:fldCharType="end"/>
            </w:r>
          </w:hyperlink>
        </w:p>
        <w:p w14:paraId="35210AB3"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6" w:history="1">
            <w:r w:rsidR="006C55A0" w:rsidRPr="006C55A0">
              <w:rPr>
                <w:rStyle w:val="Hyperlink"/>
                <w:rFonts w:ascii="Times New Roman" w:hAnsi="Times New Roman" w:cs="Times New Roman"/>
              </w:rPr>
              <w:t>2.4.1. Défis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_Toc459363416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25</w:t>
            </w:r>
            <w:r w:rsidR="006C55A0" w:rsidRPr="006C55A0">
              <w:rPr>
                <w:rFonts w:ascii="Times New Roman" w:hAnsi="Times New Roman" w:cs="Times New Roman"/>
                <w:webHidden/>
              </w:rPr>
              <w:fldChar w:fldCharType="end"/>
            </w:r>
          </w:hyperlink>
        </w:p>
        <w:p w14:paraId="4FA43E62"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7" w:history="1">
            <w:r w:rsidR="006C55A0" w:rsidRPr="006C55A0">
              <w:rPr>
                <w:rStyle w:val="Hyperlink"/>
                <w:rFonts w:ascii="Times New Roman" w:hAnsi="Times New Roman" w:cs="Times New Roman"/>
              </w:rPr>
              <w:t>2.4.2. Stratégies de coopération des Nations Unies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_Toc459363417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26</w:t>
            </w:r>
            <w:r w:rsidR="006C55A0" w:rsidRPr="006C55A0">
              <w:rPr>
                <w:rFonts w:ascii="Times New Roman" w:hAnsi="Times New Roman" w:cs="Times New Roman"/>
                <w:webHidden/>
              </w:rPr>
              <w:fldChar w:fldCharType="end"/>
            </w:r>
          </w:hyperlink>
        </w:p>
        <w:p w14:paraId="6AFA08C5"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18" w:history="1">
            <w:r w:rsidR="006C55A0" w:rsidRPr="006C55A0">
              <w:rPr>
                <w:rStyle w:val="Hyperlink"/>
                <w:rFonts w:ascii="Times New Roman" w:hAnsi="Times New Roman" w:cs="Times New Roman"/>
              </w:rPr>
              <w:t>2.4.3. Résultats attendus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_Toc459363418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27</w:t>
            </w:r>
            <w:r w:rsidR="006C55A0" w:rsidRPr="006C55A0">
              <w:rPr>
                <w:rFonts w:ascii="Times New Roman" w:hAnsi="Times New Roman" w:cs="Times New Roman"/>
                <w:webHidden/>
              </w:rPr>
              <w:fldChar w:fldCharType="end"/>
            </w:r>
          </w:hyperlink>
        </w:p>
        <w:p w14:paraId="152F5F3C"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19" w:history="1">
            <w:r w:rsidR="006C55A0" w:rsidRPr="006C55A0">
              <w:rPr>
                <w:rStyle w:val="Hyperlink"/>
                <w:rFonts w:ascii="Times New Roman" w:hAnsi="Times New Roman" w:cs="Times New Roman"/>
              </w:rPr>
              <w:t>2.5. Rôles des agences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_Toc459363419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28</w:t>
            </w:r>
            <w:r w:rsidR="006C55A0" w:rsidRPr="006C55A0">
              <w:rPr>
                <w:rFonts w:ascii="Times New Roman" w:hAnsi="Times New Roman" w:cs="Times New Roman"/>
                <w:webHidden/>
              </w:rPr>
              <w:fldChar w:fldCharType="end"/>
            </w:r>
          </w:hyperlink>
        </w:p>
        <w:p w14:paraId="55654967" w14:textId="77777777" w:rsidR="006C55A0" w:rsidRPr="006C55A0" w:rsidRDefault="006A62C2">
          <w:pPr>
            <w:pStyle w:val="TOC2"/>
            <w:tabs>
              <w:tab w:val="left" w:pos="880"/>
              <w:tab w:val="right" w:leader="dot" w:pos="9062"/>
            </w:tabs>
            <w:rPr>
              <w:rFonts w:ascii="Times New Roman" w:eastAsiaTheme="minorEastAsia" w:hAnsi="Times New Roman" w:cs="Times New Roman"/>
              <w:lang w:eastAsia="fr-FR"/>
            </w:rPr>
          </w:pPr>
          <w:hyperlink w:anchor="_Toc459363420" w:history="1">
            <w:r w:rsidR="006C55A0" w:rsidRPr="006C55A0">
              <w:rPr>
                <w:rStyle w:val="Hyperlink"/>
                <w:rFonts w:ascii="Times New Roman" w:hAnsi="Times New Roman" w:cs="Times New Roman"/>
              </w:rPr>
              <w:t>III.</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Hypothèses et risques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_Toc459363420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28</w:t>
            </w:r>
            <w:r w:rsidR="006C55A0" w:rsidRPr="006C55A0">
              <w:rPr>
                <w:rFonts w:ascii="Times New Roman" w:hAnsi="Times New Roman" w:cs="Times New Roman"/>
                <w:webHidden/>
              </w:rPr>
              <w:fldChar w:fldCharType="end"/>
            </w:r>
          </w:hyperlink>
        </w:p>
        <w:p w14:paraId="29BDCEA2" w14:textId="77777777" w:rsidR="006C55A0" w:rsidRPr="006C55A0" w:rsidRDefault="006A62C2">
          <w:pPr>
            <w:pStyle w:val="TOC2"/>
            <w:tabs>
              <w:tab w:val="left" w:pos="880"/>
              <w:tab w:val="right" w:leader="dot" w:pos="9062"/>
            </w:tabs>
            <w:rPr>
              <w:rFonts w:ascii="Times New Roman" w:eastAsiaTheme="minorEastAsia" w:hAnsi="Times New Roman" w:cs="Times New Roman"/>
              <w:lang w:eastAsia="fr-FR"/>
            </w:rPr>
          </w:pPr>
          <w:hyperlink w:anchor="_Toc459363421" w:history="1">
            <w:r w:rsidR="006C55A0" w:rsidRPr="006C55A0">
              <w:rPr>
                <w:rStyle w:val="Hyperlink"/>
                <w:rFonts w:ascii="Times New Roman" w:hAnsi="Times New Roman" w:cs="Times New Roman"/>
              </w:rPr>
              <w:t>IV.</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Ressources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_Toc459363421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29</w:t>
            </w:r>
            <w:r w:rsidR="006C55A0" w:rsidRPr="006C55A0">
              <w:rPr>
                <w:rFonts w:ascii="Times New Roman" w:hAnsi="Times New Roman" w:cs="Times New Roman"/>
                <w:webHidden/>
              </w:rPr>
              <w:fldChar w:fldCharType="end"/>
            </w:r>
          </w:hyperlink>
        </w:p>
        <w:p w14:paraId="71ACEB00" w14:textId="77777777" w:rsidR="006C55A0" w:rsidRPr="006C55A0" w:rsidRDefault="006A62C2">
          <w:pPr>
            <w:pStyle w:val="TOC2"/>
            <w:tabs>
              <w:tab w:val="left" w:pos="660"/>
              <w:tab w:val="right" w:leader="dot" w:pos="9062"/>
            </w:tabs>
            <w:rPr>
              <w:rFonts w:ascii="Times New Roman" w:eastAsiaTheme="minorEastAsia" w:hAnsi="Times New Roman" w:cs="Times New Roman"/>
              <w:lang w:eastAsia="fr-FR"/>
            </w:rPr>
          </w:pPr>
          <w:hyperlink w:anchor="_Toc459363422" w:history="1">
            <w:r w:rsidR="006C55A0" w:rsidRPr="006C55A0">
              <w:rPr>
                <w:rStyle w:val="Hyperlink"/>
                <w:rFonts w:ascii="Times New Roman" w:hAnsi="Times New Roman" w:cs="Times New Roman"/>
              </w:rPr>
              <w:t>V.</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Mécanismes de coordination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_Toc459363422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29</w:t>
            </w:r>
            <w:r w:rsidR="006C55A0" w:rsidRPr="006C55A0">
              <w:rPr>
                <w:rFonts w:ascii="Times New Roman" w:hAnsi="Times New Roman" w:cs="Times New Roman"/>
                <w:webHidden/>
              </w:rPr>
              <w:fldChar w:fldCharType="end"/>
            </w:r>
          </w:hyperlink>
        </w:p>
        <w:p w14:paraId="11C04A27" w14:textId="77777777" w:rsidR="006C55A0" w:rsidRPr="006C55A0" w:rsidRDefault="006A62C2">
          <w:pPr>
            <w:pStyle w:val="TOC2"/>
            <w:tabs>
              <w:tab w:val="left" w:pos="880"/>
              <w:tab w:val="right" w:leader="dot" w:pos="9062"/>
            </w:tabs>
            <w:rPr>
              <w:rFonts w:ascii="Times New Roman" w:eastAsiaTheme="minorEastAsia" w:hAnsi="Times New Roman" w:cs="Times New Roman"/>
              <w:lang w:eastAsia="fr-FR"/>
            </w:rPr>
          </w:pPr>
          <w:hyperlink w:anchor="_Toc459363423" w:history="1">
            <w:r w:rsidR="006C55A0" w:rsidRPr="006C55A0">
              <w:rPr>
                <w:rStyle w:val="Hyperlink"/>
                <w:rFonts w:ascii="Times New Roman" w:hAnsi="Times New Roman" w:cs="Times New Roman"/>
              </w:rPr>
              <w:t>VI.</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Suivi et évaluation, Communication et Gestion des connaissances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_Toc459363423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30</w:t>
            </w:r>
            <w:r w:rsidR="006C55A0" w:rsidRPr="006C55A0">
              <w:rPr>
                <w:rFonts w:ascii="Times New Roman" w:hAnsi="Times New Roman" w:cs="Times New Roman"/>
                <w:webHidden/>
              </w:rPr>
              <w:fldChar w:fldCharType="end"/>
            </w:r>
          </w:hyperlink>
        </w:p>
        <w:p w14:paraId="18E9640E"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24" w:history="1">
            <w:r w:rsidR="006C55A0" w:rsidRPr="006C55A0">
              <w:rPr>
                <w:rStyle w:val="Hyperlink"/>
                <w:rFonts w:ascii="Times New Roman" w:hAnsi="Times New Roman" w:cs="Times New Roman"/>
              </w:rPr>
              <w:t>6.1 Suivi et évaluation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_Toc459363424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30</w:t>
            </w:r>
            <w:r w:rsidR="006C55A0" w:rsidRPr="006C55A0">
              <w:rPr>
                <w:rFonts w:ascii="Times New Roman" w:hAnsi="Times New Roman" w:cs="Times New Roman"/>
                <w:webHidden/>
              </w:rPr>
              <w:fldChar w:fldCharType="end"/>
            </w:r>
          </w:hyperlink>
        </w:p>
        <w:p w14:paraId="4CB0352B"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25" w:history="1">
            <w:r w:rsidR="006C55A0" w:rsidRPr="006C55A0">
              <w:rPr>
                <w:rStyle w:val="Hyperlink"/>
                <w:rFonts w:ascii="Times New Roman" w:hAnsi="Times New Roman" w:cs="Times New Roman"/>
              </w:rPr>
              <w:t>6.2. Communication</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_Toc459363425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31</w:t>
            </w:r>
            <w:r w:rsidR="006C55A0" w:rsidRPr="006C55A0">
              <w:rPr>
                <w:rFonts w:ascii="Times New Roman" w:hAnsi="Times New Roman" w:cs="Times New Roman"/>
                <w:webHidden/>
              </w:rPr>
              <w:fldChar w:fldCharType="end"/>
            </w:r>
          </w:hyperlink>
        </w:p>
        <w:p w14:paraId="1EF4826C" w14:textId="77777777" w:rsidR="006C55A0" w:rsidRPr="006C55A0" w:rsidRDefault="006A62C2">
          <w:pPr>
            <w:pStyle w:val="TOC1"/>
            <w:tabs>
              <w:tab w:val="right" w:leader="dot" w:pos="9062"/>
            </w:tabs>
            <w:rPr>
              <w:rFonts w:ascii="Times New Roman" w:eastAsiaTheme="minorEastAsia" w:hAnsi="Times New Roman" w:cs="Times New Roman"/>
              <w:lang w:eastAsia="fr-FR"/>
            </w:rPr>
          </w:pPr>
          <w:hyperlink w:anchor="_Toc459363426" w:history="1">
            <w:r w:rsidR="006C55A0" w:rsidRPr="006C55A0">
              <w:rPr>
                <w:rStyle w:val="Hyperlink"/>
                <w:rFonts w:ascii="Times New Roman" w:hAnsi="Times New Roman" w:cs="Times New Roman"/>
              </w:rPr>
              <w:t>6.3. Gestion des connaissances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_Toc459363426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32</w:t>
            </w:r>
            <w:r w:rsidR="006C55A0" w:rsidRPr="006C55A0">
              <w:rPr>
                <w:rFonts w:ascii="Times New Roman" w:hAnsi="Times New Roman" w:cs="Times New Roman"/>
                <w:webHidden/>
              </w:rPr>
              <w:fldChar w:fldCharType="end"/>
            </w:r>
          </w:hyperlink>
        </w:p>
        <w:p w14:paraId="253C2DDF" w14:textId="77777777" w:rsidR="006C55A0" w:rsidRPr="006C55A0" w:rsidRDefault="006A62C2">
          <w:pPr>
            <w:pStyle w:val="TOC2"/>
            <w:tabs>
              <w:tab w:val="left" w:pos="880"/>
              <w:tab w:val="right" w:leader="dot" w:pos="9062"/>
            </w:tabs>
            <w:rPr>
              <w:rFonts w:ascii="Times New Roman" w:eastAsiaTheme="minorEastAsia" w:hAnsi="Times New Roman" w:cs="Times New Roman"/>
              <w:lang w:eastAsia="fr-FR"/>
            </w:rPr>
          </w:pPr>
          <w:hyperlink w:anchor="_Toc459363427" w:history="1">
            <w:r w:rsidR="006C55A0" w:rsidRPr="006C55A0">
              <w:rPr>
                <w:rStyle w:val="Hyperlink"/>
                <w:rFonts w:ascii="Times New Roman" w:hAnsi="Times New Roman" w:cs="Times New Roman"/>
              </w:rPr>
              <w:t>VII.</w:t>
            </w:r>
            <w:r w:rsidR="006C55A0" w:rsidRPr="006C55A0">
              <w:rPr>
                <w:rFonts w:ascii="Times New Roman" w:eastAsiaTheme="minorEastAsia" w:hAnsi="Times New Roman" w:cs="Times New Roman"/>
                <w:lang w:eastAsia="fr-FR"/>
              </w:rPr>
              <w:tab/>
            </w:r>
            <w:r w:rsidR="006C55A0" w:rsidRPr="006C55A0">
              <w:rPr>
                <w:rStyle w:val="Hyperlink"/>
                <w:rFonts w:ascii="Times New Roman" w:hAnsi="Times New Roman" w:cs="Times New Roman"/>
              </w:rPr>
              <w:t>Mobilisation des ressources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_Toc459363427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32</w:t>
            </w:r>
            <w:r w:rsidR="006C55A0" w:rsidRPr="006C55A0">
              <w:rPr>
                <w:rFonts w:ascii="Times New Roman" w:hAnsi="Times New Roman" w:cs="Times New Roman"/>
                <w:webHidden/>
              </w:rPr>
              <w:fldChar w:fldCharType="end"/>
            </w:r>
          </w:hyperlink>
        </w:p>
        <w:p w14:paraId="10B8862D"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28" w:history="1">
            <w:r w:rsidR="006C55A0" w:rsidRPr="006C55A0">
              <w:rPr>
                <w:rStyle w:val="Hyperlink"/>
                <w:rFonts w:ascii="Times New Roman" w:hAnsi="Times New Roman" w:cs="Times New Roman"/>
              </w:rPr>
              <w:t>Annexe 1. Matrice des résultats Plan Cadre des Nations Unies (UNDAF) 2017-2021</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_Toc459363428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33</w:t>
            </w:r>
            <w:r w:rsidR="006C55A0" w:rsidRPr="006C55A0">
              <w:rPr>
                <w:rFonts w:ascii="Times New Roman" w:hAnsi="Times New Roman" w:cs="Times New Roman"/>
                <w:webHidden/>
              </w:rPr>
              <w:fldChar w:fldCharType="end"/>
            </w:r>
          </w:hyperlink>
        </w:p>
        <w:p w14:paraId="12002EBD"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29" w:history="1">
            <w:r w:rsidR="006C55A0" w:rsidRPr="006C55A0">
              <w:rPr>
                <w:rStyle w:val="Hyperlink"/>
                <w:rFonts w:ascii="Times New Roman" w:hAnsi="Times New Roman" w:cs="Times New Roman"/>
              </w:rPr>
              <w:t>Annexe 2 : Calendrier de suivi et évaluation UNDAF 2017-2021</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_Toc459363429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38</w:t>
            </w:r>
            <w:r w:rsidR="006C55A0" w:rsidRPr="006C55A0">
              <w:rPr>
                <w:rFonts w:ascii="Times New Roman" w:hAnsi="Times New Roman" w:cs="Times New Roman"/>
                <w:webHidden/>
              </w:rPr>
              <w:fldChar w:fldCharType="end"/>
            </w:r>
          </w:hyperlink>
        </w:p>
        <w:p w14:paraId="2C0DB997" w14:textId="77777777" w:rsidR="006C55A0" w:rsidRPr="006C55A0" w:rsidRDefault="006A62C2">
          <w:pPr>
            <w:pStyle w:val="TOC2"/>
            <w:tabs>
              <w:tab w:val="right" w:leader="dot" w:pos="9062"/>
            </w:tabs>
            <w:rPr>
              <w:rFonts w:ascii="Times New Roman" w:eastAsiaTheme="minorEastAsia" w:hAnsi="Times New Roman" w:cs="Times New Roman"/>
              <w:lang w:eastAsia="fr-FR"/>
            </w:rPr>
          </w:pPr>
          <w:hyperlink w:anchor="_Toc459363430" w:history="1">
            <w:r w:rsidR="006C55A0" w:rsidRPr="006C55A0">
              <w:rPr>
                <w:rStyle w:val="Hyperlink"/>
                <w:rFonts w:ascii="Times New Roman" w:hAnsi="Times New Roman" w:cs="Times New Roman"/>
              </w:rPr>
              <w:t>Annexe 3. Clauses Légales</w:t>
            </w:r>
            <w:r w:rsidR="006C55A0" w:rsidRPr="006C55A0">
              <w:rPr>
                <w:rFonts w:ascii="Times New Roman" w:hAnsi="Times New Roman" w:cs="Times New Roman"/>
                <w:webHidden/>
              </w:rPr>
              <w:tab/>
            </w:r>
            <w:r w:rsidR="006C55A0" w:rsidRPr="006C55A0">
              <w:rPr>
                <w:rFonts w:ascii="Times New Roman" w:hAnsi="Times New Roman" w:cs="Times New Roman"/>
                <w:webHidden/>
              </w:rPr>
              <w:fldChar w:fldCharType="begin"/>
            </w:r>
            <w:r w:rsidR="006C55A0" w:rsidRPr="006C55A0">
              <w:rPr>
                <w:rFonts w:ascii="Times New Roman" w:hAnsi="Times New Roman" w:cs="Times New Roman"/>
                <w:webHidden/>
              </w:rPr>
              <w:instrText xml:space="preserve"> PAGEREF _Toc459363430 \h </w:instrText>
            </w:r>
            <w:r w:rsidR="006C55A0" w:rsidRPr="006C55A0">
              <w:rPr>
                <w:rFonts w:ascii="Times New Roman" w:hAnsi="Times New Roman" w:cs="Times New Roman"/>
                <w:webHidden/>
              </w:rPr>
            </w:r>
            <w:r w:rsidR="006C55A0" w:rsidRPr="006C55A0">
              <w:rPr>
                <w:rFonts w:ascii="Times New Roman" w:hAnsi="Times New Roman" w:cs="Times New Roman"/>
                <w:webHidden/>
              </w:rPr>
              <w:fldChar w:fldCharType="separate"/>
            </w:r>
            <w:r w:rsidR="006C55A0" w:rsidRPr="006C55A0">
              <w:rPr>
                <w:rFonts w:ascii="Times New Roman" w:hAnsi="Times New Roman" w:cs="Times New Roman"/>
                <w:webHidden/>
              </w:rPr>
              <w:t>41</w:t>
            </w:r>
            <w:r w:rsidR="006C55A0" w:rsidRPr="006C55A0">
              <w:rPr>
                <w:rFonts w:ascii="Times New Roman" w:hAnsi="Times New Roman" w:cs="Times New Roman"/>
                <w:webHidden/>
              </w:rPr>
              <w:fldChar w:fldCharType="end"/>
            </w:r>
          </w:hyperlink>
        </w:p>
        <w:p w14:paraId="0491BDAD" w14:textId="32FD4D2A" w:rsidR="00993327" w:rsidRDefault="00993327">
          <w:r w:rsidRPr="006C55A0">
            <w:rPr>
              <w:rFonts w:ascii="Times New Roman" w:hAnsi="Times New Roman" w:cs="Times New Roman"/>
              <w:b/>
              <w:bCs/>
            </w:rPr>
            <w:fldChar w:fldCharType="end"/>
          </w:r>
        </w:p>
      </w:sdtContent>
    </w:sdt>
    <w:p w14:paraId="00264809" w14:textId="77777777" w:rsidR="00A60539" w:rsidRPr="00A60539" w:rsidRDefault="00A60539" w:rsidP="00A60539">
      <w:pPr>
        <w:sectPr w:rsidR="00A60539" w:rsidRPr="00A60539">
          <w:pgSz w:w="11906" w:h="16838"/>
          <w:pgMar w:top="1417" w:right="1417" w:bottom="1417" w:left="1417" w:header="708" w:footer="708" w:gutter="0"/>
          <w:cols w:space="708"/>
          <w:docGrid w:linePitch="360"/>
        </w:sectPr>
      </w:pPr>
    </w:p>
    <w:p w14:paraId="017389B0" w14:textId="6DA827CB" w:rsidR="008F4083" w:rsidRPr="008F4083" w:rsidRDefault="008F4083" w:rsidP="008F4083">
      <w:pPr>
        <w:pStyle w:val="Heading2"/>
        <w:pBdr>
          <w:bottom w:val="single" w:sz="4" w:space="1" w:color="auto"/>
        </w:pBdr>
        <w:jc w:val="left"/>
      </w:pPr>
      <w:bookmarkStart w:id="8" w:name="_Toc459363395"/>
      <w:r w:rsidRPr="008F4083">
        <w:lastRenderedPageBreak/>
        <w:t>Page de Signature</w:t>
      </w:r>
      <w:bookmarkEnd w:id="8"/>
      <w:r w:rsidRPr="008F4083">
        <w:tab/>
      </w:r>
    </w:p>
    <w:tbl>
      <w:tblPr>
        <w:tblW w:w="988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08"/>
        <w:gridCol w:w="4674"/>
      </w:tblGrid>
      <w:tr w:rsidR="008F4083" w:rsidRPr="008F4083" w14:paraId="1DF95196" w14:textId="77777777" w:rsidTr="007971EA">
        <w:trPr>
          <w:trHeight w:val="2238"/>
        </w:trPr>
        <w:tc>
          <w:tcPr>
            <w:tcW w:w="5208" w:type="dxa"/>
          </w:tcPr>
          <w:p w14:paraId="4875D066"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Mme</w:t>
            </w:r>
            <w:r w:rsidRPr="008F4083">
              <w:rPr>
                <w:rFonts w:ascii="Times New Roman" w:hAnsi="Times New Roman" w:cs="Times New Roman"/>
              </w:rPr>
              <w:t xml:space="preserve"> </w:t>
            </w:r>
            <w:r w:rsidRPr="008F4083">
              <w:rPr>
                <w:rFonts w:ascii="Times New Roman" w:eastAsia="Times New Roman" w:hAnsi="Times New Roman" w:cs="Times New Roman"/>
                <w:b/>
                <w:noProof w:val="0"/>
                <w:lang w:eastAsia="fr-FR"/>
              </w:rPr>
              <w:t>Magda Verdickt</w:t>
            </w:r>
          </w:p>
          <w:p w14:paraId="6AC8A584"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Directrice Pays du Programme des Nations Unies pour le Développement (UNDP)</w:t>
            </w:r>
          </w:p>
          <w:p w14:paraId="2E829CFC"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p w14:paraId="63CD35E7"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tc>
        <w:tc>
          <w:tcPr>
            <w:tcW w:w="4674" w:type="dxa"/>
          </w:tcPr>
          <w:p w14:paraId="5299CE43"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Philippe Baragne-Bigot</w:t>
            </w:r>
          </w:p>
          <w:p w14:paraId="718AB707"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Représentant Résident du Fonds des Nations Unies pour l’Enfance (UNICEF)</w:t>
            </w:r>
          </w:p>
          <w:p w14:paraId="719C8DD0"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color w:val="FF0000"/>
                <w:lang w:eastAsia="fr-FR"/>
              </w:rPr>
            </w:pPr>
          </w:p>
        </w:tc>
      </w:tr>
      <w:tr w:rsidR="008F4083" w:rsidRPr="008F4083" w14:paraId="6F81B058" w14:textId="77777777" w:rsidTr="007971EA">
        <w:trPr>
          <w:trHeight w:val="1865"/>
        </w:trPr>
        <w:tc>
          <w:tcPr>
            <w:tcW w:w="5208" w:type="dxa"/>
          </w:tcPr>
          <w:p w14:paraId="00BBA610"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Ismaila Mbengue</w:t>
            </w:r>
          </w:p>
          <w:p w14:paraId="39DE5AA0" w14:textId="14BAA6F3"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 xml:space="preserve">Représentant Résident du Fonds des Nations </w:t>
            </w:r>
            <w:r w:rsidR="00325E21" w:rsidRPr="008F4083">
              <w:rPr>
                <w:rFonts w:ascii="Times New Roman" w:eastAsia="Times New Roman" w:hAnsi="Times New Roman" w:cs="Times New Roman"/>
                <w:noProof w:val="0"/>
                <w:lang w:eastAsia="fr-FR"/>
              </w:rPr>
              <w:t>Unies pour</w:t>
            </w:r>
            <w:r w:rsidRPr="008F4083">
              <w:rPr>
                <w:rFonts w:ascii="Times New Roman" w:eastAsia="Times New Roman" w:hAnsi="Times New Roman" w:cs="Times New Roman"/>
                <w:noProof w:val="0"/>
                <w:lang w:eastAsia="fr-FR"/>
              </w:rPr>
              <w:t xml:space="preserve"> </w:t>
            </w:r>
            <w:r w:rsidR="00325E21" w:rsidRPr="008F4083">
              <w:rPr>
                <w:rFonts w:ascii="Times New Roman" w:eastAsia="Times New Roman" w:hAnsi="Times New Roman" w:cs="Times New Roman"/>
                <w:noProof w:val="0"/>
                <w:lang w:eastAsia="fr-FR"/>
              </w:rPr>
              <w:t>la Population</w:t>
            </w:r>
            <w:r w:rsidRPr="008F4083">
              <w:rPr>
                <w:rFonts w:ascii="Times New Roman" w:eastAsia="Times New Roman" w:hAnsi="Times New Roman" w:cs="Times New Roman"/>
                <w:noProof w:val="0"/>
                <w:lang w:eastAsia="fr-FR"/>
              </w:rPr>
              <w:t xml:space="preserve"> (UNFPA)</w:t>
            </w:r>
          </w:p>
          <w:p w14:paraId="2247896A"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p>
        </w:tc>
        <w:tc>
          <w:tcPr>
            <w:tcW w:w="4674" w:type="dxa"/>
          </w:tcPr>
          <w:p w14:paraId="2D6F6BEB"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Jean-Marie Vianny Yameogo</w:t>
            </w:r>
          </w:p>
          <w:p w14:paraId="268BE9FE" w14:textId="77777777" w:rsidR="008F4083" w:rsidRPr="008F4083" w:rsidRDefault="008F4083" w:rsidP="00C7001F">
            <w:pPr>
              <w:spacing w:after="0" w:line="240" w:lineRule="auto"/>
              <w:rPr>
                <w:rFonts w:ascii="Times New Roman" w:eastAsia="Times New Roman" w:hAnsi="Times New Roman" w:cs="Times New Roman"/>
                <w:noProof w:val="0"/>
                <w:lang w:eastAsia="fr-FR"/>
              </w:rPr>
            </w:pPr>
            <w:r w:rsidRPr="008F4083">
              <w:rPr>
                <w:rFonts w:ascii="Times New Roman" w:hAnsi="Times New Roman" w:cs="Times New Roman"/>
                <w:noProof w:val="0"/>
              </w:rPr>
              <w:t xml:space="preserve">Représentant </w:t>
            </w:r>
            <w:r w:rsidRPr="008F4083">
              <w:rPr>
                <w:rFonts w:ascii="Times New Roman" w:eastAsia="Times New Roman" w:hAnsi="Times New Roman" w:cs="Times New Roman"/>
                <w:noProof w:val="0"/>
                <w:lang w:eastAsia="fr-FR"/>
              </w:rPr>
              <w:t>Résident de l’Organisation Mondiale de la Santé (OMS)</w:t>
            </w:r>
          </w:p>
          <w:p w14:paraId="609C8405"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tc>
      </w:tr>
      <w:tr w:rsidR="008F4083" w:rsidRPr="008F4083" w14:paraId="400D663B" w14:textId="77777777" w:rsidTr="007971EA">
        <w:trPr>
          <w:trHeight w:val="1666"/>
        </w:trPr>
        <w:tc>
          <w:tcPr>
            <w:tcW w:w="5208" w:type="dxa"/>
          </w:tcPr>
          <w:p w14:paraId="5D571BD3"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Mansour Ndiaye</w:t>
            </w:r>
          </w:p>
          <w:p w14:paraId="71D3513B"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Représentant Résident de l’Organisation des Nations Unies pour l’Alimentation et l’Agriculture (FAO)</w:t>
            </w:r>
          </w:p>
          <w:p w14:paraId="52E02DA2"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p>
        </w:tc>
        <w:tc>
          <w:tcPr>
            <w:tcW w:w="4674" w:type="dxa"/>
          </w:tcPr>
          <w:p w14:paraId="7D437A96"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Mme Mary Ellen McGroarty</w:t>
            </w:r>
          </w:p>
          <w:p w14:paraId="20C2CB6C"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Directeur pays &amp; Représentant Résident du Programme Alimentaire Mondial (PAM)</w:t>
            </w:r>
          </w:p>
          <w:p w14:paraId="6C02BCAF" w14:textId="77777777" w:rsidR="008F4083" w:rsidRPr="008F4083" w:rsidRDefault="008F4083" w:rsidP="00C7001F">
            <w:pPr>
              <w:spacing w:after="0" w:line="240" w:lineRule="auto"/>
              <w:rPr>
                <w:rFonts w:ascii="Times New Roman" w:eastAsia="Times New Roman" w:hAnsi="Times New Roman" w:cs="Times New Roman"/>
                <w:b/>
                <w:noProof w:val="0"/>
                <w:lang w:eastAsia="fr-FR"/>
              </w:rPr>
            </w:pPr>
          </w:p>
        </w:tc>
      </w:tr>
      <w:tr w:rsidR="008F4083" w:rsidRPr="008F4083" w14:paraId="1282FF9E" w14:textId="77777777" w:rsidTr="007971EA">
        <w:trPr>
          <w:trHeight w:val="1846"/>
        </w:trPr>
        <w:tc>
          <w:tcPr>
            <w:tcW w:w="5208" w:type="dxa"/>
          </w:tcPr>
          <w:p w14:paraId="5D17CB8F"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José Antonio Canhandula</w:t>
            </w:r>
          </w:p>
          <w:p w14:paraId="74E91CE4"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Représentant Résident du Haut-Commissariat des Nations Unies pour les Réfugiés (UNHCR)</w:t>
            </w:r>
          </w:p>
          <w:p w14:paraId="2E063EE8" w14:textId="77777777" w:rsidR="008F4083" w:rsidRPr="008F4083" w:rsidRDefault="008F4083" w:rsidP="00C7001F">
            <w:pPr>
              <w:spacing w:after="0" w:line="240" w:lineRule="auto"/>
              <w:rPr>
                <w:rFonts w:ascii="Times New Roman" w:eastAsia="Times New Roman" w:hAnsi="Times New Roman" w:cs="Times New Roman"/>
                <w:noProof w:val="0"/>
                <w:lang w:eastAsia="fr-FR"/>
              </w:rPr>
            </w:pPr>
          </w:p>
        </w:tc>
        <w:tc>
          <w:tcPr>
            <w:tcW w:w="4674" w:type="dxa"/>
          </w:tcPr>
          <w:p w14:paraId="40A8094C"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Mme Awa Mame Faye</w:t>
            </w:r>
          </w:p>
          <w:p w14:paraId="0979793C" w14:textId="60D1B993"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 xml:space="preserve">Directrice Pays du Programme </w:t>
            </w:r>
            <w:r w:rsidR="00EE3C99" w:rsidRPr="008F4083">
              <w:rPr>
                <w:rFonts w:ascii="Times New Roman" w:eastAsia="Times New Roman" w:hAnsi="Times New Roman" w:cs="Times New Roman"/>
                <w:noProof w:val="0"/>
                <w:lang w:eastAsia="fr-FR"/>
              </w:rPr>
              <w:t>Commun des</w:t>
            </w:r>
            <w:r w:rsidRPr="008F4083">
              <w:rPr>
                <w:rFonts w:ascii="Times New Roman" w:eastAsia="Times New Roman" w:hAnsi="Times New Roman" w:cs="Times New Roman"/>
                <w:noProof w:val="0"/>
                <w:lang w:eastAsia="fr-FR"/>
              </w:rPr>
              <w:t xml:space="preserve"> Nations Unies sur le VIH/sida (ONUSIDA)</w:t>
            </w:r>
          </w:p>
          <w:p w14:paraId="142CB75C" w14:textId="77777777" w:rsidR="008F4083" w:rsidRPr="008F4083" w:rsidRDefault="008F4083" w:rsidP="00C7001F">
            <w:pPr>
              <w:spacing w:after="0" w:line="240" w:lineRule="auto"/>
              <w:rPr>
                <w:rFonts w:ascii="Times New Roman" w:eastAsia="Times New Roman" w:hAnsi="Times New Roman" w:cs="Times New Roman"/>
                <w:noProof w:val="0"/>
                <w:lang w:eastAsia="fr-FR"/>
              </w:rPr>
            </w:pPr>
          </w:p>
        </w:tc>
      </w:tr>
      <w:tr w:rsidR="008F4083" w:rsidRPr="008F4083" w14:paraId="2209E423" w14:textId="77777777" w:rsidTr="007971EA">
        <w:trPr>
          <w:trHeight w:val="1926"/>
        </w:trPr>
        <w:tc>
          <w:tcPr>
            <w:tcW w:w="5208" w:type="dxa"/>
          </w:tcPr>
          <w:p w14:paraId="469516E8"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Felix Loïteohin YE</w:t>
            </w:r>
          </w:p>
          <w:p w14:paraId="609C9932"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color w:val="FF0000"/>
                <w:lang w:eastAsia="fr-FR"/>
              </w:rPr>
            </w:pPr>
            <w:r w:rsidRPr="008F4083">
              <w:rPr>
                <w:rFonts w:ascii="Times New Roman" w:eastAsia="Times New Roman" w:hAnsi="Times New Roman" w:cs="Times New Roman"/>
                <w:noProof w:val="0"/>
                <w:lang w:eastAsia="fr-FR"/>
              </w:rPr>
              <w:t>Représentant de l’Organisation des Nations Unies pour l’Education, la Science et la Culture (UNESCO)</w:t>
            </w:r>
          </w:p>
          <w:p w14:paraId="72AE07F9"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tc>
        <w:tc>
          <w:tcPr>
            <w:tcW w:w="4674" w:type="dxa"/>
          </w:tcPr>
          <w:p w14:paraId="1974E27B" w14:textId="77777777" w:rsidR="008F4083" w:rsidRPr="008F4083" w:rsidRDefault="008F4083" w:rsidP="00C7001F">
            <w:pPr>
              <w:spacing w:after="0" w:line="240" w:lineRule="auto"/>
              <w:rPr>
                <w:rFonts w:ascii="Times New Roman" w:hAnsi="Times New Roman" w:cs="Times New Roman"/>
                <w:b/>
                <w:noProof w:val="0"/>
              </w:rPr>
            </w:pPr>
            <w:r w:rsidRPr="008F4083">
              <w:rPr>
                <w:rFonts w:ascii="Times New Roman" w:hAnsi="Times New Roman" w:cs="Times New Roman"/>
                <w:b/>
                <w:bCs/>
                <w:noProof w:val="0"/>
              </w:rPr>
              <w:t>M. ……..</w:t>
            </w:r>
          </w:p>
          <w:p w14:paraId="34214873" w14:textId="77777777" w:rsidR="008F4083" w:rsidRPr="008F4083" w:rsidRDefault="008F4083" w:rsidP="00C7001F">
            <w:pPr>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Représentant &amp; Directeur Régional de l’Organisation des Nations Unies pour le Développement Industriel (ONUDI)</w:t>
            </w:r>
          </w:p>
          <w:p w14:paraId="7BE52D5B"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tc>
      </w:tr>
      <w:tr w:rsidR="008F4083" w:rsidRPr="008F4083" w14:paraId="06DEABF7" w14:textId="77777777" w:rsidTr="007971EA">
        <w:trPr>
          <w:trHeight w:val="1197"/>
        </w:trPr>
        <w:tc>
          <w:tcPr>
            <w:tcW w:w="5208" w:type="dxa"/>
          </w:tcPr>
          <w:p w14:paraId="7081D1BA"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 Florent Mehaule</w:t>
            </w:r>
          </w:p>
          <w:p w14:paraId="3F57C38F"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Chef du Bureau de Coordination des affaires humanitaires (OCHA)</w:t>
            </w:r>
          </w:p>
        </w:tc>
        <w:tc>
          <w:tcPr>
            <w:tcW w:w="4674" w:type="dxa"/>
          </w:tcPr>
          <w:p w14:paraId="24F60983"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8F4083">
              <w:rPr>
                <w:rFonts w:ascii="Times New Roman" w:eastAsia="Times New Roman" w:hAnsi="Times New Roman" w:cs="Times New Roman"/>
                <w:b/>
                <w:noProof w:val="0"/>
                <w:lang w:eastAsia="fr-FR"/>
              </w:rPr>
              <w:t>Mme Aminata Maiga</w:t>
            </w:r>
          </w:p>
          <w:p w14:paraId="0DD7A1C9"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r w:rsidRPr="008F4083">
              <w:rPr>
                <w:rFonts w:ascii="Times New Roman" w:eastAsia="Times New Roman" w:hAnsi="Times New Roman" w:cs="Times New Roman"/>
                <w:noProof w:val="0"/>
                <w:lang w:eastAsia="fr-FR"/>
              </w:rPr>
              <w:t>Point Focal de l’Organisation Internationale du Travail (OIT)</w:t>
            </w:r>
          </w:p>
          <w:p w14:paraId="24666287" w14:textId="77777777" w:rsidR="008F4083" w:rsidRPr="008F4083" w:rsidRDefault="008F4083" w:rsidP="00C7001F">
            <w:pPr>
              <w:widowControl w:val="0"/>
              <w:autoSpaceDE w:val="0"/>
              <w:autoSpaceDN w:val="0"/>
              <w:adjustRightInd w:val="0"/>
              <w:spacing w:after="0" w:line="240" w:lineRule="auto"/>
              <w:rPr>
                <w:rFonts w:ascii="Times New Roman" w:eastAsia="Times New Roman" w:hAnsi="Times New Roman" w:cs="Times New Roman"/>
                <w:noProof w:val="0"/>
                <w:lang w:eastAsia="fr-FR"/>
              </w:rPr>
            </w:pPr>
          </w:p>
        </w:tc>
      </w:tr>
      <w:tr w:rsidR="008F4083" w:rsidRPr="008F4083" w14:paraId="6E360696" w14:textId="77777777" w:rsidTr="007971EA">
        <w:trPr>
          <w:trHeight w:val="1053"/>
        </w:trPr>
        <w:tc>
          <w:tcPr>
            <w:tcW w:w="5208" w:type="dxa"/>
          </w:tcPr>
          <w:p w14:paraId="2777CAD2" w14:textId="77777777" w:rsidR="008F4083" w:rsidRPr="00793045" w:rsidRDefault="008F4083" w:rsidP="00C7001F">
            <w:pPr>
              <w:widowControl w:val="0"/>
              <w:autoSpaceDE w:val="0"/>
              <w:autoSpaceDN w:val="0"/>
              <w:adjustRightInd w:val="0"/>
              <w:spacing w:after="0" w:line="240" w:lineRule="auto"/>
              <w:rPr>
                <w:rFonts w:ascii="Times New Roman" w:eastAsia="Times New Roman" w:hAnsi="Times New Roman" w:cs="Times New Roman"/>
                <w:b/>
                <w:noProof w:val="0"/>
                <w:lang w:eastAsia="fr-FR"/>
              </w:rPr>
            </w:pPr>
            <w:r w:rsidRPr="00793045">
              <w:rPr>
                <w:rFonts w:ascii="Times New Roman" w:eastAsia="Times New Roman" w:hAnsi="Times New Roman" w:cs="Times New Roman"/>
                <w:b/>
                <w:noProof w:val="0"/>
                <w:lang w:eastAsia="fr-FR"/>
              </w:rPr>
              <w:t>Mme Juliette Koudenoukpo Biao</w:t>
            </w:r>
          </w:p>
          <w:p w14:paraId="39AC9496" w14:textId="77777777" w:rsidR="008F4083" w:rsidRPr="008F4083" w:rsidRDefault="008F4083" w:rsidP="00C7001F">
            <w:pPr>
              <w:autoSpaceDE w:val="0"/>
              <w:autoSpaceDN w:val="0"/>
              <w:adjustRightInd w:val="0"/>
              <w:spacing w:after="0" w:line="240" w:lineRule="auto"/>
              <w:rPr>
                <w:rFonts w:ascii="Times New Roman" w:hAnsi="Times New Roman" w:cs="Times New Roman"/>
                <w:noProof w:val="0"/>
                <w:color w:val="000000"/>
              </w:rPr>
            </w:pPr>
            <w:r w:rsidRPr="008F4083">
              <w:rPr>
                <w:rFonts w:ascii="Times New Roman" w:hAnsi="Times New Roman" w:cs="Times New Roman"/>
                <w:noProof w:val="0"/>
                <w:color w:val="000000"/>
              </w:rPr>
              <w:t xml:space="preserve">Directrice &amp; Représentante Régionale </w:t>
            </w:r>
          </w:p>
          <w:p w14:paraId="2CCCFE1C" w14:textId="77777777" w:rsidR="008F4083" w:rsidRDefault="008F4083" w:rsidP="008F4083">
            <w:pPr>
              <w:widowControl w:val="0"/>
              <w:autoSpaceDE w:val="0"/>
              <w:autoSpaceDN w:val="0"/>
              <w:adjustRightInd w:val="0"/>
              <w:spacing w:after="0" w:line="240" w:lineRule="auto"/>
              <w:rPr>
                <w:rFonts w:ascii="Times New Roman" w:hAnsi="Times New Roman" w:cs="Times New Roman"/>
                <w:noProof w:val="0"/>
                <w:color w:val="000000"/>
              </w:rPr>
            </w:pPr>
            <w:r w:rsidRPr="008F4083">
              <w:rPr>
                <w:rFonts w:ascii="Times New Roman" w:hAnsi="Times New Roman" w:cs="Times New Roman"/>
                <w:noProof w:val="0"/>
                <w:color w:val="000000"/>
              </w:rPr>
              <w:t xml:space="preserve">Bureau </w:t>
            </w:r>
            <w:r>
              <w:rPr>
                <w:rFonts w:ascii="Times New Roman" w:hAnsi="Times New Roman" w:cs="Times New Roman"/>
                <w:noProof w:val="0"/>
                <w:color w:val="000000"/>
              </w:rPr>
              <w:t>R</w:t>
            </w:r>
            <w:r w:rsidRPr="008F4083">
              <w:rPr>
                <w:rFonts w:ascii="Times New Roman" w:hAnsi="Times New Roman" w:cs="Times New Roman"/>
                <w:noProof w:val="0"/>
                <w:color w:val="000000"/>
              </w:rPr>
              <w:t>égional Afrique(UNEP)</w:t>
            </w:r>
          </w:p>
          <w:p w14:paraId="4F3D33D0" w14:textId="77777777" w:rsidR="007971EA" w:rsidRDefault="007971EA" w:rsidP="008F4083">
            <w:pPr>
              <w:widowControl w:val="0"/>
              <w:autoSpaceDE w:val="0"/>
              <w:autoSpaceDN w:val="0"/>
              <w:adjustRightInd w:val="0"/>
              <w:spacing w:after="0" w:line="240" w:lineRule="auto"/>
              <w:rPr>
                <w:rFonts w:ascii="Times New Roman" w:hAnsi="Times New Roman" w:cs="Times New Roman"/>
                <w:noProof w:val="0"/>
                <w:color w:val="000000"/>
              </w:rPr>
            </w:pPr>
          </w:p>
          <w:p w14:paraId="79F9A2E0" w14:textId="77777777" w:rsidR="007971EA" w:rsidRDefault="007971EA" w:rsidP="008F4083">
            <w:pPr>
              <w:widowControl w:val="0"/>
              <w:autoSpaceDE w:val="0"/>
              <w:autoSpaceDN w:val="0"/>
              <w:adjustRightInd w:val="0"/>
              <w:spacing w:after="0" w:line="240" w:lineRule="auto"/>
              <w:rPr>
                <w:rFonts w:ascii="Times New Roman" w:hAnsi="Times New Roman" w:cs="Times New Roman"/>
                <w:noProof w:val="0"/>
                <w:color w:val="000000"/>
              </w:rPr>
            </w:pPr>
          </w:p>
          <w:p w14:paraId="78EA764A" w14:textId="77777777" w:rsidR="007971EA" w:rsidRDefault="007971EA" w:rsidP="008F4083">
            <w:pPr>
              <w:widowControl w:val="0"/>
              <w:autoSpaceDE w:val="0"/>
              <w:autoSpaceDN w:val="0"/>
              <w:adjustRightInd w:val="0"/>
              <w:spacing w:after="0" w:line="240" w:lineRule="auto"/>
              <w:rPr>
                <w:rFonts w:ascii="Times New Roman" w:hAnsi="Times New Roman" w:cs="Times New Roman"/>
                <w:noProof w:val="0"/>
                <w:color w:val="000000"/>
              </w:rPr>
            </w:pPr>
          </w:p>
          <w:p w14:paraId="55C8EC18" w14:textId="77777777" w:rsidR="007971EA" w:rsidRDefault="007971EA" w:rsidP="008F4083">
            <w:pPr>
              <w:widowControl w:val="0"/>
              <w:autoSpaceDE w:val="0"/>
              <w:autoSpaceDN w:val="0"/>
              <w:adjustRightInd w:val="0"/>
              <w:spacing w:after="0" w:line="240" w:lineRule="auto"/>
              <w:rPr>
                <w:rFonts w:ascii="Times New Roman" w:hAnsi="Times New Roman" w:cs="Times New Roman"/>
                <w:noProof w:val="0"/>
                <w:color w:val="000000"/>
              </w:rPr>
            </w:pPr>
          </w:p>
          <w:p w14:paraId="18162E43" w14:textId="77777777" w:rsidR="007971EA" w:rsidRPr="008F4083" w:rsidRDefault="007971EA" w:rsidP="008F4083">
            <w:pPr>
              <w:widowControl w:val="0"/>
              <w:autoSpaceDE w:val="0"/>
              <w:autoSpaceDN w:val="0"/>
              <w:adjustRightInd w:val="0"/>
              <w:spacing w:after="0" w:line="240" w:lineRule="auto"/>
              <w:rPr>
                <w:rFonts w:ascii="Times New Roman" w:hAnsi="Times New Roman" w:cs="Times New Roman"/>
              </w:rPr>
            </w:pPr>
          </w:p>
        </w:tc>
        <w:tc>
          <w:tcPr>
            <w:tcW w:w="4674" w:type="dxa"/>
          </w:tcPr>
          <w:p w14:paraId="25F97624" w14:textId="77777777" w:rsidR="008F4083" w:rsidRPr="008F4083" w:rsidRDefault="008F4083" w:rsidP="00C7001F">
            <w:pPr>
              <w:widowControl w:val="0"/>
              <w:autoSpaceDE w:val="0"/>
              <w:autoSpaceDN w:val="0"/>
              <w:adjustRightInd w:val="0"/>
              <w:spacing w:after="0" w:line="240" w:lineRule="auto"/>
              <w:rPr>
                <w:rFonts w:ascii="Times New Roman" w:hAnsi="Times New Roman" w:cs="Times New Roman"/>
              </w:rPr>
            </w:pPr>
          </w:p>
        </w:tc>
      </w:tr>
      <w:tr w:rsidR="007971EA" w:rsidRPr="008F4083" w14:paraId="43C9C398" w14:textId="77777777" w:rsidTr="007971EA">
        <w:trPr>
          <w:trHeight w:val="282"/>
        </w:trPr>
        <w:tc>
          <w:tcPr>
            <w:tcW w:w="5208" w:type="dxa"/>
          </w:tcPr>
          <w:p w14:paraId="29A79B95" w14:textId="77777777" w:rsidR="007971EA" w:rsidRDefault="007971EA" w:rsidP="00C7001F">
            <w:pPr>
              <w:widowControl w:val="0"/>
              <w:autoSpaceDE w:val="0"/>
              <w:autoSpaceDN w:val="0"/>
              <w:adjustRightInd w:val="0"/>
              <w:spacing w:after="0" w:line="240" w:lineRule="auto"/>
              <w:rPr>
                <w:rFonts w:ascii="Times New Roman" w:eastAsia="Times New Roman" w:hAnsi="Times New Roman" w:cs="Times New Roman"/>
                <w:b/>
                <w:noProof w:val="0"/>
                <w:lang w:val="en-US" w:eastAsia="fr-FR"/>
              </w:rPr>
            </w:pPr>
          </w:p>
          <w:p w14:paraId="1E087CF8" w14:textId="77777777" w:rsidR="007971EA" w:rsidRPr="008F4083" w:rsidRDefault="007971EA" w:rsidP="00C7001F">
            <w:pPr>
              <w:widowControl w:val="0"/>
              <w:autoSpaceDE w:val="0"/>
              <w:autoSpaceDN w:val="0"/>
              <w:adjustRightInd w:val="0"/>
              <w:spacing w:after="0" w:line="240" w:lineRule="auto"/>
              <w:rPr>
                <w:rFonts w:ascii="Times New Roman" w:eastAsia="Times New Roman" w:hAnsi="Times New Roman" w:cs="Times New Roman"/>
                <w:b/>
                <w:noProof w:val="0"/>
                <w:lang w:val="en-US" w:eastAsia="fr-FR"/>
              </w:rPr>
            </w:pPr>
          </w:p>
        </w:tc>
        <w:tc>
          <w:tcPr>
            <w:tcW w:w="4674" w:type="dxa"/>
          </w:tcPr>
          <w:p w14:paraId="46AF07C4" w14:textId="77777777" w:rsidR="007971EA" w:rsidRPr="008F4083" w:rsidRDefault="007971EA" w:rsidP="00C7001F">
            <w:pPr>
              <w:widowControl w:val="0"/>
              <w:autoSpaceDE w:val="0"/>
              <w:autoSpaceDN w:val="0"/>
              <w:adjustRightInd w:val="0"/>
              <w:spacing w:after="0" w:line="240" w:lineRule="auto"/>
              <w:rPr>
                <w:rFonts w:ascii="Times New Roman" w:hAnsi="Times New Roman" w:cs="Times New Roman"/>
              </w:rPr>
            </w:pPr>
          </w:p>
        </w:tc>
      </w:tr>
    </w:tbl>
    <w:p w14:paraId="2E616C72" w14:textId="77777777" w:rsidR="008F4083" w:rsidRPr="008F4083" w:rsidRDefault="008F4083" w:rsidP="008F4083">
      <w:pPr>
        <w:sectPr w:rsidR="008F4083" w:rsidRPr="008F4083">
          <w:pgSz w:w="11906" w:h="16838"/>
          <w:pgMar w:top="1417" w:right="1417" w:bottom="1417" w:left="1417" w:header="708" w:footer="708" w:gutter="0"/>
          <w:cols w:space="708"/>
          <w:docGrid w:linePitch="360"/>
        </w:sectPr>
      </w:pPr>
    </w:p>
    <w:p w14:paraId="6A8A1D2A" w14:textId="77777777" w:rsidR="00AA6568" w:rsidRDefault="007971EA" w:rsidP="00DA1C68">
      <w:pPr>
        <w:pStyle w:val="Heading2"/>
        <w:pBdr>
          <w:bottom w:val="single" w:sz="4" w:space="1" w:color="auto"/>
        </w:pBdr>
        <w:jc w:val="left"/>
      </w:pPr>
      <w:bookmarkStart w:id="9" w:name="_Toc459363396"/>
      <w:r w:rsidRPr="007971EA">
        <w:lastRenderedPageBreak/>
        <w:t>Résumé</w:t>
      </w:r>
      <w:r w:rsidR="00DA1C68">
        <w:t xml:space="preserve"> Exécutif</w:t>
      </w:r>
      <w:bookmarkEnd w:id="9"/>
    </w:p>
    <w:p w14:paraId="4F8DC699" w14:textId="77777777" w:rsidR="00DA1C68" w:rsidRDefault="00DA1C68" w:rsidP="00DA1C68"/>
    <w:p w14:paraId="51C92176" w14:textId="6C9F2690" w:rsidR="00684A32" w:rsidRDefault="00684A32" w:rsidP="005D77A0">
      <w:pPr>
        <w:jc w:val="both"/>
        <w:rPr>
          <w:rFonts w:ascii="Times New Roman" w:hAnsi="Times New Roman"/>
          <w:szCs w:val="24"/>
        </w:rPr>
      </w:pPr>
      <w:r>
        <w:rPr>
          <w:rFonts w:ascii="Times New Roman" w:hAnsi="Times New Roman"/>
        </w:rPr>
        <w:t>L</w:t>
      </w:r>
      <w:r w:rsidRPr="000318CE">
        <w:rPr>
          <w:rFonts w:ascii="Times New Roman" w:hAnsi="Times New Roman"/>
        </w:rPr>
        <w:t>e plan cadre des Nations Unies d’assistance au développement (</w:t>
      </w:r>
      <w:r>
        <w:rPr>
          <w:rFonts w:ascii="Times New Roman" w:hAnsi="Times New Roman"/>
        </w:rPr>
        <w:t xml:space="preserve">UNDAF </w:t>
      </w:r>
      <w:r w:rsidRPr="000318CE">
        <w:rPr>
          <w:rFonts w:ascii="Times New Roman" w:hAnsi="Times New Roman"/>
        </w:rPr>
        <w:t>2017-2021</w:t>
      </w:r>
      <w:r w:rsidR="005D77A0">
        <w:rPr>
          <w:rFonts w:ascii="Times New Roman" w:hAnsi="Times New Roman"/>
        </w:rPr>
        <w:t xml:space="preserve">) </w:t>
      </w:r>
      <w:r w:rsidR="005D77A0">
        <w:rPr>
          <w:rFonts w:ascii="Times New Roman" w:hAnsi="Times New Roman"/>
          <w:szCs w:val="24"/>
        </w:rPr>
        <w:t>constitue la réponse contributive des Nations Unies aux défis prioritaires de développement identifiés dans la vision 2030 du pays et déclinés dans le Plan Quinquennal (2016-2020). Il fixe ainsi les orientations priorirtaires pour le SNU, à l’ho</w:t>
      </w:r>
      <w:r w:rsidR="002643A5">
        <w:rPr>
          <w:rFonts w:ascii="Times New Roman" w:hAnsi="Times New Roman"/>
          <w:szCs w:val="24"/>
        </w:rPr>
        <w:t>rizon 2021 et décline la stratégie des Nations Unies dans le cadre du renforcement de son unité d’action au Tchad.</w:t>
      </w:r>
    </w:p>
    <w:p w14:paraId="0487BF78" w14:textId="53001551" w:rsidR="0024127E" w:rsidRDefault="002643A5" w:rsidP="0024127E">
      <w:pPr>
        <w:jc w:val="both"/>
        <w:rPr>
          <w:rFonts w:ascii="Times New Roman" w:hAnsi="Times New Roman"/>
          <w:b/>
          <w:i/>
          <w:szCs w:val="24"/>
        </w:rPr>
      </w:pPr>
      <w:r>
        <w:rPr>
          <w:rFonts w:ascii="Times New Roman" w:hAnsi="Times New Roman"/>
          <w:szCs w:val="24"/>
        </w:rPr>
        <w:t xml:space="preserve">L’UNDAF 2017-2021 ambitionne d’accompagner « la Vision 2030, le Tchad que nous voulons » </w:t>
      </w:r>
      <w:r w:rsidR="0024127E">
        <w:rPr>
          <w:rFonts w:ascii="Times New Roman" w:hAnsi="Times New Roman"/>
          <w:szCs w:val="24"/>
        </w:rPr>
        <w:t xml:space="preserve">qui </w:t>
      </w:r>
      <w:r w:rsidR="0024127E" w:rsidRPr="0024127E">
        <w:rPr>
          <w:rFonts w:ascii="Times New Roman" w:hAnsi="Times New Roman"/>
          <w:szCs w:val="24"/>
        </w:rPr>
        <w:t xml:space="preserve">correspond à l’image d’avenir que les Tchadiens veulent partager. Elle repose en priorité sur une Nation unie, solidaire et en paix afin de faire du Tchad </w:t>
      </w:r>
      <w:r w:rsidR="0024127E" w:rsidRPr="0024127E">
        <w:rPr>
          <w:rFonts w:ascii="Times New Roman" w:hAnsi="Times New Roman"/>
          <w:b/>
          <w:i/>
          <w:szCs w:val="24"/>
        </w:rPr>
        <w:t>«une puissance régionale émergente à l’horizon 2030, portée par des sources de croissance diversifiées et durables, créatrices de valeurs ajoutées et d’emplois et assurant à chaque Tchadien un accès adéquat aux services sociaux de base, à un logement décent et à une offre adéquate de formation ».</w:t>
      </w:r>
    </w:p>
    <w:p w14:paraId="4C67DB75" w14:textId="1FE74328" w:rsidR="0024127E" w:rsidRDefault="0024127E" w:rsidP="0024127E">
      <w:pPr>
        <w:jc w:val="both"/>
        <w:rPr>
          <w:rFonts w:ascii="Times New Roman" w:hAnsi="Times New Roman"/>
        </w:rPr>
      </w:pPr>
      <w:r>
        <w:rPr>
          <w:rFonts w:ascii="Times New Roman" w:hAnsi="Times New Roman"/>
          <w:szCs w:val="24"/>
        </w:rPr>
        <w:t xml:space="preserve">Cet UNDAF a été formulé dans le contexte post 2015, avec la persistance des défis en matière de développement car il ressort clairement de l’évaluation des OMD, que la </w:t>
      </w:r>
      <w:r w:rsidRPr="00E81E46">
        <w:rPr>
          <w:rFonts w:ascii="Times New Roman" w:hAnsi="Times New Roman"/>
        </w:rPr>
        <w:t>plupart des cibles n’ont pas été atteintes</w:t>
      </w:r>
      <w:r w:rsidR="009D783B">
        <w:rPr>
          <w:rFonts w:ascii="Times New Roman" w:hAnsi="Times New Roman"/>
        </w:rPr>
        <w:t xml:space="preserve">. D’où, l’importance pour le SNU de saisir l’opportunité qu’offre l’adoption récente des Objectifs de développement Durables (ODDs) </w:t>
      </w:r>
      <w:r w:rsidR="00FE377B">
        <w:rPr>
          <w:rFonts w:ascii="Times New Roman" w:hAnsi="Times New Roman"/>
        </w:rPr>
        <w:t>afin d’</w:t>
      </w:r>
      <w:r w:rsidR="009D783B">
        <w:rPr>
          <w:rFonts w:ascii="Times New Roman" w:hAnsi="Times New Roman"/>
        </w:rPr>
        <w:t>imprimer une approche de développement adaptée aux réalités du contexte tchadien, flexible et</w:t>
      </w:r>
      <w:r w:rsidR="0041349D">
        <w:rPr>
          <w:rFonts w:ascii="Times New Roman" w:hAnsi="Times New Roman"/>
        </w:rPr>
        <w:t xml:space="preserve"> </w:t>
      </w:r>
      <w:r w:rsidR="00716E02" w:rsidRPr="00716E02">
        <w:rPr>
          <w:rFonts w:ascii="Times New Roman" w:hAnsi="Times New Roman"/>
        </w:rPr>
        <w:t>mett</w:t>
      </w:r>
      <w:r w:rsidR="00716E02">
        <w:rPr>
          <w:rFonts w:ascii="Times New Roman" w:hAnsi="Times New Roman"/>
        </w:rPr>
        <w:t>ant</w:t>
      </w:r>
      <w:r w:rsidR="00716E02" w:rsidRPr="00716E02">
        <w:rPr>
          <w:rFonts w:ascii="Times New Roman" w:hAnsi="Times New Roman"/>
        </w:rPr>
        <w:t xml:space="preserve"> les plus vulnérables au cœur des programmes de développement tout en s’assurant « qu’aucun n’est laissé  pour compte».</w:t>
      </w:r>
      <w:r w:rsidR="0041349D">
        <w:rPr>
          <w:rFonts w:ascii="Times New Roman" w:hAnsi="Times New Roman"/>
        </w:rPr>
        <w:t xml:space="preserve"> Le SNU mettra au cœur de ses interventions, les principes de programmation du SNU que sont :</w:t>
      </w:r>
      <w:r w:rsidR="00716E02" w:rsidRPr="00716E02">
        <w:t xml:space="preserve"> </w:t>
      </w:r>
      <w:r w:rsidR="00716E02" w:rsidRPr="00716E02">
        <w:rPr>
          <w:rFonts w:ascii="Times New Roman" w:hAnsi="Times New Roman"/>
        </w:rPr>
        <w:t>i) les droits humains, la lutte contre les inégalités et la discrimination, y compris l'égalité des sexes; ii) la durabilité, réduction des risques environnementaux, lutte contre le changement climatique et renforcement de la résilience; et iii) la redevabilité sous-tendue par la gestion axée sur les résultats, le renforcement des capacités nationales et des systèmes d’information.</w:t>
      </w:r>
    </w:p>
    <w:p w14:paraId="224B8E8C" w14:textId="05131039" w:rsidR="00A97469" w:rsidRDefault="00A97469" w:rsidP="00A97469">
      <w:pPr>
        <w:jc w:val="both"/>
        <w:rPr>
          <w:rFonts w:ascii="Times New Roman" w:hAnsi="Times New Roman"/>
        </w:rPr>
      </w:pPr>
      <w:r>
        <w:rPr>
          <w:rFonts w:ascii="Times New Roman" w:hAnsi="Times New Roman"/>
        </w:rPr>
        <w:t>A travers, l’UNDAF 2017-2021, le SNU entend lier la réponse humanitaire au développement. Idée force de ce</w:t>
      </w:r>
      <w:r w:rsidR="00DD0C46">
        <w:rPr>
          <w:rFonts w:ascii="Times New Roman" w:hAnsi="Times New Roman"/>
        </w:rPr>
        <w:t>t UNDAF</w:t>
      </w:r>
      <w:r>
        <w:rPr>
          <w:rFonts w:ascii="Times New Roman" w:hAnsi="Times New Roman"/>
        </w:rPr>
        <w:t xml:space="preserve">, </w:t>
      </w:r>
      <w:r w:rsidR="00C734D0">
        <w:rPr>
          <w:rFonts w:ascii="Times New Roman" w:hAnsi="Times New Roman"/>
        </w:rPr>
        <w:t>la prise en compte de l’</w:t>
      </w:r>
      <w:r w:rsidRPr="00A97469">
        <w:rPr>
          <w:rFonts w:ascii="Times New Roman" w:hAnsi="Times New Roman"/>
        </w:rPr>
        <w:t>humanitaire dans l’UNDAF est assise sur une démarche volontariste, visant à rompre avec une vision séquencée des réponses humanitaires et</w:t>
      </w:r>
      <w:r w:rsidR="00DE2144">
        <w:rPr>
          <w:rFonts w:ascii="Times New Roman" w:hAnsi="Times New Roman"/>
        </w:rPr>
        <w:t xml:space="preserve"> de la gestion du développement et</w:t>
      </w:r>
      <w:r w:rsidRPr="00A97469">
        <w:rPr>
          <w:rFonts w:ascii="Times New Roman" w:hAnsi="Times New Roman"/>
        </w:rPr>
        <w:t xml:space="preserve"> participe aussi de la volonté de l’Equipe de Pays de traduire les conclusions du sommet humanitaire mondial</w:t>
      </w:r>
      <w:r w:rsidR="00DD0C46">
        <w:rPr>
          <w:rFonts w:ascii="Times New Roman" w:hAnsi="Times New Roman"/>
        </w:rPr>
        <w:t xml:space="preserve"> </w:t>
      </w:r>
      <w:r w:rsidRPr="00A97469">
        <w:rPr>
          <w:rFonts w:ascii="Times New Roman" w:hAnsi="Times New Roman"/>
        </w:rPr>
        <w:t>(WHS) tenu en mai 2016 à Istambul, en actions concrètes pour relever les défis qui se posent au Tchad.</w:t>
      </w:r>
    </w:p>
    <w:p w14:paraId="789A3CFD" w14:textId="3DD21B5E" w:rsidR="00DE2144" w:rsidRDefault="00DE2144" w:rsidP="00A97469">
      <w:pPr>
        <w:jc w:val="both"/>
        <w:rPr>
          <w:rFonts w:ascii="Times New Roman" w:hAnsi="Times New Roman"/>
        </w:rPr>
      </w:pPr>
      <w:r>
        <w:rPr>
          <w:rFonts w:ascii="Times New Roman" w:hAnsi="Times New Roman"/>
        </w:rPr>
        <w:t xml:space="preserve">Il s’agit ainsi pour l’Equipe de pays de bâtir un partenariat stratégique et fructueux tant avec le gouvernement, qu’avec la communauté de développement au </w:t>
      </w:r>
      <w:r w:rsidR="003740A3">
        <w:rPr>
          <w:rFonts w:ascii="Times New Roman" w:hAnsi="Times New Roman"/>
        </w:rPr>
        <w:t>Tchad qu’avec les partenaires techniques et financiers. Ce partenariat stratégique devra concourrir à l’atteinte des sept</w:t>
      </w:r>
      <w:r w:rsidR="00DD0C46">
        <w:rPr>
          <w:rFonts w:ascii="Times New Roman" w:hAnsi="Times New Roman"/>
        </w:rPr>
        <w:t xml:space="preserve"> </w:t>
      </w:r>
      <w:r w:rsidR="003740A3">
        <w:rPr>
          <w:rFonts w:ascii="Times New Roman" w:hAnsi="Times New Roman"/>
        </w:rPr>
        <w:t>(7) effets identifiés</w:t>
      </w:r>
      <w:r w:rsidR="00FB6608">
        <w:rPr>
          <w:rFonts w:ascii="Times New Roman" w:hAnsi="Times New Roman"/>
        </w:rPr>
        <w:t>, d’ici à fin 2021</w:t>
      </w:r>
      <w:r w:rsidR="003740A3">
        <w:rPr>
          <w:rFonts w:ascii="Times New Roman" w:hAnsi="Times New Roman"/>
        </w:rPr>
        <w:t> :</w:t>
      </w:r>
    </w:p>
    <w:p w14:paraId="49C6E7E4" w14:textId="3912E301" w:rsidR="00440448" w:rsidRPr="00440448" w:rsidRDefault="00FB6608" w:rsidP="00440448">
      <w:pPr>
        <w:jc w:val="both"/>
        <w:rPr>
          <w:rFonts w:ascii="Times New Roman" w:hAnsi="Times New Roman"/>
          <w:szCs w:val="24"/>
        </w:rPr>
      </w:pPr>
      <w:r>
        <w:rPr>
          <w:rFonts w:ascii="Times New Roman" w:hAnsi="Times New Roman"/>
          <w:szCs w:val="24"/>
        </w:rPr>
        <w:t>i)</w:t>
      </w:r>
      <w:r>
        <w:rPr>
          <w:rFonts w:ascii="Times New Roman" w:hAnsi="Times New Roman"/>
          <w:szCs w:val="24"/>
        </w:rPr>
        <w:tab/>
        <w:t>L</w:t>
      </w:r>
      <w:r w:rsidR="00440448" w:rsidRPr="00440448">
        <w:rPr>
          <w:rFonts w:ascii="Times New Roman" w:hAnsi="Times New Roman"/>
          <w:szCs w:val="24"/>
        </w:rPr>
        <w:t xml:space="preserve">es enfants d’âge préscolaire et scolaire, les jeunes et les adultes non alphabétisés les plus vulnérables des deux sexes incluant les refugiés dans les zones ciblées, utilisent davantage des services de qualité d’éducation, de formation professionnelle et  d’alphabétisation;  </w:t>
      </w:r>
    </w:p>
    <w:p w14:paraId="6EBAE3E7" w14:textId="768F0E94" w:rsidR="00440448" w:rsidRPr="00440448" w:rsidRDefault="00FB6608" w:rsidP="00440448">
      <w:pPr>
        <w:jc w:val="both"/>
        <w:rPr>
          <w:rFonts w:ascii="Times New Roman" w:hAnsi="Times New Roman"/>
          <w:szCs w:val="24"/>
        </w:rPr>
      </w:pPr>
      <w:r>
        <w:rPr>
          <w:rFonts w:ascii="Times New Roman" w:hAnsi="Times New Roman"/>
          <w:szCs w:val="24"/>
        </w:rPr>
        <w:t>ii)</w:t>
      </w:r>
      <w:r>
        <w:rPr>
          <w:rFonts w:ascii="Times New Roman" w:hAnsi="Times New Roman"/>
          <w:szCs w:val="24"/>
        </w:rPr>
        <w:tab/>
        <w:t>L</w:t>
      </w:r>
      <w:r w:rsidR="00440448" w:rsidRPr="00440448">
        <w:rPr>
          <w:rFonts w:ascii="Times New Roman" w:hAnsi="Times New Roman"/>
          <w:szCs w:val="24"/>
        </w:rPr>
        <w:t>es populations les plus vulnérables dont les femmes, adolescent(e)s et enfants de moins de cinq ans, incluant les refugiés dans les zones ciblées, utilisent davantage les services intégrés de qualité de santé, nutrition et de bonnes pratiques d’alimentation, de prévention et traitement des maladies prioritaires notamment le VIH et le paludisme ;</w:t>
      </w:r>
    </w:p>
    <w:p w14:paraId="57C11A6C" w14:textId="77777777" w:rsidR="00E478AE" w:rsidRDefault="00FB6608" w:rsidP="00440448">
      <w:pPr>
        <w:jc w:val="both"/>
        <w:rPr>
          <w:rFonts w:ascii="Times New Roman" w:hAnsi="Times New Roman"/>
          <w:szCs w:val="24"/>
        </w:rPr>
      </w:pPr>
      <w:r>
        <w:rPr>
          <w:rFonts w:ascii="Times New Roman" w:hAnsi="Times New Roman"/>
          <w:szCs w:val="24"/>
        </w:rPr>
        <w:t>iii)</w:t>
      </w:r>
      <w:r>
        <w:rPr>
          <w:rFonts w:ascii="Times New Roman" w:hAnsi="Times New Roman"/>
          <w:szCs w:val="24"/>
        </w:rPr>
        <w:tab/>
        <w:t>L</w:t>
      </w:r>
      <w:r w:rsidR="00440448" w:rsidRPr="00440448">
        <w:rPr>
          <w:rFonts w:ascii="Times New Roman" w:hAnsi="Times New Roman"/>
          <w:szCs w:val="24"/>
        </w:rPr>
        <w:t>es populations vulnérables incluant les refugiés, dans les zones ciblées , utilisent de manière accrue et durable les services d’approvisionnement en eau potable, assurent un meilleur assainissement et adoptent</w:t>
      </w:r>
      <w:r w:rsidR="00E478AE">
        <w:rPr>
          <w:rFonts w:ascii="Times New Roman" w:hAnsi="Times New Roman"/>
          <w:szCs w:val="24"/>
        </w:rPr>
        <w:t xml:space="preserve"> des bonnes pratiques d’hygiène</w:t>
      </w:r>
    </w:p>
    <w:p w14:paraId="163CB235" w14:textId="6BC8F94A" w:rsidR="00440448" w:rsidRPr="00FB6608" w:rsidRDefault="00E478AE" w:rsidP="00440448">
      <w:pPr>
        <w:jc w:val="both"/>
        <w:rPr>
          <w:rFonts w:ascii="Times New Roman" w:hAnsi="Times New Roman"/>
          <w:szCs w:val="24"/>
        </w:rPr>
      </w:pPr>
      <w:r>
        <w:rPr>
          <w:rFonts w:ascii="Times New Roman" w:hAnsi="Times New Roman"/>
          <w:szCs w:val="24"/>
        </w:rPr>
        <w:lastRenderedPageBreak/>
        <w:t>iv)   L</w:t>
      </w:r>
      <w:r w:rsidR="00440448" w:rsidRPr="00F02C1A">
        <w:rPr>
          <w:rFonts w:ascii="Times New Roman" w:hAnsi="Times New Roman" w:cs="Times New Roman"/>
        </w:rPr>
        <w:t>’Etat adopte, met en œuvre et promeut l’utilisation des systèmes de protection sociale, de protection de l’enfance, de préparation et gestion des crises et catastrophes, et de relèvement rapide</w:t>
      </w:r>
    </w:p>
    <w:p w14:paraId="318D5F37" w14:textId="7FA85DD7" w:rsidR="00440448" w:rsidRPr="00E478AE" w:rsidRDefault="00E478AE" w:rsidP="00440448">
      <w:pPr>
        <w:jc w:val="both"/>
        <w:rPr>
          <w:rFonts w:ascii="Times New Roman" w:hAnsi="Times New Roman"/>
          <w:szCs w:val="24"/>
        </w:rPr>
      </w:pPr>
      <w:r>
        <w:rPr>
          <w:rFonts w:ascii="Times New Roman" w:hAnsi="Times New Roman"/>
          <w:szCs w:val="24"/>
        </w:rPr>
        <w:t xml:space="preserve">v)     </w:t>
      </w:r>
      <w:r w:rsidRPr="00E478AE">
        <w:rPr>
          <w:rFonts w:ascii="Times New Roman" w:hAnsi="Times New Roman"/>
          <w:szCs w:val="24"/>
        </w:rPr>
        <w:t>L</w:t>
      </w:r>
      <w:r w:rsidR="00440448" w:rsidRPr="00E478AE">
        <w:rPr>
          <w:rFonts w:ascii="Times New Roman" w:hAnsi="Times New Roman"/>
          <w:szCs w:val="24"/>
        </w:rPr>
        <w:t>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w:t>
      </w:r>
    </w:p>
    <w:p w14:paraId="3127C9DD" w14:textId="79251084" w:rsidR="00440448" w:rsidRPr="00E478AE" w:rsidRDefault="00E478AE" w:rsidP="00E478AE">
      <w:pPr>
        <w:jc w:val="both"/>
        <w:rPr>
          <w:rFonts w:ascii="Times New Roman" w:hAnsi="Times New Roman"/>
        </w:rPr>
      </w:pPr>
      <w:r>
        <w:rPr>
          <w:rFonts w:ascii="Times New Roman" w:hAnsi="Times New Roman"/>
        </w:rPr>
        <w:t xml:space="preserve">vi)    Les </w:t>
      </w:r>
      <w:r w:rsidR="00440448" w:rsidRPr="00E478AE">
        <w:rPr>
          <w:rFonts w:ascii="Times New Roman" w:hAnsi="Times New Roman"/>
        </w:rPr>
        <w:t>institutions nationales et locales appliquent davantage les bonnes pratiques de gouvernance inclusive, promouvant la démocratie, l’Etat de droit, la cohésion sociale et l’utilisation équitable des services publics de qualité, y compris pour les réfugiés</w:t>
      </w:r>
    </w:p>
    <w:p w14:paraId="5E77E78B" w14:textId="1DF78B45" w:rsidR="00440448" w:rsidRPr="00E478AE" w:rsidRDefault="00E478AE" w:rsidP="00E478AE">
      <w:pPr>
        <w:jc w:val="both"/>
        <w:rPr>
          <w:rFonts w:ascii="Times New Roman" w:hAnsi="Times New Roman"/>
        </w:rPr>
      </w:pPr>
      <w:r>
        <w:rPr>
          <w:rFonts w:ascii="Times New Roman" w:hAnsi="Times New Roman"/>
        </w:rPr>
        <w:t>vii) L</w:t>
      </w:r>
      <w:r w:rsidR="00440448" w:rsidRPr="00E478AE">
        <w:rPr>
          <w:rFonts w:ascii="Times New Roman" w:hAnsi="Times New Roman"/>
        </w:rPr>
        <w:t>’Etat met en œuvre une politique nationale de développement impulsant une croissance inclusive engendrant la création d'emplois et d'opportunités notamment en faveur des jeunes et des femmes y compris les réfugiés</w:t>
      </w:r>
    </w:p>
    <w:p w14:paraId="0F6D3BE3" w14:textId="018CF284" w:rsidR="002643A5" w:rsidRDefault="00FE377B" w:rsidP="005D77A0">
      <w:pPr>
        <w:jc w:val="both"/>
        <w:rPr>
          <w:rFonts w:ascii="Times New Roman" w:hAnsi="Times New Roman"/>
        </w:rPr>
      </w:pPr>
      <w:r>
        <w:rPr>
          <w:rFonts w:ascii="Times New Roman" w:hAnsi="Times New Roman"/>
        </w:rPr>
        <w:t>En vue d’attei</w:t>
      </w:r>
      <w:r w:rsidR="00E478AE">
        <w:rPr>
          <w:rFonts w:ascii="Times New Roman" w:hAnsi="Times New Roman"/>
        </w:rPr>
        <w:t>ndre ces résultats, le SNU envisage la mise en œuvre des stratégies innonvantes</w:t>
      </w:r>
      <w:r w:rsidR="00E8170E">
        <w:rPr>
          <w:rFonts w:ascii="Times New Roman" w:hAnsi="Times New Roman"/>
        </w:rPr>
        <w:t>, se focalisant sur les plus vulnérables dont :</w:t>
      </w:r>
    </w:p>
    <w:p w14:paraId="26916BF9" w14:textId="36F8D2F4" w:rsidR="00944274" w:rsidRPr="00DD0C46" w:rsidRDefault="00944274" w:rsidP="00944274">
      <w:pPr>
        <w:pStyle w:val="ListParagraph"/>
        <w:numPr>
          <w:ilvl w:val="0"/>
          <w:numId w:val="30"/>
        </w:numPr>
        <w:jc w:val="both"/>
        <w:rPr>
          <w:rFonts w:ascii="Times New Roman" w:hAnsi="Times New Roman"/>
          <w:sz w:val="22"/>
        </w:rPr>
      </w:pPr>
      <w:r w:rsidRPr="00DD0C46">
        <w:rPr>
          <w:rFonts w:ascii="Times New Roman" w:hAnsi="Times New Roman"/>
          <w:sz w:val="22"/>
        </w:rPr>
        <w:t xml:space="preserve">L’amélioration de l’environnement, de l’offre et de l’utilisation des actifs sociaux </w:t>
      </w:r>
      <w:r w:rsidR="009F5F47">
        <w:rPr>
          <w:rFonts w:ascii="Times New Roman" w:hAnsi="Times New Roman"/>
          <w:sz w:val="22"/>
        </w:rPr>
        <w:t xml:space="preserve">pour </w:t>
      </w:r>
      <w:r w:rsidRPr="00DD0C46">
        <w:rPr>
          <w:rFonts w:ascii="Times New Roman" w:hAnsi="Times New Roman"/>
          <w:sz w:val="22"/>
        </w:rPr>
        <w:t>permettre ainsi au pays d’opérer les transformations nécessaires afin de bénéficier des bonus du dividende démographique</w:t>
      </w:r>
    </w:p>
    <w:p w14:paraId="647ABFA8" w14:textId="0261B1E4" w:rsidR="00944274" w:rsidRPr="00DD0C46" w:rsidRDefault="00FE377B" w:rsidP="00A3113C">
      <w:pPr>
        <w:pStyle w:val="ListParagraph"/>
        <w:numPr>
          <w:ilvl w:val="0"/>
          <w:numId w:val="30"/>
        </w:numPr>
        <w:jc w:val="both"/>
        <w:rPr>
          <w:rFonts w:ascii="Times New Roman" w:hAnsi="Times New Roman"/>
          <w:sz w:val="22"/>
        </w:rPr>
      </w:pPr>
      <w:r>
        <w:rPr>
          <w:rFonts w:ascii="Times New Roman" w:hAnsi="Times New Roman"/>
          <w:sz w:val="22"/>
        </w:rPr>
        <w:t>La démultiplication d</w:t>
      </w:r>
      <w:r w:rsidR="00944274" w:rsidRPr="00DD0C46">
        <w:rPr>
          <w:rFonts w:ascii="Times New Roman" w:hAnsi="Times New Roman"/>
          <w:sz w:val="22"/>
        </w:rPr>
        <w:t xml:space="preserve">es efforts dans l’appui à la mise en œuvre des politiques et stratégies nationales </w:t>
      </w:r>
      <w:r w:rsidR="00A3113C" w:rsidRPr="00DD0C46">
        <w:rPr>
          <w:rFonts w:ascii="Times New Roman" w:hAnsi="Times New Roman"/>
          <w:sz w:val="22"/>
        </w:rPr>
        <w:t xml:space="preserve">visant à renforcer la </w:t>
      </w:r>
      <w:r w:rsidR="00944274" w:rsidRPr="00DD0C46">
        <w:rPr>
          <w:rFonts w:ascii="Times New Roman" w:hAnsi="Times New Roman"/>
          <w:sz w:val="22"/>
        </w:rPr>
        <w:t xml:space="preserve">protection sociale à travers la distribution alimentaire, les transferts monétaires et la promotion des filets sociaux d’une part et d’autre part, le renforcement des cadres juridiques et institutionnels de la protection sociale et de l’enfance; la réduction des risques de catastrophes à travers la mise en place d’un système de gouvernance des risques et des crises, la préparation et l’apport de réponses conjoncturelle et structurelle aux crises (urgence, développement); et </w:t>
      </w:r>
      <w:r w:rsidR="00A3113C" w:rsidRPr="00DD0C46">
        <w:rPr>
          <w:rFonts w:ascii="Times New Roman" w:hAnsi="Times New Roman"/>
          <w:sz w:val="22"/>
        </w:rPr>
        <w:t xml:space="preserve"> </w:t>
      </w:r>
      <w:r w:rsidR="00944274" w:rsidRPr="00DD0C46">
        <w:rPr>
          <w:rFonts w:ascii="Times New Roman" w:hAnsi="Times New Roman"/>
          <w:sz w:val="22"/>
        </w:rPr>
        <w:t>le renforcement des systèmes de production agro-pastoraux et de résilience aux changements climatiques et autres défis environnementaux.</w:t>
      </w:r>
    </w:p>
    <w:p w14:paraId="557EA2D2" w14:textId="3470F7C2" w:rsidR="00E8170E" w:rsidRPr="00DD0C46" w:rsidRDefault="00E95812" w:rsidP="00944274">
      <w:pPr>
        <w:pStyle w:val="ListParagraph"/>
        <w:numPr>
          <w:ilvl w:val="0"/>
          <w:numId w:val="30"/>
        </w:numPr>
        <w:jc w:val="both"/>
        <w:rPr>
          <w:rFonts w:ascii="Times New Roman" w:hAnsi="Times New Roman"/>
          <w:sz w:val="22"/>
        </w:rPr>
      </w:pPr>
      <w:r>
        <w:rPr>
          <w:rFonts w:ascii="Times New Roman" w:hAnsi="Times New Roman"/>
          <w:sz w:val="22"/>
        </w:rPr>
        <w:t xml:space="preserve">L’appui à </w:t>
      </w:r>
      <w:r w:rsidR="00944274" w:rsidRPr="00DD0C46">
        <w:rPr>
          <w:rFonts w:ascii="Times New Roman" w:hAnsi="Times New Roman"/>
          <w:sz w:val="22"/>
        </w:rPr>
        <w:t>la réforme des cadres juridiques et institutionnels, le plaidoyer pour l’adoption/la ratif</w:t>
      </w:r>
      <w:r w:rsidR="0010136F">
        <w:rPr>
          <w:rFonts w:ascii="Times New Roman" w:hAnsi="Times New Roman"/>
          <w:sz w:val="22"/>
        </w:rPr>
        <w:t>i</w:t>
      </w:r>
      <w:r w:rsidR="00944274" w:rsidRPr="00DD0C46">
        <w:rPr>
          <w:rFonts w:ascii="Times New Roman" w:hAnsi="Times New Roman"/>
          <w:sz w:val="22"/>
        </w:rPr>
        <w:t>cation de co</w:t>
      </w:r>
      <w:r>
        <w:rPr>
          <w:rFonts w:ascii="Times New Roman" w:hAnsi="Times New Roman"/>
          <w:sz w:val="22"/>
        </w:rPr>
        <w:t>nventions internationales straté</w:t>
      </w:r>
      <w:r w:rsidR="00944274" w:rsidRPr="00DD0C46">
        <w:rPr>
          <w:rFonts w:ascii="Times New Roman" w:hAnsi="Times New Roman"/>
          <w:sz w:val="22"/>
        </w:rPr>
        <w:t xml:space="preserve">giques pour le developpement du Tchad, le renforcement des capacités techniques, le renforcement des capacités de la société civile pour l’exercice du contrôle citoyen, l’amélioration de la transparence des opérations publiques, </w:t>
      </w:r>
      <w:r>
        <w:rPr>
          <w:rFonts w:ascii="Times New Roman" w:hAnsi="Times New Roman"/>
          <w:sz w:val="22"/>
        </w:rPr>
        <w:t xml:space="preserve">l’amélioration de la prise en compte du genre de façon </w:t>
      </w:r>
      <w:r w:rsidR="00944274" w:rsidRPr="00DD0C46">
        <w:rPr>
          <w:rFonts w:ascii="Times New Roman" w:hAnsi="Times New Roman"/>
          <w:sz w:val="22"/>
        </w:rPr>
        <w:t>transversale dans les politiques publiques et le ciblage spécifique des communes dans le cadre de la décentralisation et le renforcement du dialogue politique</w:t>
      </w:r>
    </w:p>
    <w:p w14:paraId="2332F5C0" w14:textId="3497F9B3" w:rsidR="00DA1C68" w:rsidRPr="00C803DB" w:rsidRDefault="00C803DB" w:rsidP="00E95812">
      <w:pPr>
        <w:spacing w:line="276" w:lineRule="auto"/>
        <w:jc w:val="both"/>
        <w:rPr>
          <w:rFonts w:ascii="Times New Roman" w:hAnsi="Times New Roman" w:cs="Times New Roman"/>
        </w:rPr>
      </w:pPr>
      <w:r w:rsidRPr="00C803DB">
        <w:rPr>
          <w:rFonts w:ascii="Times New Roman" w:hAnsi="Times New Roman" w:cs="Times New Roman"/>
        </w:rPr>
        <w:t xml:space="preserve">L’Equipe de Pays du Tchad, </w:t>
      </w:r>
      <w:r>
        <w:rPr>
          <w:rFonts w:ascii="Times New Roman" w:hAnsi="Times New Roman" w:cs="Times New Roman"/>
        </w:rPr>
        <w:t xml:space="preserve">ayant été invité à s’engager dans le « Delivering as One » a formulé le présent UNDAF dans ce cadre et </w:t>
      </w:r>
      <w:r w:rsidR="006A7BAF">
        <w:rPr>
          <w:rFonts w:ascii="Times New Roman" w:hAnsi="Times New Roman" w:cs="Times New Roman"/>
        </w:rPr>
        <w:t>compte</w:t>
      </w:r>
      <w:r>
        <w:rPr>
          <w:rFonts w:ascii="Times New Roman" w:hAnsi="Times New Roman" w:cs="Times New Roman"/>
        </w:rPr>
        <w:t xml:space="preserve"> s’appuyer sur les mécanismes opérationnels standards en mettant en place des mécanismes de coordination appropriés, une stratégie conjointe des opérati</w:t>
      </w:r>
      <w:r w:rsidR="006A7BAF">
        <w:rPr>
          <w:rFonts w:ascii="Times New Roman" w:hAnsi="Times New Roman" w:cs="Times New Roman"/>
        </w:rPr>
        <w:t xml:space="preserve">ons en appui aux interventions et </w:t>
      </w:r>
      <w:r>
        <w:rPr>
          <w:rFonts w:ascii="Times New Roman" w:hAnsi="Times New Roman" w:cs="Times New Roman"/>
        </w:rPr>
        <w:t>une stratégie conjointe de communication</w:t>
      </w:r>
      <w:r w:rsidR="00BD321A">
        <w:rPr>
          <w:rFonts w:ascii="Times New Roman" w:hAnsi="Times New Roman" w:cs="Times New Roman"/>
        </w:rPr>
        <w:t>. L’Equipe de Pays s’est aussi engagée à exercer un leadership partagé avec le gouvernement du Tchad sur son processus de programmation. Forte de son engagement dans le renforcement de la cohérence des Nations Unies au niveau du pays, l’Equipe de Pays entend compter sur un engagement</w:t>
      </w:r>
      <w:r w:rsidR="006A5E2E">
        <w:rPr>
          <w:rFonts w:ascii="Times New Roman" w:hAnsi="Times New Roman" w:cs="Times New Roman"/>
        </w:rPr>
        <w:t xml:space="preserve"> </w:t>
      </w:r>
      <w:r w:rsidR="006A7BAF">
        <w:rPr>
          <w:rFonts w:ascii="Times New Roman" w:hAnsi="Times New Roman" w:cs="Times New Roman"/>
        </w:rPr>
        <w:t xml:space="preserve"> sans faille </w:t>
      </w:r>
      <w:r w:rsidR="006A5E2E">
        <w:rPr>
          <w:rFonts w:ascii="Times New Roman" w:hAnsi="Times New Roman" w:cs="Times New Roman"/>
        </w:rPr>
        <w:t>du gouvernement pour l’atteinte des résultats escomptés.</w:t>
      </w:r>
      <w:r w:rsidR="00BD321A">
        <w:rPr>
          <w:rFonts w:ascii="Times New Roman" w:hAnsi="Times New Roman" w:cs="Times New Roman"/>
        </w:rPr>
        <w:t xml:space="preserve"> </w:t>
      </w:r>
    </w:p>
    <w:p w14:paraId="37FDF4B5" w14:textId="77777777" w:rsidR="00DA1C68" w:rsidRDefault="00DA1C68" w:rsidP="00DA1C68"/>
    <w:p w14:paraId="24A18AF0" w14:textId="77777777" w:rsidR="00DA1C68" w:rsidRDefault="00DA1C68" w:rsidP="00DA1C68"/>
    <w:p w14:paraId="641E6A86" w14:textId="48AA597E" w:rsidR="00DA1C68" w:rsidRDefault="00DA1C68" w:rsidP="00B311F3">
      <w:pPr>
        <w:pStyle w:val="Heading2"/>
        <w:numPr>
          <w:ilvl w:val="0"/>
          <w:numId w:val="27"/>
        </w:numPr>
        <w:pBdr>
          <w:bottom w:val="single" w:sz="4" w:space="1" w:color="auto"/>
        </w:pBdr>
        <w:jc w:val="left"/>
      </w:pPr>
      <w:bookmarkStart w:id="10" w:name="_Toc459363397"/>
      <w:r>
        <w:lastRenderedPageBreak/>
        <w:t>Introduction</w:t>
      </w:r>
      <w:bookmarkEnd w:id="10"/>
    </w:p>
    <w:p w14:paraId="7DE97BE8" w14:textId="77777777" w:rsidR="001F7D49" w:rsidRPr="005F40CA" w:rsidRDefault="001F7D49" w:rsidP="001F7D49">
      <w:pPr>
        <w:pStyle w:val="Heading1"/>
        <w:rPr>
          <w:sz w:val="24"/>
        </w:rPr>
      </w:pPr>
      <w:bookmarkStart w:id="11" w:name="_Toc454635259"/>
      <w:bookmarkStart w:id="12" w:name="_Toc455604594"/>
      <w:bookmarkStart w:id="13" w:name="_Toc456889034"/>
      <w:bookmarkStart w:id="14" w:name="_Toc459363398"/>
      <w:r w:rsidRPr="005F40CA">
        <w:rPr>
          <w:sz w:val="24"/>
        </w:rPr>
        <w:t xml:space="preserve">1.1. </w:t>
      </w:r>
      <w:bookmarkEnd w:id="11"/>
      <w:bookmarkEnd w:id="12"/>
      <w:bookmarkEnd w:id="13"/>
      <w:r w:rsidR="003D4515">
        <w:rPr>
          <w:sz w:val="24"/>
        </w:rPr>
        <w:t>Objectif de l’UNDAF 2017-2021 du Tchad</w:t>
      </w:r>
      <w:bookmarkEnd w:id="14"/>
    </w:p>
    <w:p w14:paraId="1039F5D5" w14:textId="0BA27878" w:rsidR="00A8037E" w:rsidRDefault="003D4515" w:rsidP="001F13EE">
      <w:pPr>
        <w:spacing w:line="276" w:lineRule="auto"/>
        <w:jc w:val="both"/>
        <w:rPr>
          <w:rFonts w:ascii="Times New Roman" w:hAnsi="Times New Roman"/>
          <w:szCs w:val="24"/>
        </w:rPr>
      </w:pPr>
      <w:r>
        <w:rPr>
          <w:rFonts w:ascii="Times New Roman" w:hAnsi="Times New Roman"/>
          <w:szCs w:val="24"/>
        </w:rPr>
        <w:t xml:space="preserve">Le plan cadre des Nations Unies d’assistance au Développement (UNDAF) 2017-2021 du Tchad </w:t>
      </w:r>
      <w:r w:rsidR="0005380E">
        <w:rPr>
          <w:rFonts w:ascii="Times New Roman" w:hAnsi="Times New Roman"/>
          <w:szCs w:val="24"/>
        </w:rPr>
        <w:t>s’inscrit dans la longue tradition de partenariat établie entre le sy</w:t>
      </w:r>
      <w:r w:rsidR="00BF74B6">
        <w:rPr>
          <w:rFonts w:ascii="Times New Roman" w:hAnsi="Times New Roman"/>
          <w:szCs w:val="24"/>
        </w:rPr>
        <w:t>s</w:t>
      </w:r>
      <w:r w:rsidR="0005380E">
        <w:rPr>
          <w:rFonts w:ascii="Times New Roman" w:hAnsi="Times New Roman"/>
          <w:szCs w:val="24"/>
        </w:rPr>
        <w:t>tème des Nations Unies</w:t>
      </w:r>
      <w:r w:rsidR="00D0544F">
        <w:rPr>
          <w:rFonts w:ascii="Times New Roman" w:hAnsi="Times New Roman"/>
          <w:szCs w:val="24"/>
        </w:rPr>
        <w:t xml:space="preserve"> (SNU)</w:t>
      </w:r>
      <w:r w:rsidR="0005380E">
        <w:rPr>
          <w:rFonts w:ascii="Times New Roman" w:hAnsi="Times New Roman"/>
          <w:szCs w:val="24"/>
        </w:rPr>
        <w:t xml:space="preserve"> et le gouvernement du Tchad depuis des décennies. </w:t>
      </w:r>
      <w:r w:rsidR="00D0544F">
        <w:rPr>
          <w:rFonts w:ascii="Times New Roman" w:hAnsi="Times New Roman"/>
          <w:szCs w:val="24"/>
        </w:rPr>
        <w:t xml:space="preserve">L’UNDAF 2017-2021 constitue la réponse contributive des Nations Unies aux défis </w:t>
      </w:r>
      <w:r w:rsidR="00995420">
        <w:rPr>
          <w:rFonts w:ascii="Times New Roman" w:hAnsi="Times New Roman"/>
          <w:szCs w:val="24"/>
        </w:rPr>
        <w:t>prioritaires de</w:t>
      </w:r>
      <w:r w:rsidR="00D0544F">
        <w:rPr>
          <w:rFonts w:ascii="Times New Roman" w:hAnsi="Times New Roman"/>
          <w:szCs w:val="24"/>
        </w:rPr>
        <w:t xml:space="preserve"> développement </w:t>
      </w:r>
      <w:r w:rsidR="00125D08">
        <w:rPr>
          <w:rFonts w:ascii="Times New Roman" w:hAnsi="Times New Roman"/>
          <w:szCs w:val="24"/>
        </w:rPr>
        <w:t xml:space="preserve">identifiés dans la vision 2030 du pays et déclinés dans le Plan Quinquennal (2016-2020). </w:t>
      </w:r>
      <w:r w:rsidR="00A8037E">
        <w:rPr>
          <w:rFonts w:ascii="Times New Roman" w:hAnsi="Times New Roman"/>
          <w:szCs w:val="24"/>
        </w:rPr>
        <w:t xml:space="preserve">Sur la base de leurs avantages comparatifs, les agences résidentes et non résidentes, ont choisi d’accompagner le gouvernement Tchadien à travers le développement du capital humain, le renforcement de la protection, la gestion des crises et la durabilité, et enfin la </w:t>
      </w:r>
      <w:r w:rsidR="007D4F4C">
        <w:rPr>
          <w:rFonts w:ascii="Times New Roman" w:hAnsi="Times New Roman"/>
          <w:szCs w:val="24"/>
        </w:rPr>
        <w:t xml:space="preserve">promotion de la </w:t>
      </w:r>
      <w:r w:rsidR="00A8037E">
        <w:rPr>
          <w:rFonts w:ascii="Times New Roman" w:hAnsi="Times New Roman"/>
          <w:szCs w:val="24"/>
        </w:rPr>
        <w:t xml:space="preserve">gouvernance, </w:t>
      </w:r>
      <w:r w:rsidR="007D4F4C">
        <w:rPr>
          <w:rFonts w:ascii="Times New Roman" w:hAnsi="Times New Roman"/>
          <w:szCs w:val="24"/>
        </w:rPr>
        <w:t xml:space="preserve">de la </w:t>
      </w:r>
      <w:r w:rsidR="00A8037E">
        <w:rPr>
          <w:rFonts w:ascii="Times New Roman" w:hAnsi="Times New Roman"/>
          <w:szCs w:val="24"/>
        </w:rPr>
        <w:t>paix</w:t>
      </w:r>
      <w:r w:rsidR="007D4F4C">
        <w:rPr>
          <w:rFonts w:ascii="Times New Roman" w:hAnsi="Times New Roman"/>
          <w:szCs w:val="24"/>
        </w:rPr>
        <w:t xml:space="preserve"> et de la sécurité. </w:t>
      </w:r>
    </w:p>
    <w:p w14:paraId="1A98B4C3" w14:textId="31F0D784" w:rsidR="00BE2393" w:rsidRDefault="003860AE" w:rsidP="001F13EE">
      <w:pPr>
        <w:spacing w:line="276" w:lineRule="auto"/>
        <w:jc w:val="both"/>
        <w:rPr>
          <w:rFonts w:ascii="Times New Roman" w:hAnsi="Times New Roman"/>
          <w:szCs w:val="24"/>
        </w:rPr>
      </w:pPr>
      <w:r>
        <w:rPr>
          <w:rFonts w:ascii="Times New Roman" w:hAnsi="Times New Roman"/>
          <w:szCs w:val="24"/>
        </w:rPr>
        <w:t>L’UNDAF 2017-2021 a été formulé</w:t>
      </w:r>
      <w:r w:rsidRPr="001711F1">
        <w:rPr>
          <w:rFonts w:ascii="Times New Roman" w:hAnsi="Times New Roman"/>
          <w:szCs w:val="24"/>
        </w:rPr>
        <w:t xml:space="preserve"> </w:t>
      </w:r>
      <w:r>
        <w:rPr>
          <w:rFonts w:ascii="Times New Roman" w:hAnsi="Times New Roman"/>
          <w:szCs w:val="24"/>
        </w:rPr>
        <w:t xml:space="preserve">dans un </w:t>
      </w:r>
      <w:r w:rsidR="00272171">
        <w:rPr>
          <w:rFonts w:ascii="Times New Roman" w:hAnsi="Times New Roman"/>
          <w:szCs w:val="24"/>
        </w:rPr>
        <w:t>c</w:t>
      </w:r>
      <w:r w:rsidRPr="001711F1">
        <w:rPr>
          <w:rFonts w:ascii="Times New Roman" w:hAnsi="Times New Roman"/>
          <w:szCs w:val="24"/>
        </w:rPr>
        <w:t xml:space="preserve">ontexte de transitions : transition dans le processus de programmation du SNU, transition dans le processus de programmation national et transition dans le contexte national marqué par </w:t>
      </w:r>
      <w:r>
        <w:rPr>
          <w:rFonts w:ascii="Times New Roman" w:hAnsi="Times New Roman"/>
          <w:szCs w:val="24"/>
        </w:rPr>
        <w:t>une volonté</w:t>
      </w:r>
      <w:r w:rsidRPr="001711F1">
        <w:rPr>
          <w:rFonts w:ascii="Times New Roman" w:hAnsi="Times New Roman"/>
          <w:szCs w:val="24"/>
        </w:rPr>
        <w:t xml:space="preserve"> de sortie de crise</w:t>
      </w:r>
      <w:r>
        <w:rPr>
          <w:rFonts w:ascii="Times New Roman" w:hAnsi="Times New Roman"/>
          <w:szCs w:val="24"/>
        </w:rPr>
        <w:t xml:space="preserve"> pour atteindre un développement durable</w:t>
      </w:r>
      <w:r w:rsidR="00272171">
        <w:rPr>
          <w:rFonts w:ascii="Times New Roman" w:hAnsi="Times New Roman"/>
          <w:szCs w:val="24"/>
        </w:rPr>
        <w:t>. Il</w:t>
      </w:r>
      <w:r w:rsidR="007D4F4C">
        <w:rPr>
          <w:rFonts w:ascii="Times New Roman" w:hAnsi="Times New Roman"/>
          <w:szCs w:val="24"/>
        </w:rPr>
        <w:t xml:space="preserve"> </w:t>
      </w:r>
      <w:r w:rsidR="00BF74B6">
        <w:rPr>
          <w:rFonts w:ascii="Times New Roman" w:hAnsi="Times New Roman"/>
          <w:szCs w:val="24"/>
        </w:rPr>
        <w:t xml:space="preserve">sera </w:t>
      </w:r>
      <w:r w:rsidR="00272171">
        <w:rPr>
          <w:rFonts w:ascii="Times New Roman" w:hAnsi="Times New Roman"/>
          <w:szCs w:val="24"/>
        </w:rPr>
        <w:t>exécuté</w:t>
      </w:r>
      <w:r w:rsidR="007D4F4C">
        <w:rPr>
          <w:rFonts w:ascii="Times New Roman" w:hAnsi="Times New Roman"/>
          <w:szCs w:val="24"/>
        </w:rPr>
        <w:t xml:space="preserve"> </w:t>
      </w:r>
      <w:r w:rsidR="00BF74B6">
        <w:rPr>
          <w:rFonts w:ascii="Times New Roman" w:hAnsi="Times New Roman"/>
          <w:szCs w:val="24"/>
        </w:rPr>
        <w:t>au cours d’un quinquennat</w:t>
      </w:r>
      <w:r w:rsidR="00433206">
        <w:rPr>
          <w:rFonts w:ascii="Times New Roman" w:hAnsi="Times New Roman"/>
          <w:szCs w:val="24"/>
        </w:rPr>
        <w:t xml:space="preserve"> marqué</w:t>
      </w:r>
      <w:r w:rsidR="007D4F4C">
        <w:rPr>
          <w:rFonts w:ascii="Times New Roman" w:hAnsi="Times New Roman"/>
          <w:szCs w:val="24"/>
        </w:rPr>
        <w:t xml:space="preserve"> par la diminution des ressources financières </w:t>
      </w:r>
      <w:r w:rsidR="0018038D">
        <w:rPr>
          <w:rFonts w:ascii="Times New Roman" w:hAnsi="Times New Roman"/>
          <w:szCs w:val="24"/>
        </w:rPr>
        <w:t xml:space="preserve">provenant </w:t>
      </w:r>
      <w:r w:rsidR="007D4F4C">
        <w:rPr>
          <w:rFonts w:ascii="Times New Roman" w:hAnsi="Times New Roman"/>
          <w:szCs w:val="24"/>
        </w:rPr>
        <w:t xml:space="preserve">principalement </w:t>
      </w:r>
      <w:r w:rsidR="0018038D">
        <w:rPr>
          <w:rFonts w:ascii="Times New Roman" w:hAnsi="Times New Roman"/>
          <w:szCs w:val="24"/>
        </w:rPr>
        <w:t>du secteur pétrolier</w:t>
      </w:r>
      <w:r w:rsidR="009E468C">
        <w:rPr>
          <w:rFonts w:ascii="Times New Roman" w:hAnsi="Times New Roman"/>
          <w:szCs w:val="24"/>
        </w:rPr>
        <w:t xml:space="preserve"> alors que le pays </w:t>
      </w:r>
      <w:r w:rsidR="002A3A8A">
        <w:rPr>
          <w:rFonts w:ascii="Times New Roman" w:hAnsi="Times New Roman"/>
          <w:szCs w:val="24"/>
        </w:rPr>
        <w:t>reçoit très peu d</w:t>
      </w:r>
      <w:r w:rsidR="009E468C">
        <w:rPr>
          <w:rFonts w:ascii="Times New Roman" w:hAnsi="Times New Roman"/>
          <w:szCs w:val="24"/>
        </w:rPr>
        <w:t>’Aide Publique au Développement comparativement aux autres pays du Sahel ou de l’Afrique Centrale. Les menac</w:t>
      </w:r>
      <w:r w:rsidR="0018038D">
        <w:rPr>
          <w:rFonts w:ascii="Times New Roman" w:hAnsi="Times New Roman"/>
          <w:szCs w:val="24"/>
        </w:rPr>
        <w:t xml:space="preserve">es sécuritaires </w:t>
      </w:r>
      <w:r w:rsidR="00B13637">
        <w:rPr>
          <w:rFonts w:ascii="Times New Roman" w:hAnsi="Times New Roman"/>
          <w:szCs w:val="24"/>
        </w:rPr>
        <w:t xml:space="preserve">liées, entre autres, aux récents évènements en RCA et au Soudan, aux activités terroristes de la secte Boko-Haram, drainant des milliers de personnes déplacées et ou </w:t>
      </w:r>
      <w:r w:rsidR="007914DE">
        <w:rPr>
          <w:rFonts w:ascii="Times New Roman" w:hAnsi="Times New Roman"/>
          <w:szCs w:val="24"/>
        </w:rPr>
        <w:t>réfugiées, exigent en même temps du gouvernement et du SNU, des réponses humanitaires et d’urgence</w:t>
      </w:r>
      <w:r w:rsidR="006B3B1C">
        <w:rPr>
          <w:rFonts w:ascii="Times New Roman" w:hAnsi="Times New Roman"/>
          <w:szCs w:val="24"/>
        </w:rPr>
        <w:t>,</w:t>
      </w:r>
      <w:r w:rsidR="00CA1429">
        <w:rPr>
          <w:rFonts w:ascii="Times New Roman" w:hAnsi="Times New Roman"/>
          <w:szCs w:val="24"/>
        </w:rPr>
        <w:t xml:space="preserve"> dans un contexte de faible développement humain</w:t>
      </w:r>
      <w:r w:rsidR="009A19EB">
        <w:rPr>
          <w:rFonts w:ascii="Times New Roman" w:hAnsi="Times New Roman"/>
          <w:szCs w:val="24"/>
        </w:rPr>
        <w:t>; le Tchad occupant le rang de 184</w:t>
      </w:r>
      <w:r w:rsidR="009A19EB" w:rsidRPr="009A19EB">
        <w:rPr>
          <w:rFonts w:ascii="Times New Roman" w:hAnsi="Times New Roman"/>
          <w:szCs w:val="24"/>
          <w:vertAlign w:val="superscript"/>
        </w:rPr>
        <w:t>ème</w:t>
      </w:r>
      <w:r w:rsidR="009A19EB">
        <w:rPr>
          <w:rFonts w:ascii="Times New Roman" w:hAnsi="Times New Roman"/>
          <w:szCs w:val="24"/>
        </w:rPr>
        <w:t xml:space="preserve"> </w:t>
      </w:r>
      <w:r w:rsidR="009A19EB" w:rsidRPr="009A19EB">
        <w:rPr>
          <w:rFonts w:ascii="Times New Roman" w:hAnsi="Times New Roman"/>
          <w:szCs w:val="24"/>
        </w:rPr>
        <w:t>sur 187 pays classés (HDR 2015)</w:t>
      </w:r>
    </w:p>
    <w:p w14:paraId="580295F7" w14:textId="6594DB2E" w:rsidR="00793045" w:rsidRDefault="00793045" w:rsidP="001F13EE">
      <w:pPr>
        <w:spacing w:line="276" w:lineRule="auto"/>
        <w:jc w:val="both"/>
        <w:rPr>
          <w:rFonts w:ascii="Times New Roman" w:hAnsi="Times New Roman"/>
          <w:szCs w:val="24"/>
        </w:rPr>
      </w:pPr>
      <w:r>
        <w:rPr>
          <w:rFonts w:ascii="Times New Roman" w:hAnsi="Times New Roman"/>
          <w:szCs w:val="24"/>
        </w:rPr>
        <w:t>L’UNDAF</w:t>
      </w:r>
      <w:r w:rsidR="00EA45D1">
        <w:rPr>
          <w:rFonts w:ascii="Times New Roman" w:hAnsi="Times New Roman"/>
          <w:szCs w:val="24"/>
        </w:rPr>
        <w:t xml:space="preserve"> </w:t>
      </w:r>
      <w:r w:rsidR="00D33A13">
        <w:rPr>
          <w:rFonts w:ascii="Times New Roman" w:hAnsi="Times New Roman"/>
          <w:szCs w:val="24"/>
        </w:rPr>
        <w:t xml:space="preserve">2017-2021 </w:t>
      </w:r>
      <w:r>
        <w:rPr>
          <w:rFonts w:ascii="Times New Roman" w:hAnsi="Times New Roman"/>
          <w:szCs w:val="24"/>
        </w:rPr>
        <w:t>devra renforcer l’articulation entre les acti</w:t>
      </w:r>
      <w:r w:rsidR="009A19EB">
        <w:rPr>
          <w:rFonts w:ascii="Times New Roman" w:hAnsi="Times New Roman"/>
          <w:szCs w:val="24"/>
        </w:rPr>
        <w:t>ons</w:t>
      </w:r>
      <w:r>
        <w:rPr>
          <w:rFonts w:ascii="Times New Roman" w:hAnsi="Times New Roman"/>
          <w:szCs w:val="24"/>
        </w:rPr>
        <w:t xml:space="preserve"> humanitaires et de développement, au sein du SNU pour pallier d’une part, l’impact des crises sur les communautés et d’autre part, promouvoir les activités de relèvement précoce et de développement. Du reste, la question de l’articulation des deux types d’action, constitue une préoccupation pour les partenaires techniques et financiers </w:t>
      </w:r>
      <w:r w:rsidR="00827E82">
        <w:rPr>
          <w:rFonts w:ascii="Times New Roman" w:hAnsi="Times New Roman"/>
          <w:szCs w:val="24"/>
        </w:rPr>
        <w:t xml:space="preserve">présents au Tchad du fait de la récurrence des crises qui laisse très peu de marges pour envisager des actions porteuses à moyen ou long terme. L’UNDAF </w:t>
      </w:r>
      <w:r w:rsidR="00D33A13">
        <w:rPr>
          <w:rFonts w:ascii="Times New Roman" w:hAnsi="Times New Roman"/>
          <w:szCs w:val="24"/>
        </w:rPr>
        <w:t>sera ainsi l’occasion de mettre en place un nouveau mode de fonctionnement</w:t>
      </w:r>
      <w:r w:rsidR="000D3BB6">
        <w:rPr>
          <w:rFonts w:ascii="Times New Roman" w:hAnsi="Times New Roman"/>
          <w:szCs w:val="24"/>
        </w:rPr>
        <w:t>, tant du point de vue programmatique que de la coordination inter-agences</w:t>
      </w:r>
      <w:r w:rsidR="00D33A13">
        <w:rPr>
          <w:rFonts w:ascii="Times New Roman" w:hAnsi="Times New Roman"/>
          <w:szCs w:val="24"/>
        </w:rPr>
        <w:t>.</w:t>
      </w:r>
    </w:p>
    <w:p w14:paraId="53DD9874" w14:textId="1AA95472" w:rsidR="00D33A13" w:rsidRDefault="00D33A13" w:rsidP="001F13EE">
      <w:pPr>
        <w:spacing w:line="276" w:lineRule="auto"/>
        <w:jc w:val="both"/>
        <w:rPr>
          <w:rFonts w:ascii="Times New Roman" w:hAnsi="Times New Roman"/>
          <w:szCs w:val="24"/>
        </w:rPr>
      </w:pPr>
      <w:r>
        <w:rPr>
          <w:rFonts w:ascii="Times New Roman" w:hAnsi="Times New Roman"/>
          <w:szCs w:val="24"/>
        </w:rPr>
        <w:t xml:space="preserve">L’UNDAF 2017-2021 </w:t>
      </w:r>
      <w:r w:rsidR="00B9779C">
        <w:rPr>
          <w:rFonts w:ascii="Times New Roman" w:hAnsi="Times New Roman"/>
          <w:szCs w:val="24"/>
        </w:rPr>
        <w:t>vise aussi</w:t>
      </w:r>
      <w:r w:rsidR="000D3BB6">
        <w:rPr>
          <w:rFonts w:ascii="Times New Roman" w:hAnsi="Times New Roman"/>
          <w:szCs w:val="24"/>
        </w:rPr>
        <w:t>, en effet,</w:t>
      </w:r>
      <w:r w:rsidR="00B9779C">
        <w:rPr>
          <w:rFonts w:ascii="Times New Roman" w:hAnsi="Times New Roman"/>
          <w:szCs w:val="24"/>
        </w:rPr>
        <w:t xml:space="preserve"> à renforcer les mécanismes de coordination, au niveau national et régional, à travers</w:t>
      </w:r>
      <w:r w:rsidR="003A59FA">
        <w:rPr>
          <w:rFonts w:ascii="Times New Roman" w:hAnsi="Times New Roman"/>
          <w:szCs w:val="24"/>
        </w:rPr>
        <w:t> : i)</w:t>
      </w:r>
      <w:r w:rsidR="00B9779C">
        <w:rPr>
          <w:rFonts w:ascii="Times New Roman" w:hAnsi="Times New Roman"/>
          <w:szCs w:val="24"/>
        </w:rPr>
        <w:t xml:space="preserve"> la mise en place d’un comité de haut niveau, gouvernement/SNU</w:t>
      </w:r>
      <w:r w:rsidR="003A59FA">
        <w:rPr>
          <w:rFonts w:ascii="Times New Roman" w:hAnsi="Times New Roman"/>
          <w:szCs w:val="24"/>
        </w:rPr>
        <w:t xml:space="preserve">, à la lumière des directives du DaO, en y associant les partenaires techniques financiers clés du pays comme observateurs ; ii) </w:t>
      </w:r>
      <w:r w:rsidR="00054EE7">
        <w:rPr>
          <w:rFonts w:ascii="Times New Roman" w:hAnsi="Times New Roman"/>
          <w:szCs w:val="24"/>
        </w:rPr>
        <w:t>la création de ponts entre les mécanismes de coordination existants au sein du SNU pour maximiser la cohérence et réduire significativement les duplications</w:t>
      </w:r>
      <w:r w:rsidR="002A3A8A">
        <w:rPr>
          <w:rFonts w:ascii="Times New Roman" w:hAnsi="Times New Roman"/>
          <w:szCs w:val="24"/>
        </w:rPr>
        <w:t xml:space="preserve"> tout en cassant les cloisons entre humanitaire et développement</w:t>
      </w:r>
      <w:r w:rsidR="00054EE7">
        <w:rPr>
          <w:rFonts w:ascii="Times New Roman" w:hAnsi="Times New Roman"/>
          <w:szCs w:val="24"/>
        </w:rPr>
        <w:t>.</w:t>
      </w:r>
    </w:p>
    <w:p w14:paraId="26CAAE38" w14:textId="3CF239AF" w:rsidR="0085567B" w:rsidRDefault="00E52110" w:rsidP="001F13EE">
      <w:pPr>
        <w:spacing w:line="276" w:lineRule="auto"/>
        <w:jc w:val="both"/>
        <w:rPr>
          <w:rFonts w:ascii="Times New Roman" w:hAnsi="Times New Roman"/>
          <w:szCs w:val="24"/>
        </w:rPr>
      </w:pPr>
      <w:r>
        <w:rPr>
          <w:rFonts w:ascii="Times New Roman" w:hAnsi="Times New Roman"/>
          <w:szCs w:val="24"/>
        </w:rPr>
        <w:t xml:space="preserve">L’UNDAF 2017-2021 se veut </w:t>
      </w:r>
      <w:r w:rsidR="00433206">
        <w:rPr>
          <w:rFonts w:ascii="Times New Roman" w:hAnsi="Times New Roman"/>
          <w:szCs w:val="24"/>
        </w:rPr>
        <w:t xml:space="preserve">également </w:t>
      </w:r>
      <w:r w:rsidR="0085567B">
        <w:rPr>
          <w:rFonts w:ascii="Times New Roman" w:hAnsi="Times New Roman"/>
          <w:szCs w:val="24"/>
        </w:rPr>
        <w:t>un outil de plaidoyer auprès de la communauté internationale d’où l’importance d’identifier des stratégies innovantes et porteuses qui ouvrent la voie à l’atteinte des résultats spécifiques visés, nonobstant la multiplicité des défis.</w:t>
      </w:r>
    </w:p>
    <w:p w14:paraId="42F602A1" w14:textId="02EEC745" w:rsidR="00EA45D1" w:rsidRDefault="00EA45D1" w:rsidP="00EA45D1">
      <w:pPr>
        <w:spacing w:line="276" w:lineRule="auto"/>
        <w:jc w:val="both"/>
        <w:rPr>
          <w:rFonts w:ascii="Times New Roman" w:hAnsi="Times New Roman"/>
          <w:szCs w:val="24"/>
        </w:rPr>
      </w:pPr>
      <w:r>
        <w:rPr>
          <w:rFonts w:ascii="Times New Roman" w:hAnsi="Times New Roman"/>
          <w:szCs w:val="24"/>
        </w:rPr>
        <w:t xml:space="preserve">L’UNDAF 2017-2021, fondé sur le Delivering as One, constitue un outil fédérateur des interventions des agences et </w:t>
      </w:r>
      <w:r w:rsidR="0087227B">
        <w:rPr>
          <w:rFonts w:ascii="Times New Roman" w:hAnsi="Times New Roman"/>
          <w:szCs w:val="24"/>
        </w:rPr>
        <w:t>ambitionne</w:t>
      </w:r>
      <w:r>
        <w:rPr>
          <w:rFonts w:ascii="Times New Roman" w:hAnsi="Times New Roman"/>
          <w:szCs w:val="24"/>
        </w:rPr>
        <w:t xml:space="preserve"> </w:t>
      </w:r>
      <w:r w:rsidR="0087227B">
        <w:rPr>
          <w:rFonts w:ascii="Times New Roman" w:hAnsi="Times New Roman"/>
          <w:szCs w:val="24"/>
        </w:rPr>
        <w:t>de</w:t>
      </w:r>
      <w:r>
        <w:rPr>
          <w:rFonts w:ascii="Times New Roman" w:hAnsi="Times New Roman"/>
          <w:szCs w:val="24"/>
        </w:rPr>
        <w:t xml:space="preserve"> renforcer la cohérence et la synergie d’action du SNU au Tchad. Décliné en plans de travail annuels qui seront exécutés conjointement, il permettra de promouvoir et de refléter l’expertise disponible au sein du SNU dans la mise en œuvre d’actions à haut impact sur les communautés.</w:t>
      </w:r>
    </w:p>
    <w:p w14:paraId="12578780" w14:textId="77777777" w:rsidR="00EA45D1" w:rsidRDefault="00EA45D1" w:rsidP="001F13EE">
      <w:pPr>
        <w:spacing w:line="276" w:lineRule="auto"/>
        <w:jc w:val="both"/>
        <w:rPr>
          <w:rFonts w:ascii="Times New Roman" w:hAnsi="Times New Roman"/>
          <w:szCs w:val="24"/>
        </w:rPr>
      </w:pPr>
    </w:p>
    <w:p w14:paraId="5456C621" w14:textId="77777777" w:rsidR="0081079A" w:rsidRPr="005F40CA" w:rsidRDefault="0081079A" w:rsidP="0081079A">
      <w:pPr>
        <w:pStyle w:val="Heading1"/>
        <w:rPr>
          <w:sz w:val="24"/>
        </w:rPr>
      </w:pPr>
      <w:bookmarkStart w:id="15" w:name="_Toc454635260"/>
      <w:bookmarkStart w:id="16" w:name="_Toc455604595"/>
      <w:bookmarkStart w:id="17" w:name="_Toc456889035"/>
      <w:bookmarkStart w:id="18" w:name="_Toc459363399"/>
      <w:r w:rsidRPr="005F40CA">
        <w:rPr>
          <w:sz w:val="24"/>
        </w:rPr>
        <w:lastRenderedPageBreak/>
        <w:t>1.2. Processus d’élaboration de l’UNDAF</w:t>
      </w:r>
      <w:bookmarkEnd w:id="15"/>
      <w:bookmarkEnd w:id="16"/>
      <w:bookmarkEnd w:id="17"/>
      <w:bookmarkEnd w:id="18"/>
    </w:p>
    <w:p w14:paraId="4E308F68" w14:textId="1EDC5A73" w:rsidR="00AB2812" w:rsidRDefault="00AB2812" w:rsidP="00AB2812">
      <w:pPr>
        <w:spacing w:line="276" w:lineRule="auto"/>
        <w:jc w:val="both"/>
        <w:rPr>
          <w:rFonts w:ascii="Times New Roman" w:hAnsi="Times New Roman"/>
        </w:rPr>
      </w:pPr>
      <w:r w:rsidRPr="0061280A">
        <w:rPr>
          <w:rFonts w:ascii="Times New Roman" w:hAnsi="Times New Roman"/>
          <w:szCs w:val="28"/>
        </w:rPr>
        <w:t xml:space="preserve">Le système des Nations Unies et le gouvernement se sont engagés </w:t>
      </w:r>
      <w:r>
        <w:rPr>
          <w:rFonts w:ascii="Times New Roman" w:hAnsi="Times New Roman"/>
          <w:szCs w:val="28"/>
        </w:rPr>
        <w:t>à inscrire ce nouveau cycle</w:t>
      </w:r>
      <w:r w:rsidRPr="0061280A">
        <w:rPr>
          <w:rFonts w:ascii="Times New Roman" w:hAnsi="Times New Roman"/>
          <w:szCs w:val="28"/>
        </w:rPr>
        <w:t xml:space="preserve"> dans le cadre de la Déclaration de Paris, rappelée à Accra et confortée par les Accords de Bhusan et aussi dans le cadre du New-Deal. </w:t>
      </w:r>
      <w:r>
        <w:rPr>
          <w:rFonts w:ascii="Times New Roman" w:hAnsi="Times New Roman"/>
          <w:szCs w:val="28"/>
        </w:rPr>
        <w:t>Le processus de formulation de l’UNDAF a donc été conduit en étroite collaboration avec le gouvernement, qui a formellement demandé à l’Equipe de Pays de l’inscrire dans le cadre du Delivering as One, et tous les partenaires présents dans le pays</w:t>
      </w:r>
      <w:r w:rsidRPr="00B37ADD">
        <w:rPr>
          <w:rFonts w:ascii="Times New Roman" w:hAnsi="Times New Roman"/>
          <w:szCs w:val="28"/>
        </w:rPr>
        <w:t xml:space="preserve"> </w:t>
      </w:r>
      <w:r>
        <w:rPr>
          <w:rFonts w:ascii="Times New Roman" w:hAnsi="Times New Roman"/>
          <w:szCs w:val="28"/>
        </w:rPr>
        <w:t xml:space="preserve">y ont été associés. Ce processus est fondé sur les discussions entreprises en 2014 avec le gouvernement, les réflexions entreprises au sein de l’Equipe Pays sur le positionnement des Nations Unies au Tchad, les résultats des études réalisées dans le cadre de la formulation de la Vision prospective 2030 du gouvernement,du plan quinquennal 2016-2020 et l’évaluation </w:t>
      </w:r>
      <w:r w:rsidRPr="00CC6AE9">
        <w:rPr>
          <w:rFonts w:ascii="Times New Roman" w:hAnsi="Times New Roman"/>
        </w:rPr>
        <w:t>du cadre stratégique intérimaire</w:t>
      </w:r>
      <w:r>
        <w:rPr>
          <w:rFonts w:ascii="Times New Roman" w:hAnsi="Times New Roman"/>
        </w:rPr>
        <w:t xml:space="preserve"> </w:t>
      </w:r>
      <w:r w:rsidRPr="00CC6AE9">
        <w:rPr>
          <w:rFonts w:ascii="Times New Roman" w:hAnsi="Times New Roman"/>
        </w:rPr>
        <w:t>2012-2015</w:t>
      </w:r>
      <w:r>
        <w:rPr>
          <w:rFonts w:ascii="Times New Roman" w:hAnsi="Times New Roman"/>
          <w:szCs w:val="28"/>
        </w:rPr>
        <w:t>.</w:t>
      </w:r>
      <w:r w:rsidRPr="00D92D9B">
        <w:rPr>
          <w:rFonts w:ascii="Times New Roman" w:hAnsi="Times New Roman"/>
        </w:rPr>
        <w:t xml:space="preserve"> </w:t>
      </w:r>
      <w:r>
        <w:rPr>
          <w:rFonts w:ascii="Times New Roman" w:hAnsi="Times New Roman"/>
        </w:rPr>
        <w:t>Cette évaluation a, du reste,</w:t>
      </w:r>
      <w:r w:rsidRPr="00CC6AE9">
        <w:rPr>
          <w:rFonts w:ascii="Times New Roman" w:hAnsi="Times New Roman"/>
        </w:rPr>
        <w:t xml:space="preserve"> </w:t>
      </w:r>
      <w:r>
        <w:rPr>
          <w:rFonts w:ascii="Times New Roman" w:hAnsi="Times New Roman"/>
        </w:rPr>
        <w:t>formulé des recommandations en vue du prochain cycle</w:t>
      </w:r>
      <w:r w:rsidRPr="00CC6AE9">
        <w:rPr>
          <w:rFonts w:ascii="Times New Roman" w:hAnsi="Times New Roman"/>
        </w:rPr>
        <w:t xml:space="preserve">. </w:t>
      </w:r>
      <w:r>
        <w:rPr>
          <w:rFonts w:ascii="Times New Roman" w:hAnsi="Times New Roman"/>
        </w:rPr>
        <w:t>Selon celle-ci, l</w:t>
      </w:r>
      <w:r w:rsidRPr="00CC6AE9">
        <w:rPr>
          <w:rFonts w:ascii="Times New Roman" w:hAnsi="Times New Roman"/>
        </w:rPr>
        <w:t xml:space="preserve">e système des Nations Unies devra pour </w:t>
      </w:r>
      <w:r>
        <w:rPr>
          <w:rFonts w:ascii="Times New Roman" w:hAnsi="Times New Roman"/>
        </w:rPr>
        <w:t xml:space="preserve">ce nouveau </w:t>
      </w:r>
      <w:r w:rsidRPr="00CC6AE9">
        <w:rPr>
          <w:rFonts w:ascii="Times New Roman" w:hAnsi="Times New Roman"/>
        </w:rPr>
        <w:t xml:space="preserve">cycle renforcer davantage les mécanismes de coordination pour une plus forte appropriation et une meilleure prise en compte des priorités de toutes les parties prenantes. Le dispositif de suivi-évaluation doit aussi être renforcé et opérationnalisé </w:t>
      </w:r>
      <w:r>
        <w:rPr>
          <w:rFonts w:ascii="Times New Roman" w:hAnsi="Times New Roman"/>
        </w:rPr>
        <w:t xml:space="preserve">en vue de mieux renseigner le processus de planification et de mise en œuvre. Le système des Nations Unies devra aussi capitaliser les résultats obtenus et renforcer ses interventions dans les secteurs suivants qui constituent encore des défis majeurs quoiqu’ayant enregistré quelques avancées: </w:t>
      </w:r>
      <w:r w:rsidRPr="00CC7A71">
        <w:rPr>
          <w:rFonts w:ascii="Times New Roman" w:hAnsi="Times New Roman"/>
        </w:rPr>
        <w:t>capital humain e</w:t>
      </w:r>
      <w:r>
        <w:rPr>
          <w:rFonts w:ascii="Times New Roman" w:hAnsi="Times New Roman"/>
        </w:rPr>
        <w:t>t services sociaux de base, g</w:t>
      </w:r>
      <w:r w:rsidRPr="00CC7A71">
        <w:rPr>
          <w:rFonts w:ascii="Times New Roman" w:hAnsi="Times New Roman"/>
        </w:rPr>
        <w:t>ouvernance, paix, sé</w:t>
      </w:r>
      <w:r>
        <w:rPr>
          <w:rFonts w:ascii="Times New Roman" w:hAnsi="Times New Roman"/>
        </w:rPr>
        <w:t>curité et Etat de droit, s</w:t>
      </w:r>
      <w:r w:rsidRPr="00CC7A71">
        <w:rPr>
          <w:rFonts w:ascii="Times New Roman" w:hAnsi="Times New Roman"/>
        </w:rPr>
        <w:t>écuri</w:t>
      </w:r>
      <w:r>
        <w:rPr>
          <w:rFonts w:ascii="Times New Roman" w:hAnsi="Times New Roman"/>
        </w:rPr>
        <w:t>té alimentaire et nutrition, environnement/changement climatique. La problématique de la jeunesse-emploi-radicalisation devra également être prise en compte dans le nouveau cycle</w:t>
      </w:r>
      <w:r w:rsidRPr="00CC7A71">
        <w:rPr>
          <w:rFonts w:ascii="Times New Roman" w:hAnsi="Times New Roman"/>
        </w:rPr>
        <w:t>.</w:t>
      </w:r>
    </w:p>
    <w:p w14:paraId="1FFBBF4D" w14:textId="13E3F31F" w:rsidR="0081079A" w:rsidRDefault="0081079A" w:rsidP="0081079A">
      <w:pPr>
        <w:spacing w:line="276" w:lineRule="auto"/>
        <w:jc w:val="both"/>
        <w:rPr>
          <w:rFonts w:ascii="Times New Roman" w:hAnsi="Times New Roman"/>
          <w:szCs w:val="28"/>
        </w:rPr>
      </w:pPr>
      <w:r>
        <w:rPr>
          <w:rFonts w:ascii="Times New Roman" w:hAnsi="Times New Roman"/>
          <w:szCs w:val="28"/>
        </w:rPr>
        <w:t>Ces éléments ainsi que les directives du Delivering as One sur la mise en place des mécanismes opérationnels standards ont ainsi permis de définir les orientations de l’UNDAF 2017-2021. Ce processus dynamique, itératif et participatif s’est déroulé en trois (3) principales étapes : i) revue et consolidation des analyses de situation sur le contexte national, ii) retraite de planification stratégique, iii) formulation et validation de l’UNDAF.</w:t>
      </w:r>
      <w:r w:rsidR="00E95E24">
        <w:rPr>
          <w:rFonts w:ascii="Times New Roman" w:hAnsi="Times New Roman"/>
          <w:szCs w:val="28"/>
        </w:rPr>
        <w:t xml:space="preserve"> Parallèlement à la formulation de l’UNDAF, la stratégie conjointe des opérations (BoS) a été ainsi déclinée et devra soutenir la réalisation des résultats escomptés à l’horizon 2021. </w:t>
      </w:r>
      <w:r w:rsidR="00770B00">
        <w:rPr>
          <w:rFonts w:ascii="Times New Roman" w:hAnsi="Times New Roman"/>
          <w:szCs w:val="28"/>
        </w:rPr>
        <w:t>Aussi, une stratégie de communication, dont les principaux axes ont été intégrés dans l’UNDAF, a été formulée et devra contribuer à renforcer la visibilité des interventions du SNU.</w:t>
      </w:r>
      <w:r w:rsidR="00894180">
        <w:rPr>
          <w:rFonts w:ascii="Times New Roman" w:hAnsi="Times New Roman"/>
          <w:szCs w:val="28"/>
        </w:rPr>
        <w:t xml:space="preserve"> Le SNU entend aussi formuler une stratégie de mobilisation des ressources en soutien à l’exécution de l’UNDAF.</w:t>
      </w:r>
    </w:p>
    <w:p w14:paraId="00695CF7" w14:textId="6FE90C32" w:rsidR="008F34E9" w:rsidRDefault="008F34E9" w:rsidP="0081079A">
      <w:pPr>
        <w:spacing w:line="276" w:lineRule="auto"/>
        <w:jc w:val="both"/>
        <w:rPr>
          <w:rFonts w:ascii="Times New Roman" w:hAnsi="Times New Roman"/>
          <w:szCs w:val="28"/>
        </w:rPr>
      </w:pPr>
      <w:r>
        <w:rPr>
          <w:rFonts w:ascii="Times New Roman" w:hAnsi="Times New Roman"/>
          <w:szCs w:val="28"/>
        </w:rPr>
        <w:t>Le processus d</w:t>
      </w:r>
      <w:r w:rsidR="00894180">
        <w:rPr>
          <w:rFonts w:ascii="Times New Roman" w:hAnsi="Times New Roman"/>
          <w:szCs w:val="28"/>
        </w:rPr>
        <w:t xml:space="preserve">e formulation de l’UNDAF a été </w:t>
      </w:r>
      <w:r>
        <w:rPr>
          <w:rFonts w:ascii="Times New Roman" w:hAnsi="Times New Roman"/>
          <w:szCs w:val="28"/>
        </w:rPr>
        <w:t>enrichi par des notes de concept formulées sur les problématiques persistantes</w:t>
      </w:r>
      <w:r w:rsidR="001D7C50">
        <w:rPr>
          <w:rFonts w:ascii="Times New Roman" w:hAnsi="Times New Roman"/>
          <w:szCs w:val="28"/>
        </w:rPr>
        <w:t xml:space="preserve"> au Tchad</w:t>
      </w:r>
      <w:r w:rsidR="00B77A50">
        <w:rPr>
          <w:rFonts w:ascii="Times New Roman" w:hAnsi="Times New Roman"/>
          <w:szCs w:val="28"/>
        </w:rPr>
        <w:t>, notamment le Genre, la Résilience, les Droits Humains</w:t>
      </w:r>
      <w:r w:rsidR="001D7C50">
        <w:rPr>
          <w:rFonts w:ascii="Times New Roman" w:hAnsi="Times New Roman"/>
          <w:szCs w:val="28"/>
        </w:rPr>
        <w:t xml:space="preserve"> qui ont permis </w:t>
      </w:r>
      <w:r w:rsidR="00B77A50">
        <w:rPr>
          <w:rFonts w:ascii="Times New Roman" w:hAnsi="Times New Roman"/>
          <w:szCs w:val="28"/>
        </w:rPr>
        <w:t>d’identifier</w:t>
      </w:r>
      <w:r w:rsidR="001D7C50">
        <w:rPr>
          <w:rFonts w:ascii="Times New Roman" w:hAnsi="Times New Roman"/>
          <w:szCs w:val="28"/>
        </w:rPr>
        <w:t xml:space="preserve"> les ODD à cibler dans le cadre de ce nouveau cycle.</w:t>
      </w:r>
      <w:r w:rsidR="00B77A50">
        <w:rPr>
          <w:rFonts w:ascii="Times New Roman" w:hAnsi="Times New Roman"/>
          <w:szCs w:val="28"/>
        </w:rPr>
        <w:t xml:space="preserve"> </w:t>
      </w:r>
    </w:p>
    <w:p w14:paraId="729BBDB5" w14:textId="77777777" w:rsidR="00E77DD3" w:rsidRDefault="00E77DD3" w:rsidP="0081079A">
      <w:pPr>
        <w:spacing w:line="276" w:lineRule="auto"/>
        <w:jc w:val="both"/>
        <w:rPr>
          <w:rFonts w:ascii="Times New Roman" w:hAnsi="Times New Roman"/>
          <w:szCs w:val="28"/>
        </w:rPr>
      </w:pPr>
    </w:p>
    <w:p w14:paraId="4801E25E" w14:textId="77777777" w:rsidR="00E77DD3" w:rsidRPr="00862219" w:rsidRDefault="00E77DD3" w:rsidP="00E77DD3">
      <w:pPr>
        <w:pStyle w:val="Heading2"/>
        <w:jc w:val="left"/>
        <w:rPr>
          <w:color w:val="2E74B5"/>
          <w:sz w:val="24"/>
        </w:rPr>
      </w:pPr>
      <w:bookmarkStart w:id="19" w:name="_Toc454635261"/>
      <w:bookmarkStart w:id="20" w:name="_Toc455604596"/>
      <w:bookmarkStart w:id="21" w:name="_Toc456889036"/>
      <w:bookmarkStart w:id="22" w:name="_Toc459363400"/>
      <w:r w:rsidRPr="00862219">
        <w:rPr>
          <w:color w:val="2E74B5"/>
          <w:sz w:val="24"/>
        </w:rPr>
        <w:t>1.2.1</w:t>
      </w:r>
      <w:r w:rsidRPr="00862219">
        <w:rPr>
          <w:color w:val="2E74B5"/>
          <w:sz w:val="24"/>
        </w:rPr>
        <w:tab/>
        <w:t>Revue et consolidation des analyses de situation</w:t>
      </w:r>
      <w:bookmarkEnd w:id="19"/>
      <w:bookmarkEnd w:id="20"/>
      <w:bookmarkEnd w:id="21"/>
      <w:bookmarkEnd w:id="22"/>
      <w:r w:rsidRPr="00862219">
        <w:rPr>
          <w:color w:val="2E74B5"/>
          <w:sz w:val="24"/>
        </w:rPr>
        <w:t xml:space="preserve"> </w:t>
      </w:r>
    </w:p>
    <w:p w14:paraId="0B560545" w14:textId="163E6674" w:rsidR="00E77DD3" w:rsidRDefault="00E77DD3" w:rsidP="00E77DD3">
      <w:pPr>
        <w:spacing w:line="276" w:lineRule="auto"/>
        <w:jc w:val="both"/>
        <w:rPr>
          <w:rFonts w:ascii="Times New Roman" w:hAnsi="Times New Roman"/>
          <w:szCs w:val="28"/>
        </w:rPr>
      </w:pPr>
      <w:r>
        <w:rPr>
          <w:rFonts w:ascii="Times New Roman" w:hAnsi="Times New Roman"/>
          <w:szCs w:val="28"/>
        </w:rPr>
        <w:t xml:space="preserve">En concertation avec le gouvernement, l’Equipe de Pays a décidé de surseoir au bilan commun de pays et d’utiliser les analyses nationales, notamment, l’analyse structurelle du pays, l’étude sur les aspirations nationales, la matrice de diagnostic stratégique, l’évaluation finale des OMD, les revues annuelles </w:t>
      </w:r>
      <w:r w:rsidRPr="00510126">
        <w:rPr>
          <w:rFonts w:ascii="Times New Roman" w:hAnsi="Times New Roman"/>
          <w:szCs w:val="28"/>
        </w:rPr>
        <w:t xml:space="preserve">2013, </w:t>
      </w:r>
      <w:r>
        <w:rPr>
          <w:rFonts w:ascii="Times New Roman" w:hAnsi="Times New Roman"/>
          <w:szCs w:val="28"/>
        </w:rPr>
        <w:t>2014 et 2015 du Plan National de Développement (PND 2013-2015).  Ces analyses ont été complétées par la revue des politiques et stratégies sectorielles. Ce faisant, un séminaire sur le DaO, SNU/Gouvernement a été tenu et a permis de mettre en place des groupes</w:t>
      </w:r>
      <w:r w:rsidR="002F6FF9">
        <w:rPr>
          <w:rFonts w:ascii="Times New Roman" w:hAnsi="Times New Roman"/>
          <w:szCs w:val="28"/>
        </w:rPr>
        <w:t xml:space="preserve"> techniques</w:t>
      </w:r>
      <w:r>
        <w:rPr>
          <w:rFonts w:ascii="Times New Roman" w:hAnsi="Times New Roman"/>
          <w:szCs w:val="28"/>
        </w:rPr>
        <w:t xml:space="preserve"> sectoriels qui ont </w:t>
      </w:r>
      <w:r w:rsidRPr="0061280A">
        <w:rPr>
          <w:rFonts w:ascii="Times New Roman" w:hAnsi="Times New Roman"/>
          <w:szCs w:val="28"/>
        </w:rPr>
        <w:t>amorc</w:t>
      </w:r>
      <w:r>
        <w:rPr>
          <w:rFonts w:ascii="Times New Roman" w:hAnsi="Times New Roman"/>
          <w:szCs w:val="28"/>
        </w:rPr>
        <w:t>é</w:t>
      </w:r>
      <w:r w:rsidRPr="0061280A">
        <w:rPr>
          <w:rFonts w:ascii="Times New Roman" w:hAnsi="Times New Roman"/>
          <w:szCs w:val="28"/>
        </w:rPr>
        <w:t xml:space="preserve"> les réflexions sur les défis et enjeux sectoriels et le positionnement du SNU dans ce contexte.</w:t>
      </w:r>
      <w:r>
        <w:rPr>
          <w:rFonts w:ascii="Times New Roman" w:hAnsi="Times New Roman"/>
          <w:szCs w:val="28"/>
        </w:rPr>
        <w:t xml:space="preserve"> Les travaux des groupes sectoriels se sont poursuivis jusqu’à la tenue de la retraite de positionnement stratégique (novembre 2015) et ont permis d’assurer : </w:t>
      </w:r>
      <w:r w:rsidRPr="00675CB6">
        <w:rPr>
          <w:rFonts w:ascii="Times New Roman" w:hAnsi="Times New Roman"/>
          <w:szCs w:val="28"/>
        </w:rPr>
        <w:t>i)</w:t>
      </w:r>
      <w:r>
        <w:rPr>
          <w:rFonts w:ascii="Times New Roman" w:hAnsi="Times New Roman"/>
          <w:szCs w:val="28"/>
        </w:rPr>
        <w:t xml:space="preserve"> la revue des analyses disponibles ainsi que la présentation des Objectifs de Développement Durables (ODD)</w:t>
      </w:r>
      <w:r w:rsidRPr="00675CB6">
        <w:rPr>
          <w:rFonts w:ascii="Times New Roman" w:hAnsi="Times New Roman"/>
          <w:szCs w:val="28"/>
        </w:rPr>
        <w:t>; ii)</w:t>
      </w:r>
      <w:r>
        <w:rPr>
          <w:rFonts w:ascii="Times New Roman" w:hAnsi="Times New Roman"/>
          <w:szCs w:val="28"/>
        </w:rPr>
        <w:t xml:space="preserve"> l’identification des priorités nationales de portée stratégique pour le SNU sur la base de ses avantages comparatifs et en relation avec </w:t>
      </w:r>
      <w:r>
        <w:rPr>
          <w:rFonts w:ascii="Times New Roman" w:hAnsi="Times New Roman"/>
          <w:szCs w:val="28"/>
        </w:rPr>
        <w:lastRenderedPageBreak/>
        <w:t>les pistes de priorisation des ODD</w:t>
      </w:r>
      <w:r w:rsidR="007221F1">
        <w:rPr>
          <w:rFonts w:ascii="Times New Roman" w:hAnsi="Times New Roman"/>
          <w:szCs w:val="28"/>
        </w:rPr>
        <w:t xml:space="preserve"> dont la revue de l’agenda 2063 portant sur les aspirations africaines </w:t>
      </w:r>
      <w:r w:rsidR="007A2C9B">
        <w:rPr>
          <w:rFonts w:ascii="Times New Roman" w:hAnsi="Times New Roman"/>
          <w:szCs w:val="28"/>
        </w:rPr>
        <w:t>à l’horizon</w:t>
      </w:r>
      <w:r w:rsidR="007221F1">
        <w:rPr>
          <w:rFonts w:ascii="Times New Roman" w:hAnsi="Times New Roman"/>
          <w:szCs w:val="28"/>
        </w:rPr>
        <w:t xml:space="preserve"> 2063</w:t>
      </w:r>
      <w:r w:rsidRPr="00675CB6">
        <w:rPr>
          <w:rFonts w:ascii="Times New Roman" w:hAnsi="Times New Roman"/>
          <w:szCs w:val="28"/>
        </w:rPr>
        <w:t xml:space="preserve">; iii) la définition des liens programmatiques entre l’UNDAF </w:t>
      </w:r>
      <w:r>
        <w:rPr>
          <w:rFonts w:ascii="Times New Roman" w:hAnsi="Times New Roman"/>
          <w:szCs w:val="28"/>
        </w:rPr>
        <w:t>et les orientations de la Vision</w:t>
      </w:r>
      <w:r w:rsidRPr="00675CB6">
        <w:rPr>
          <w:rFonts w:ascii="Times New Roman" w:hAnsi="Times New Roman"/>
          <w:szCs w:val="28"/>
        </w:rPr>
        <w:t xml:space="preserve"> </w:t>
      </w:r>
      <w:r>
        <w:rPr>
          <w:rFonts w:ascii="Times New Roman" w:hAnsi="Times New Roman"/>
          <w:szCs w:val="28"/>
        </w:rPr>
        <w:t xml:space="preserve">2030 </w:t>
      </w:r>
      <w:r w:rsidRPr="00675CB6">
        <w:rPr>
          <w:rFonts w:ascii="Times New Roman" w:hAnsi="Times New Roman"/>
          <w:szCs w:val="28"/>
        </w:rPr>
        <w:t>et; iv) la préparation de l’atelier de planification stratégique de l’UNDAF.</w:t>
      </w:r>
      <w:r>
        <w:rPr>
          <w:rFonts w:ascii="Times New Roman" w:hAnsi="Times New Roman"/>
          <w:szCs w:val="28"/>
        </w:rPr>
        <w:t xml:space="preserve"> Ce travail itératif a permis de maintenir l’alignement de l’UNDAF sur les priorités stratégiques et a été réalisé conjointement par le SNU, le Gouvernement et les autres parties prenantes.</w:t>
      </w:r>
    </w:p>
    <w:p w14:paraId="11B26231" w14:textId="17C2CCA8" w:rsidR="00E77DD3" w:rsidRPr="00862219" w:rsidRDefault="00E77DD3" w:rsidP="00993327">
      <w:pPr>
        <w:pStyle w:val="Heading2"/>
        <w:jc w:val="left"/>
        <w:rPr>
          <w:color w:val="2E74B5"/>
          <w:sz w:val="24"/>
        </w:rPr>
      </w:pPr>
      <w:r w:rsidRPr="00862219">
        <w:rPr>
          <w:color w:val="2E74B5"/>
          <w:sz w:val="24"/>
        </w:rPr>
        <w:t xml:space="preserve"> </w:t>
      </w:r>
      <w:bookmarkStart w:id="23" w:name="_Toc454635262"/>
      <w:bookmarkStart w:id="24" w:name="_Toc455604597"/>
      <w:bookmarkStart w:id="25" w:name="_Toc456889037"/>
      <w:bookmarkStart w:id="26" w:name="_Toc459363401"/>
      <w:r w:rsidRPr="00862219">
        <w:rPr>
          <w:color w:val="2E74B5"/>
          <w:sz w:val="24"/>
        </w:rPr>
        <w:t>1.2.2</w:t>
      </w:r>
      <w:r w:rsidRPr="00862219">
        <w:rPr>
          <w:color w:val="2E74B5"/>
          <w:sz w:val="24"/>
        </w:rPr>
        <w:tab/>
        <w:t>Retraite de Planification stratégique de l’UNDAF</w:t>
      </w:r>
      <w:bookmarkEnd w:id="23"/>
      <w:bookmarkEnd w:id="24"/>
      <w:bookmarkEnd w:id="25"/>
      <w:bookmarkEnd w:id="26"/>
      <w:r w:rsidRPr="00862219">
        <w:rPr>
          <w:color w:val="2E74B5"/>
          <w:sz w:val="24"/>
        </w:rPr>
        <w:t xml:space="preserve"> </w:t>
      </w:r>
    </w:p>
    <w:p w14:paraId="036DB936" w14:textId="6345C247" w:rsidR="00E77DD3" w:rsidRDefault="00E77DD3" w:rsidP="00E77DD3">
      <w:pPr>
        <w:spacing w:line="276" w:lineRule="auto"/>
        <w:jc w:val="both"/>
        <w:rPr>
          <w:rFonts w:ascii="Times New Roman" w:hAnsi="Times New Roman"/>
          <w:szCs w:val="28"/>
        </w:rPr>
      </w:pPr>
      <w:r>
        <w:rPr>
          <w:rFonts w:ascii="Times New Roman" w:hAnsi="Times New Roman"/>
          <w:szCs w:val="28"/>
        </w:rPr>
        <w:t>La retraite de planification stratégique</w:t>
      </w:r>
      <w:r w:rsidRPr="00E639AC">
        <w:rPr>
          <w:rFonts w:ascii="Times New Roman" w:hAnsi="Times New Roman"/>
          <w:szCs w:val="28"/>
        </w:rPr>
        <w:t xml:space="preserve"> </w:t>
      </w:r>
      <w:r w:rsidR="00532418" w:rsidRPr="00E639AC">
        <w:rPr>
          <w:rFonts w:ascii="Times New Roman" w:hAnsi="Times New Roman"/>
          <w:szCs w:val="28"/>
        </w:rPr>
        <w:t xml:space="preserve">a </w:t>
      </w:r>
      <w:r w:rsidRPr="00EF6ED0">
        <w:rPr>
          <w:rFonts w:ascii="Times New Roman" w:hAnsi="Times New Roman"/>
          <w:szCs w:val="28"/>
        </w:rPr>
        <w:t>constitu</w:t>
      </w:r>
      <w:r w:rsidR="00532418">
        <w:rPr>
          <w:rFonts w:ascii="Times New Roman" w:hAnsi="Times New Roman"/>
          <w:szCs w:val="28"/>
        </w:rPr>
        <w:t>é</w:t>
      </w:r>
      <w:r w:rsidRPr="00EF6ED0">
        <w:rPr>
          <w:rFonts w:ascii="Times New Roman" w:hAnsi="Times New Roman"/>
          <w:szCs w:val="28"/>
        </w:rPr>
        <w:t xml:space="preserve"> une étape clé du processus de formulation </w:t>
      </w:r>
      <w:r>
        <w:rPr>
          <w:rFonts w:ascii="Times New Roman" w:hAnsi="Times New Roman"/>
          <w:szCs w:val="28"/>
        </w:rPr>
        <w:t xml:space="preserve">de l’UNDAF </w:t>
      </w:r>
      <w:r w:rsidRPr="00EF6ED0">
        <w:rPr>
          <w:rFonts w:ascii="Times New Roman" w:hAnsi="Times New Roman"/>
          <w:szCs w:val="28"/>
        </w:rPr>
        <w:t>et</w:t>
      </w:r>
      <w:r w:rsidR="00532418">
        <w:rPr>
          <w:rFonts w:ascii="Times New Roman" w:hAnsi="Times New Roman"/>
          <w:szCs w:val="28"/>
        </w:rPr>
        <w:t xml:space="preserve"> a été</w:t>
      </w:r>
      <w:r w:rsidRPr="00EF6ED0">
        <w:rPr>
          <w:rFonts w:ascii="Times New Roman" w:hAnsi="Times New Roman"/>
          <w:szCs w:val="28"/>
        </w:rPr>
        <w:t xml:space="preserve"> un cadre </w:t>
      </w:r>
      <w:r>
        <w:rPr>
          <w:rFonts w:ascii="Times New Roman" w:hAnsi="Times New Roman"/>
          <w:szCs w:val="28"/>
        </w:rPr>
        <w:t xml:space="preserve">consensuel </w:t>
      </w:r>
      <w:r w:rsidRPr="00EF6ED0">
        <w:rPr>
          <w:rFonts w:ascii="Times New Roman" w:hAnsi="Times New Roman"/>
          <w:szCs w:val="28"/>
        </w:rPr>
        <w:t xml:space="preserve">de négociation entre </w:t>
      </w:r>
      <w:r>
        <w:rPr>
          <w:rFonts w:ascii="Times New Roman" w:hAnsi="Times New Roman"/>
          <w:szCs w:val="28"/>
        </w:rPr>
        <w:t xml:space="preserve">le SNU, le gouvernement et tous les acteurs au dévelopement. Elle a permis de convenir ensemble des priorités nationales auxquelles les Nations Unies devront apporter une contribution dans le cadre d’une réponse cohérente et intégrée conformément à l’esprit du Delivering as One pour la période 2017-2021. </w:t>
      </w:r>
    </w:p>
    <w:p w14:paraId="23670411" w14:textId="49ECC00F" w:rsidR="00E77DD3" w:rsidRDefault="00E77DD3" w:rsidP="00E77DD3">
      <w:pPr>
        <w:spacing w:line="276" w:lineRule="auto"/>
        <w:jc w:val="both"/>
        <w:rPr>
          <w:rFonts w:ascii="Times New Roman" w:hAnsi="Times New Roman"/>
          <w:szCs w:val="28"/>
        </w:rPr>
      </w:pPr>
      <w:r>
        <w:rPr>
          <w:rFonts w:ascii="Times New Roman" w:hAnsi="Times New Roman"/>
          <w:szCs w:val="28"/>
        </w:rPr>
        <w:t xml:space="preserve">Au terme de travaux itératifs et consensuels, trois (3) </w:t>
      </w:r>
      <w:r w:rsidR="00866EEF">
        <w:rPr>
          <w:rFonts w:ascii="Times New Roman" w:hAnsi="Times New Roman"/>
          <w:szCs w:val="28"/>
        </w:rPr>
        <w:t>résultats stratégiques</w:t>
      </w:r>
      <w:r>
        <w:rPr>
          <w:rFonts w:ascii="Times New Roman" w:hAnsi="Times New Roman"/>
          <w:szCs w:val="28"/>
        </w:rPr>
        <w:t xml:space="preserve"> et sept (07) principaux effets ont été identifiés. Les </w:t>
      </w:r>
      <w:r w:rsidR="00866EEF">
        <w:rPr>
          <w:rFonts w:ascii="Times New Roman" w:hAnsi="Times New Roman"/>
          <w:szCs w:val="28"/>
        </w:rPr>
        <w:t>résultats stratégiques</w:t>
      </w:r>
      <w:r>
        <w:rPr>
          <w:rFonts w:ascii="Times New Roman" w:hAnsi="Times New Roman"/>
          <w:szCs w:val="28"/>
        </w:rPr>
        <w:t xml:space="preserve"> identifiés sont : i) développement du capital humain ; ii) protection sociale, gestion des crises et durabilité et iii) gouvernance, paix et sécurité.  </w:t>
      </w:r>
    </w:p>
    <w:p w14:paraId="4213C389" w14:textId="008640BC" w:rsidR="00E77DD3" w:rsidRDefault="00E77DD3" w:rsidP="00E77DD3">
      <w:pPr>
        <w:spacing w:line="276" w:lineRule="auto"/>
        <w:jc w:val="both"/>
        <w:rPr>
          <w:rFonts w:ascii="Times New Roman" w:hAnsi="Times New Roman"/>
          <w:szCs w:val="28"/>
        </w:rPr>
      </w:pPr>
      <w:r>
        <w:rPr>
          <w:rFonts w:ascii="Times New Roman" w:hAnsi="Times New Roman"/>
          <w:szCs w:val="28"/>
        </w:rPr>
        <w:t xml:space="preserve">La problématique d’intégration de la situation des </w:t>
      </w:r>
      <w:r w:rsidRPr="00426D0A">
        <w:rPr>
          <w:rFonts w:ascii="Times New Roman" w:hAnsi="Times New Roman"/>
          <w:szCs w:val="28"/>
        </w:rPr>
        <w:t>réfugiés</w:t>
      </w:r>
      <w:r w:rsidR="00200CFE">
        <w:rPr>
          <w:rFonts w:ascii="Times New Roman" w:hAnsi="Times New Roman"/>
          <w:szCs w:val="28"/>
        </w:rPr>
        <w:t xml:space="preserve"> et de la réponse</w:t>
      </w:r>
      <w:r>
        <w:rPr>
          <w:rFonts w:ascii="Times New Roman" w:hAnsi="Times New Roman"/>
          <w:szCs w:val="28"/>
        </w:rPr>
        <w:t xml:space="preserve"> </w:t>
      </w:r>
      <w:r w:rsidR="00200CFE">
        <w:rPr>
          <w:rFonts w:ascii="Times New Roman" w:hAnsi="Times New Roman"/>
          <w:szCs w:val="28"/>
        </w:rPr>
        <w:t xml:space="preserve">humanitaire </w:t>
      </w:r>
      <w:r>
        <w:rPr>
          <w:rFonts w:ascii="Times New Roman" w:hAnsi="Times New Roman"/>
          <w:szCs w:val="28"/>
        </w:rPr>
        <w:t>a été prise en compte dans l’UNDAF de manière transversale.</w:t>
      </w:r>
    </w:p>
    <w:p w14:paraId="4D64747E" w14:textId="78B952C6" w:rsidR="00CD416A" w:rsidRPr="00993327" w:rsidRDefault="00CD416A" w:rsidP="00993327">
      <w:pPr>
        <w:pStyle w:val="Heading2"/>
        <w:jc w:val="left"/>
        <w:rPr>
          <w:color w:val="2E74B5"/>
          <w:sz w:val="24"/>
        </w:rPr>
      </w:pPr>
      <w:bookmarkStart w:id="27" w:name="_Toc459363402"/>
      <w:r w:rsidRPr="00993327">
        <w:rPr>
          <w:color w:val="2E74B5"/>
          <w:sz w:val="24"/>
        </w:rPr>
        <w:t>1.</w:t>
      </w:r>
      <w:r w:rsidR="00E77DD3" w:rsidRPr="00993327">
        <w:rPr>
          <w:color w:val="2E74B5"/>
          <w:sz w:val="24"/>
        </w:rPr>
        <w:t>2.</w:t>
      </w:r>
      <w:r w:rsidRPr="00993327">
        <w:rPr>
          <w:color w:val="2E74B5"/>
          <w:sz w:val="24"/>
        </w:rPr>
        <w:t>3. Formulation et validation de l’UNDAF</w:t>
      </w:r>
      <w:bookmarkEnd w:id="27"/>
    </w:p>
    <w:p w14:paraId="429B0DD5" w14:textId="75F8C656" w:rsidR="00CD416A" w:rsidRPr="00E65737" w:rsidRDefault="00CD416A" w:rsidP="00CD416A">
      <w:pPr>
        <w:spacing w:line="276" w:lineRule="auto"/>
        <w:jc w:val="both"/>
        <w:rPr>
          <w:rFonts w:ascii="Times New Roman" w:hAnsi="Times New Roman"/>
          <w:szCs w:val="28"/>
        </w:rPr>
      </w:pPr>
      <w:r w:rsidRPr="00BD7FA3">
        <w:rPr>
          <w:rFonts w:ascii="Times New Roman" w:hAnsi="Times New Roman"/>
          <w:szCs w:val="28"/>
        </w:rPr>
        <w:t>L</w:t>
      </w:r>
      <w:r>
        <w:rPr>
          <w:rFonts w:ascii="Times New Roman" w:hAnsi="Times New Roman"/>
          <w:szCs w:val="28"/>
        </w:rPr>
        <w:t xml:space="preserve">’élaboration </w:t>
      </w:r>
      <w:r w:rsidRPr="00BD7FA3">
        <w:rPr>
          <w:rFonts w:ascii="Times New Roman" w:hAnsi="Times New Roman"/>
          <w:szCs w:val="28"/>
        </w:rPr>
        <w:t xml:space="preserve">de l’UNDAF s’est </w:t>
      </w:r>
      <w:r>
        <w:rPr>
          <w:rFonts w:ascii="Times New Roman" w:hAnsi="Times New Roman"/>
          <w:szCs w:val="28"/>
        </w:rPr>
        <w:t>poursuivie dans un esprit collégial,</w:t>
      </w:r>
      <w:r w:rsidR="002F6937" w:rsidRPr="002F6937">
        <w:rPr>
          <w:rFonts w:ascii="Times New Roman" w:hAnsi="Times New Roman"/>
          <w:szCs w:val="28"/>
        </w:rPr>
        <w:t xml:space="preserve"> </w:t>
      </w:r>
      <w:r w:rsidR="002F6937">
        <w:rPr>
          <w:rFonts w:ascii="Times New Roman" w:hAnsi="Times New Roman"/>
          <w:szCs w:val="28"/>
        </w:rPr>
        <w:t>sous le leaderhip de l’Equipe de Pays du système des Nations Unies (UN Country Team-UNCT) avec</w:t>
      </w:r>
      <w:r>
        <w:rPr>
          <w:rFonts w:ascii="Times New Roman" w:hAnsi="Times New Roman"/>
          <w:szCs w:val="28"/>
        </w:rPr>
        <w:t xml:space="preserve"> </w:t>
      </w:r>
      <w:r w:rsidR="002F6937">
        <w:rPr>
          <w:rFonts w:ascii="Times New Roman" w:hAnsi="Times New Roman"/>
          <w:szCs w:val="28"/>
        </w:rPr>
        <w:t xml:space="preserve">la coordination du </w:t>
      </w:r>
      <w:r>
        <w:rPr>
          <w:rFonts w:ascii="Times New Roman" w:hAnsi="Times New Roman"/>
          <w:szCs w:val="28"/>
        </w:rPr>
        <w:t>groupe de gestion des programmes (P</w:t>
      </w:r>
      <w:r w:rsidR="002F6937">
        <w:rPr>
          <w:rFonts w:ascii="Times New Roman" w:hAnsi="Times New Roman"/>
          <w:szCs w:val="28"/>
        </w:rPr>
        <w:t>rogramme Management Team-PMT)</w:t>
      </w:r>
      <w:r>
        <w:rPr>
          <w:rFonts w:ascii="Times New Roman" w:hAnsi="Times New Roman"/>
          <w:szCs w:val="28"/>
        </w:rPr>
        <w:t xml:space="preserve">. La matrice des résultats et le plan de suivi et évaluation ont été élaborés par les groupes de travail sectoriels appuyés par le groupe technique suivi et évaluation. </w:t>
      </w:r>
      <w:r w:rsidRPr="005504A7">
        <w:rPr>
          <w:rFonts w:ascii="Times New Roman" w:hAnsi="Times New Roman"/>
        </w:rPr>
        <w:t>Un atelier de validation</w:t>
      </w:r>
      <w:r w:rsidR="00D045D8">
        <w:rPr>
          <w:rFonts w:ascii="Times New Roman" w:hAnsi="Times New Roman"/>
        </w:rPr>
        <w:t xml:space="preserve"> technique qui a regroupé les hauts cadres de l’administration, la société civile, les partenaires techniques et financiers et les experts du SNU</w:t>
      </w:r>
      <w:r w:rsidRPr="005504A7">
        <w:rPr>
          <w:rFonts w:ascii="Times New Roman" w:hAnsi="Times New Roman"/>
        </w:rPr>
        <w:t xml:space="preserve"> a permis de conclure ce processus et de disposer d’un document de programme tenant compte des principes de programmation</w:t>
      </w:r>
      <w:r w:rsidR="00D045D8">
        <w:rPr>
          <w:rFonts w:ascii="Times New Roman" w:hAnsi="Times New Roman"/>
        </w:rPr>
        <w:t xml:space="preserve"> </w:t>
      </w:r>
      <w:r w:rsidRPr="005504A7">
        <w:rPr>
          <w:rFonts w:ascii="Times New Roman" w:hAnsi="Times New Roman"/>
        </w:rPr>
        <w:t>du système des Nations Unies. Les procédures de contrôle et de validation, notamment le contrôle de qualité par l’</w:t>
      </w:r>
      <w:r w:rsidR="002F6937">
        <w:rPr>
          <w:rFonts w:ascii="Times New Roman" w:hAnsi="Times New Roman"/>
        </w:rPr>
        <w:t>E</w:t>
      </w:r>
      <w:r w:rsidRPr="005504A7">
        <w:rPr>
          <w:rFonts w:ascii="Times New Roman" w:hAnsi="Times New Roman"/>
        </w:rPr>
        <w:t xml:space="preserve">quipe des </w:t>
      </w:r>
      <w:r w:rsidR="002F6937">
        <w:rPr>
          <w:rFonts w:ascii="Times New Roman" w:hAnsi="Times New Roman"/>
        </w:rPr>
        <w:t>D</w:t>
      </w:r>
      <w:r w:rsidRPr="005504A7">
        <w:rPr>
          <w:rFonts w:ascii="Times New Roman" w:hAnsi="Times New Roman"/>
        </w:rPr>
        <w:t xml:space="preserve">irecteurs </w:t>
      </w:r>
      <w:r w:rsidR="002F6937">
        <w:rPr>
          <w:rFonts w:ascii="Times New Roman" w:hAnsi="Times New Roman"/>
        </w:rPr>
        <w:t>R</w:t>
      </w:r>
      <w:r w:rsidRPr="005504A7">
        <w:rPr>
          <w:rFonts w:ascii="Times New Roman" w:hAnsi="Times New Roman"/>
        </w:rPr>
        <w:t>égionaux</w:t>
      </w:r>
      <w:r w:rsidRPr="00862219">
        <w:rPr>
          <w:rFonts w:ascii="Times New Roman" w:hAnsi="Times New Roman"/>
          <w:color w:val="2E74B5"/>
          <w:szCs w:val="28"/>
        </w:rPr>
        <w:t xml:space="preserve"> </w:t>
      </w:r>
      <w:r w:rsidRPr="00BD7FA3">
        <w:rPr>
          <w:rFonts w:ascii="Times New Roman" w:hAnsi="Times New Roman"/>
          <w:szCs w:val="28"/>
        </w:rPr>
        <w:t xml:space="preserve">et les réunions conjointes avec le Gouvernement et les partenaires ont été </w:t>
      </w:r>
      <w:r>
        <w:rPr>
          <w:rFonts w:ascii="Times New Roman" w:hAnsi="Times New Roman"/>
          <w:szCs w:val="28"/>
        </w:rPr>
        <w:t>tenues</w:t>
      </w:r>
      <w:r w:rsidRPr="00BD7FA3">
        <w:rPr>
          <w:rFonts w:ascii="Times New Roman" w:hAnsi="Times New Roman"/>
          <w:szCs w:val="28"/>
        </w:rPr>
        <w:t xml:space="preserve">. </w:t>
      </w:r>
    </w:p>
    <w:p w14:paraId="5728017F" w14:textId="2914E728" w:rsidR="005C0D19" w:rsidRDefault="005C0D19" w:rsidP="005C0D19">
      <w:pPr>
        <w:pStyle w:val="Heading1"/>
        <w:rPr>
          <w:sz w:val="28"/>
        </w:rPr>
      </w:pPr>
      <w:bookmarkStart w:id="28" w:name="_Toc459363403"/>
      <w:r>
        <w:rPr>
          <w:sz w:val="28"/>
        </w:rPr>
        <w:t xml:space="preserve">1.3. </w:t>
      </w:r>
      <w:r w:rsidRPr="0027434E">
        <w:rPr>
          <w:sz w:val="28"/>
        </w:rPr>
        <w:t>Contexte national</w:t>
      </w:r>
      <w:bookmarkEnd w:id="28"/>
      <w:r w:rsidRPr="0027434E">
        <w:rPr>
          <w:sz w:val="28"/>
        </w:rPr>
        <w:t> </w:t>
      </w:r>
    </w:p>
    <w:p w14:paraId="60367F4F" w14:textId="6E6C54A5" w:rsidR="005C0D19" w:rsidRPr="00D70A32" w:rsidRDefault="005C0D19" w:rsidP="005C0D19">
      <w:pPr>
        <w:spacing w:line="276" w:lineRule="auto"/>
        <w:jc w:val="both"/>
        <w:rPr>
          <w:rFonts w:ascii="Times New Roman" w:hAnsi="Times New Roman"/>
        </w:rPr>
      </w:pPr>
      <w:r>
        <w:rPr>
          <w:rFonts w:ascii="Times New Roman" w:hAnsi="Times New Roman"/>
        </w:rPr>
        <w:t>Le</w:t>
      </w:r>
      <w:r w:rsidR="003F62EB">
        <w:rPr>
          <w:rFonts w:ascii="Times New Roman" w:hAnsi="Times New Roman"/>
        </w:rPr>
        <w:t xml:space="preserve"> Tchad a enregistré un taux de croissance annuel </w:t>
      </w:r>
      <w:r w:rsidR="003F62EB" w:rsidRPr="00D70A32">
        <w:rPr>
          <w:rFonts w:ascii="Times New Roman" w:hAnsi="Times New Roman"/>
        </w:rPr>
        <w:t>moyen d’au moins 7% pendant la décennie 2004-2014</w:t>
      </w:r>
      <w:r w:rsidR="003F62EB">
        <w:rPr>
          <w:rFonts w:ascii="Times New Roman" w:hAnsi="Times New Roman"/>
        </w:rPr>
        <w:t xml:space="preserve">, suite au boom pétrolier qu’a connu le pays </w:t>
      </w:r>
      <w:r w:rsidRPr="00D70A32">
        <w:rPr>
          <w:rFonts w:ascii="Times New Roman" w:hAnsi="Times New Roman"/>
        </w:rPr>
        <w:t xml:space="preserve">sans pour autant parvenir à réduire les inégalités (hausse de l’indice de Gini de 0,49 à 0,51). </w:t>
      </w:r>
      <w:r>
        <w:rPr>
          <w:rFonts w:ascii="Times New Roman" w:hAnsi="Times New Roman"/>
        </w:rPr>
        <w:t xml:space="preserve">Le secteur pétrolier a représenté en 2014, plus de 90% des recettes d’exportation, 60% du budget et plus de 30% du PIB (AEO2015) illustrant la faible </w:t>
      </w:r>
      <w:r w:rsidR="00654691">
        <w:rPr>
          <w:rFonts w:ascii="Times New Roman" w:hAnsi="Times New Roman"/>
        </w:rPr>
        <w:t>diversification</w:t>
      </w:r>
      <w:r>
        <w:rPr>
          <w:rFonts w:ascii="Times New Roman" w:hAnsi="Times New Roman"/>
        </w:rPr>
        <w:t xml:space="preserve"> des sources de la croissance</w:t>
      </w:r>
      <w:r w:rsidR="00DC1E60">
        <w:rPr>
          <w:rFonts w:ascii="Times New Roman" w:hAnsi="Times New Roman"/>
        </w:rPr>
        <w:t xml:space="preserve"> économique</w:t>
      </w:r>
      <w:r>
        <w:rPr>
          <w:rFonts w:ascii="Times New Roman" w:hAnsi="Times New Roman"/>
        </w:rPr>
        <w:t xml:space="preserve">. </w:t>
      </w:r>
      <w:r w:rsidRPr="00D70A32">
        <w:rPr>
          <w:rFonts w:ascii="Times New Roman" w:hAnsi="Times New Roman"/>
        </w:rPr>
        <w:t xml:space="preserve">Le secteur agricole informel continue à être </w:t>
      </w:r>
      <w:r>
        <w:rPr>
          <w:rFonts w:ascii="Times New Roman" w:hAnsi="Times New Roman"/>
        </w:rPr>
        <w:t xml:space="preserve">pourtant </w:t>
      </w:r>
      <w:r w:rsidRPr="00D70A32">
        <w:rPr>
          <w:rFonts w:ascii="Times New Roman" w:hAnsi="Times New Roman"/>
        </w:rPr>
        <w:t>le principal pourvoyeur de richesses nationales</w:t>
      </w:r>
      <w:r>
        <w:rPr>
          <w:rFonts w:ascii="Times New Roman" w:hAnsi="Times New Roman"/>
        </w:rPr>
        <w:t xml:space="preserve"> </w:t>
      </w:r>
      <w:r w:rsidRPr="00D70A32">
        <w:rPr>
          <w:rFonts w:ascii="Times New Roman" w:hAnsi="Times New Roman"/>
        </w:rPr>
        <w:t>(plus de 50% du PIB, depuis 2010, WBI</w:t>
      </w:r>
      <w:r>
        <w:rPr>
          <w:rFonts w:ascii="Times New Roman" w:hAnsi="Times New Roman"/>
        </w:rPr>
        <w:t xml:space="preserve">, </w:t>
      </w:r>
      <w:r w:rsidRPr="00D70A32">
        <w:rPr>
          <w:rFonts w:ascii="Times New Roman" w:hAnsi="Times New Roman"/>
        </w:rPr>
        <w:t xml:space="preserve">2015). </w:t>
      </w:r>
      <w:r>
        <w:rPr>
          <w:rFonts w:ascii="Times New Roman" w:hAnsi="Times New Roman"/>
        </w:rPr>
        <w:t>En effet, l</w:t>
      </w:r>
      <w:r w:rsidRPr="00D70A32">
        <w:rPr>
          <w:rFonts w:ascii="Times New Roman" w:hAnsi="Times New Roman"/>
        </w:rPr>
        <w:t>e Tchad dispose d’énormes potentialités (gomme, bétail, poisson) à valoriser pour pallier la conjoncture défavorable de la branche pétrolière, et aussi remédier à la faible diversification de la production (A</w:t>
      </w:r>
      <w:r>
        <w:rPr>
          <w:rFonts w:ascii="Times New Roman" w:hAnsi="Times New Roman"/>
        </w:rPr>
        <w:t>EO2016, BAD-PNUD)</w:t>
      </w:r>
      <w:r w:rsidRPr="00D70A32">
        <w:rPr>
          <w:rFonts w:ascii="Times New Roman" w:hAnsi="Times New Roman"/>
        </w:rPr>
        <w:t xml:space="preserve">. </w:t>
      </w:r>
    </w:p>
    <w:p w14:paraId="4226BD92" w14:textId="60F9B999" w:rsidR="00082B39" w:rsidRPr="00082B39" w:rsidRDefault="005C0D19" w:rsidP="00082B39">
      <w:pPr>
        <w:spacing w:line="276" w:lineRule="auto"/>
        <w:jc w:val="both"/>
        <w:rPr>
          <w:rFonts w:ascii="Times New Roman" w:hAnsi="Times New Roman"/>
        </w:rPr>
      </w:pPr>
      <w:r w:rsidRPr="000D33AE">
        <w:rPr>
          <w:rFonts w:ascii="Times New Roman" w:hAnsi="Times New Roman"/>
        </w:rPr>
        <w:t>Au plan social et du capital humain, l’</w:t>
      </w:r>
      <w:r w:rsidR="009360E7">
        <w:rPr>
          <w:rFonts w:ascii="Times New Roman" w:hAnsi="Times New Roman"/>
        </w:rPr>
        <w:t>espérance de vie à la naissance</w:t>
      </w:r>
      <w:r w:rsidRPr="000D33AE">
        <w:rPr>
          <w:rFonts w:ascii="Times New Roman" w:hAnsi="Times New Roman"/>
        </w:rPr>
        <w:t xml:space="preserve"> a progressé de 49,6 à 51,4 ans entre 2010 et 2014 (HDR2015), consécutivement à une baisse importante de la mortalité infanto-juvénile, de 191 à 123 pour 1</w:t>
      </w:r>
      <w:r w:rsidR="00DC1E60">
        <w:rPr>
          <w:rFonts w:ascii="Times New Roman" w:hAnsi="Times New Roman"/>
        </w:rPr>
        <w:t xml:space="preserve"> </w:t>
      </w:r>
      <w:r w:rsidRPr="000D33AE">
        <w:rPr>
          <w:rFonts w:ascii="Times New Roman" w:hAnsi="Times New Roman"/>
        </w:rPr>
        <w:t>000 naissances vivantes</w:t>
      </w:r>
      <w:r w:rsidR="0055192B">
        <w:rPr>
          <w:rFonts w:ascii="Times New Roman" w:hAnsi="Times New Roman"/>
        </w:rPr>
        <w:t xml:space="preserve"> </w:t>
      </w:r>
      <w:r w:rsidRPr="000D33AE">
        <w:rPr>
          <w:rFonts w:ascii="Times New Roman" w:hAnsi="Times New Roman"/>
        </w:rPr>
        <w:t>(EDS-MICS</w:t>
      </w:r>
      <w:r w:rsidRPr="000D33AE">
        <w:rPr>
          <w:rFonts w:ascii="Times New Roman" w:hAnsi="Times New Roman"/>
          <w:vertAlign w:val="superscript"/>
        </w:rPr>
        <w:t>4</w:t>
      </w:r>
      <w:r w:rsidRPr="00A40DE0">
        <w:rPr>
          <w:rFonts w:ascii="Times New Roman" w:hAnsi="Times New Roman"/>
        </w:rPr>
        <w:t>,</w:t>
      </w:r>
      <w:r>
        <w:rPr>
          <w:rFonts w:ascii="Times New Roman" w:hAnsi="Times New Roman"/>
        </w:rPr>
        <w:t xml:space="preserve"> </w:t>
      </w:r>
      <w:r w:rsidRPr="000D33AE">
        <w:rPr>
          <w:rFonts w:ascii="Times New Roman" w:hAnsi="Times New Roman"/>
        </w:rPr>
        <w:t>2014-2015). Cette baisse n’est toutefois pas assez suffisante po</w:t>
      </w:r>
      <w:r>
        <w:rPr>
          <w:rFonts w:ascii="Times New Roman" w:hAnsi="Times New Roman"/>
        </w:rPr>
        <w:t>ur atteindre la cible OMD de 47,</w:t>
      </w:r>
      <w:r w:rsidRPr="000D33AE">
        <w:rPr>
          <w:rFonts w:ascii="Times New Roman" w:hAnsi="Times New Roman"/>
        </w:rPr>
        <w:t>7</w:t>
      </w:r>
      <w:r>
        <w:rPr>
          <w:rFonts w:ascii="Times New Roman" w:hAnsi="Times New Roman"/>
        </w:rPr>
        <w:t xml:space="preserve"> pour 1</w:t>
      </w:r>
      <w:r w:rsidR="00DC1E60">
        <w:rPr>
          <w:rFonts w:ascii="Times New Roman" w:hAnsi="Times New Roman"/>
        </w:rPr>
        <w:t xml:space="preserve"> </w:t>
      </w:r>
      <w:r>
        <w:rPr>
          <w:rFonts w:ascii="Times New Roman" w:hAnsi="Times New Roman"/>
        </w:rPr>
        <w:t>000 naissances vivantes</w:t>
      </w:r>
      <w:r w:rsidR="0055192B">
        <w:rPr>
          <w:rFonts w:ascii="Times New Roman" w:hAnsi="Times New Roman"/>
        </w:rPr>
        <w:t>.</w:t>
      </w:r>
      <w:r w:rsidRPr="000D33AE">
        <w:rPr>
          <w:rFonts w:ascii="Times New Roman" w:hAnsi="Times New Roman"/>
        </w:rPr>
        <w:t xml:space="preserve"> Le niveau d’éducation de la population demeure l’un des plus bas en Afrique. Même si le taux net de scolarisation s’est amélioré de 41 à 43,7% ainsi que le taux d’achèvement qui passe de 37,7% en 2006 à 41,4% en 2013, ces cibles OMD restent hors de portée en raison notamment d’une hausse de la </w:t>
      </w:r>
      <w:r w:rsidRPr="000D33AE">
        <w:rPr>
          <w:rFonts w:ascii="Times New Roman" w:hAnsi="Times New Roman"/>
        </w:rPr>
        <w:lastRenderedPageBreak/>
        <w:t>population scolarisable et des offres de service éducatifs insuffisantes. La mortalité maternelle qui demeure encore élevée, a connu une baisse passant de 10</w:t>
      </w:r>
      <w:r>
        <w:rPr>
          <w:rFonts w:ascii="Times New Roman" w:hAnsi="Times New Roman"/>
        </w:rPr>
        <w:t>80</w:t>
      </w:r>
      <w:r w:rsidRPr="000D33AE">
        <w:rPr>
          <w:rFonts w:ascii="Times New Roman" w:hAnsi="Times New Roman"/>
        </w:rPr>
        <w:t xml:space="preserve"> à </w:t>
      </w:r>
      <w:r w:rsidRPr="00082B39">
        <w:rPr>
          <w:rFonts w:ascii="Times New Roman" w:hAnsi="Times New Roman"/>
        </w:rPr>
        <w:t xml:space="preserve"> </w:t>
      </w:r>
      <w:r>
        <w:rPr>
          <w:rFonts w:ascii="Times New Roman" w:hAnsi="Times New Roman"/>
        </w:rPr>
        <w:t xml:space="preserve">860 dècés pour 100.000 naissances vivantes </w:t>
      </w:r>
      <w:r w:rsidRPr="000D33AE">
        <w:rPr>
          <w:rFonts w:ascii="Times New Roman" w:hAnsi="Times New Roman"/>
        </w:rPr>
        <w:t>entre 2004 et 2014</w:t>
      </w:r>
      <w:r w:rsidR="009360E7" w:rsidRPr="009360E7">
        <w:rPr>
          <w:rFonts w:ascii="Times New Roman" w:hAnsi="Times New Roman"/>
        </w:rPr>
        <w:t xml:space="preserve"> </w:t>
      </w:r>
      <w:r w:rsidR="009360E7">
        <w:rPr>
          <w:rFonts w:ascii="Times New Roman" w:hAnsi="Times New Roman"/>
        </w:rPr>
        <w:t>avec une forte contribution des</w:t>
      </w:r>
      <w:r w:rsidR="009360E7" w:rsidRPr="00082B39">
        <w:rPr>
          <w:rFonts w:ascii="Times New Roman" w:hAnsi="Times New Roman"/>
        </w:rPr>
        <w:t xml:space="preserve"> adolescentes (15-19 ans) représent</w:t>
      </w:r>
      <w:r w:rsidR="009360E7">
        <w:rPr>
          <w:rFonts w:ascii="Times New Roman" w:hAnsi="Times New Roman"/>
        </w:rPr>
        <w:t>a</w:t>
      </w:r>
      <w:r w:rsidR="009360E7" w:rsidRPr="00082B39">
        <w:rPr>
          <w:rFonts w:ascii="Times New Roman" w:hAnsi="Times New Roman"/>
        </w:rPr>
        <w:t>nt 50.8% des décès maternels</w:t>
      </w:r>
      <w:r w:rsidR="00082B39" w:rsidRPr="00082B39">
        <w:rPr>
          <w:rFonts w:ascii="Times New Roman" w:hAnsi="Times New Roman"/>
        </w:rPr>
        <w:t>. Le pays ambitionne d’atteindre le statut de pays émergent à l’horizon 2030 mais le premier pas vers la réalisation de la transition démographique, posé par le fléchissement de la mortalité, est loin d’être accompagné par une réduction significative et rapide de la fécondité. Le taux de prévalence contraceptive est encore faible</w:t>
      </w:r>
      <w:r w:rsidR="00DC1E60">
        <w:rPr>
          <w:rFonts w:ascii="Times New Roman" w:hAnsi="Times New Roman"/>
        </w:rPr>
        <w:t>,</w:t>
      </w:r>
      <w:r w:rsidR="00082B39" w:rsidRPr="00082B39">
        <w:rPr>
          <w:rFonts w:ascii="Times New Roman" w:hAnsi="Times New Roman"/>
        </w:rPr>
        <w:t xml:space="preserve"> à 5%.</w:t>
      </w:r>
    </w:p>
    <w:p w14:paraId="25BEF1BC" w14:textId="7F07886F" w:rsidR="005C0D19" w:rsidRPr="000D33AE" w:rsidRDefault="005C0D19" w:rsidP="005C0D19">
      <w:pPr>
        <w:spacing w:line="276" w:lineRule="auto"/>
        <w:jc w:val="both"/>
        <w:rPr>
          <w:rFonts w:ascii="Times New Roman" w:hAnsi="Times New Roman"/>
        </w:rPr>
      </w:pPr>
      <w:r w:rsidRPr="000D33AE">
        <w:rPr>
          <w:rFonts w:ascii="Times New Roman" w:hAnsi="Times New Roman"/>
        </w:rPr>
        <w:t>Entre 2010 et 2014, la situation sanitaire des populations, s’est améliorée avec une hausse de la proportion d’enfants de moins de 5 ans dormant sous moustiquaires im</w:t>
      </w:r>
      <w:r w:rsidR="00DB5704">
        <w:rPr>
          <w:rFonts w:ascii="Times New Roman" w:hAnsi="Times New Roman"/>
        </w:rPr>
        <w:t>prégnées d’insecticides, de 9,8</w:t>
      </w:r>
      <w:r w:rsidRPr="000D33AE">
        <w:rPr>
          <w:rFonts w:ascii="Times New Roman" w:hAnsi="Times New Roman"/>
        </w:rPr>
        <w:t>% à 45,6 % (EDS-MICS</w:t>
      </w:r>
      <w:r>
        <w:rPr>
          <w:rFonts w:ascii="Times New Roman" w:hAnsi="Times New Roman"/>
        </w:rPr>
        <w:t xml:space="preserve">, </w:t>
      </w:r>
      <w:r w:rsidRPr="000D33AE">
        <w:rPr>
          <w:rFonts w:ascii="Times New Roman" w:hAnsi="Times New Roman"/>
        </w:rPr>
        <w:t>2014-2015). Sur la même période, la hausse de l’utilisation des préservatifs et des médicaments antipaludéens et antirétroviraux, a eu pour effet de réduire la létalité liée au paludisme et la séroprévalence au VIH chez les jeunes de 15-24 ans,</w:t>
      </w:r>
      <w:r>
        <w:rPr>
          <w:rFonts w:ascii="Times New Roman" w:hAnsi="Times New Roman"/>
        </w:rPr>
        <w:t xml:space="preserve"> </w:t>
      </w:r>
      <w:r w:rsidRPr="000D33AE">
        <w:rPr>
          <w:rFonts w:ascii="Times New Roman" w:hAnsi="Times New Roman"/>
        </w:rPr>
        <w:t>de 4,9% à 2,9% (EDS-MICS</w:t>
      </w:r>
      <w:r>
        <w:rPr>
          <w:rFonts w:ascii="Times New Roman" w:hAnsi="Times New Roman"/>
        </w:rPr>
        <w:t>,</w:t>
      </w:r>
      <w:r w:rsidRPr="000D33AE">
        <w:rPr>
          <w:rFonts w:ascii="Times New Roman" w:hAnsi="Times New Roman"/>
        </w:rPr>
        <w:t xml:space="preserve"> 2014-2015). </w:t>
      </w:r>
    </w:p>
    <w:p w14:paraId="294C92B0" w14:textId="690648BC" w:rsidR="005C0D19" w:rsidRDefault="005C0D19" w:rsidP="005C0D19">
      <w:pPr>
        <w:spacing w:line="276" w:lineRule="auto"/>
        <w:jc w:val="both"/>
        <w:rPr>
          <w:rFonts w:ascii="Times New Roman" w:hAnsi="Times New Roman"/>
        </w:rPr>
      </w:pPr>
      <w:r w:rsidRPr="000D33AE">
        <w:rPr>
          <w:rFonts w:ascii="Times New Roman" w:hAnsi="Times New Roman"/>
        </w:rPr>
        <w:t>Les prévalences de l’insécurité alimentaire et de la malnutrition restent élevées, et constituent un frein majeur au développement. En 2015, près de 2,7 millions de personnes étaient en insécurité alimentaire au Tchad parmi lesquelles 663.000 personnes en situation d’insécurité alimentaire sévère. Les taux de malnutrition aigüe globale, quant à eux, dépassent le seuil d’urgence de 15% dans 7 régions sur 20 (SMART</w:t>
      </w:r>
      <w:r w:rsidR="002408B1">
        <w:rPr>
          <w:rFonts w:ascii="Times New Roman" w:hAnsi="Times New Roman"/>
        </w:rPr>
        <w:t>,</w:t>
      </w:r>
      <w:r w:rsidRPr="000D33AE">
        <w:rPr>
          <w:rFonts w:ascii="Times New Roman" w:hAnsi="Times New Roman"/>
        </w:rPr>
        <w:t xml:space="preserve"> 2015). La malnutrition chronique</w:t>
      </w:r>
      <w:r>
        <w:rPr>
          <w:rFonts w:ascii="Times New Roman" w:hAnsi="Times New Roman"/>
        </w:rPr>
        <w:t xml:space="preserve">, </w:t>
      </w:r>
      <w:r w:rsidRPr="000D33AE">
        <w:rPr>
          <w:rFonts w:ascii="Times New Roman" w:hAnsi="Times New Roman"/>
        </w:rPr>
        <w:t>31,9%</w:t>
      </w:r>
      <w:r>
        <w:rPr>
          <w:rFonts w:ascii="Times New Roman" w:hAnsi="Times New Roman"/>
        </w:rPr>
        <w:t>,</w:t>
      </w:r>
      <w:r w:rsidRPr="000D33AE">
        <w:rPr>
          <w:rFonts w:ascii="Times New Roman" w:hAnsi="Times New Roman"/>
        </w:rPr>
        <w:t xml:space="preserve"> représente un défi de santé publique majeur et entraine des conséquences irréversibles en termes de croissance physique, de développement intellectuel et de productivité à l’âge adulte. Les résultats de l’étude sur le Coût de la Faim (2015) montrent qu’en 2012, la malnutrition a coûté 575</w:t>
      </w:r>
      <w:r>
        <w:rPr>
          <w:rFonts w:ascii="Times New Roman" w:hAnsi="Times New Roman"/>
        </w:rPr>
        <w:t>,</w:t>
      </w:r>
      <w:r w:rsidRPr="000D33AE">
        <w:rPr>
          <w:rFonts w:ascii="Times New Roman" w:hAnsi="Times New Roman"/>
        </w:rPr>
        <w:t>8 milliards de Francs CFA au Tchad en termes de dépenses et de capital humain perdu, soit 9</w:t>
      </w:r>
      <w:r>
        <w:rPr>
          <w:rFonts w:ascii="Times New Roman" w:hAnsi="Times New Roman"/>
        </w:rPr>
        <w:t>,</w:t>
      </w:r>
      <w:r w:rsidRPr="000D33AE">
        <w:rPr>
          <w:rFonts w:ascii="Times New Roman" w:hAnsi="Times New Roman"/>
        </w:rPr>
        <w:t xml:space="preserve">5% du PIB. </w:t>
      </w:r>
    </w:p>
    <w:p w14:paraId="79A43829" w14:textId="6634686D" w:rsidR="005C0D19" w:rsidRPr="00A40DE0" w:rsidRDefault="005C0D19" w:rsidP="005C0D19">
      <w:pPr>
        <w:spacing w:line="276" w:lineRule="auto"/>
        <w:jc w:val="both"/>
        <w:rPr>
          <w:rFonts w:ascii="Times New Roman" w:hAnsi="Times New Roman"/>
        </w:rPr>
      </w:pPr>
      <w:r>
        <w:rPr>
          <w:rFonts w:ascii="Times New Roman" w:hAnsi="Times New Roman"/>
        </w:rPr>
        <w:t>Sur le plan de la protection de l’enfance, e</w:t>
      </w:r>
      <w:r w:rsidRPr="00101ECC">
        <w:rPr>
          <w:rFonts w:ascii="Times New Roman" w:hAnsi="Times New Roman"/>
        </w:rPr>
        <w:t xml:space="preserve">n 2015, près de neuf enfants sur dix (88%) n’ont pas d’identité </w:t>
      </w:r>
      <w:r w:rsidR="00013B07">
        <w:rPr>
          <w:rFonts w:ascii="Times New Roman" w:hAnsi="Times New Roman"/>
        </w:rPr>
        <w:t>civile, n’ayant</w:t>
      </w:r>
      <w:r w:rsidRPr="00101ECC">
        <w:rPr>
          <w:rFonts w:ascii="Times New Roman" w:hAnsi="Times New Roman"/>
        </w:rPr>
        <w:t xml:space="preserve"> p</w:t>
      </w:r>
      <w:r>
        <w:rPr>
          <w:rFonts w:ascii="Times New Roman" w:hAnsi="Times New Roman"/>
        </w:rPr>
        <w:t xml:space="preserve">as été déclarés à la naissance. </w:t>
      </w:r>
      <w:r w:rsidRPr="00101ECC">
        <w:rPr>
          <w:rFonts w:ascii="Times New Roman" w:hAnsi="Times New Roman"/>
        </w:rPr>
        <w:t>En milieu rural</w:t>
      </w:r>
      <w:r w:rsidR="007C725D">
        <w:rPr>
          <w:rFonts w:ascii="Times New Roman" w:hAnsi="Times New Roman"/>
        </w:rPr>
        <w:t>,</w:t>
      </w:r>
      <w:r w:rsidRPr="00101ECC">
        <w:rPr>
          <w:rFonts w:ascii="Times New Roman" w:hAnsi="Times New Roman"/>
        </w:rPr>
        <w:t xml:space="preserve"> seuls 6% des enfants étaient déclarés à l’Etat civil contre 36% des enfants </w:t>
      </w:r>
      <w:r>
        <w:rPr>
          <w:rFonts w:ascii="Times New Roman" w:hAnsi="Times New Roman"/>
        </w:rPr>
        <w:t>en</w:t>
      </w:r>
      <w:r w:rsidRPr="00101ECC">
        <w:rPr>
          <w:rFonts w:ascii="Times New Roman" w:hAnsi="Times New Roman"/>
        </w:rPr>
        <w:t xml:space="preserve"> milieu urbain. Le travail des enfants touche plus de deux enfants de 5-11 ans sur cinq (42%). Il est également plus répandu en milieu rural (</w:t>
      </w:r>
      <w:r w:rsidRPr="00A40DE0">
        <w:rPr>
          <w:rFonts w:ascii="Times New Roman" w:hAnsi="Times New Roman"/>
        </w:rPr>
        <w:t>45% des enfants de 5-11 ans) qu’en milieu urbain (28% des enfants de 5-11 ans).</w:t>
      </w:r>
    </w:p>
    <w:p w14:paraId="2C0B6F03" w14:textId="0008C61E" w:rsidR="005C0D19" w:rsidRPr="00101ECC" w:rsidRDefault="005C0D19" w:rsidP="005C0D19">
      <w:pPr>
        <w:spacing w:line="276" w:lineRule="auto"/>
        <w:jc w:val="both"/>
        <w:rPr>
          <w:rFonts w:ascii="Times New Roman" w:hAnsi="Times New Roman"/>
          <w:color w:val="FF0000"/>
        </w:rPr>
      </w:pPr>
      <w:r w:rsidRPr="00101ECC">
        <w:rPr>
          <w:rFonts w:ascii="Times New Roman" w:hAnsi="Times New Roman"/>
        </w:rPr>
        <w:t xml:space="preserve">Le mariage </w:t>
      </w:r>
      <w:r w:rsidR="007C725D">
        <w:rPr>
          <w:rFonts w:ascii="Times New Roman" w:hAnsi="Times New Roman"/>
        </w:rPr>
        <w:t>des enfants</w:t>
      </w:r>
      <w:r>
        <w:rPr>
          <w:rFonts w:ascii="Times New Roman" w:hAnsi="Times New Roman"/>
        </w:rPr>
        <w:t xml:space="preserve"> </w:t>
      </w:r>
      <w:r w:rsidRPr="00101ECC">
        <w:rPr>
          <w:rFonts w:ascii="Times New Roman" w:hAnsi="Times New Roman"/>
        </w:rPr>
        <w:t xml:space="preserve">est une privation importante que subissent de </w:t>
      </w:r>
      <w:r w:rsidR="007C725D">
        <w:rPr>
          <w:rFonts w:ascii="Times New Roman" w:hAnsi="Times New Roman"/>
        </w:rPr>
        <w:t>nombreuses filles</w:t>
      </w:r>
      <w:r w:rsidRPr="00101ECC">
        <w:rPr>
          <w:rFonts w:ascii="Times New Roman" w:hAnsi="Times New Roman"/>
        </w:rPr>
        <w:t xml:space="preserve"> au Tchad. En effet</w:t>
      </w:r>
      <w:r w:rsidR="00013B07">
        <w:rPr>
          <w:rFonts w:ascii="Times New Roman" w:hAnsi="Times New Roman"/>
        </w:rPr>
        <w:t>,</w:t>
      </w:r>
      <w:r w:rsidRPr="00101ECC">
        <w:rPr>
          <w:rFonts w:ascii="Times New Roman" w:hAnsi="Times New Roman"/>
        </w:rPr>
        <w:t xml:space="preserve"> en 2015, près </w:t>
      </w:r>
      <w:r w:rsidR="002408B1">
        <w:rPr>
          <w:rFonts w:ascii="Times New Roman" w:hAnsi="Times New Roman"/>
        </w:rPr>
        <w:t xml:space="preserve">de </w:t>
      </w:r>
      <w:r w:rsidRPr="00101ECC">
        <w:rPr>
          <w:rFonts w:ascii="Times New Roman" w:hAnsi="Times New Roman"/>
        </w:rPr>
        <w:t xml:space="preserve">deux filles sur cinq (38%) sont mariées avant </w:t>
      </w:r>
      <w:r>
        <w:rPr>
          <w:rFonts w:ascii="Times New Roman" w:hAnsi="Times New Roman"/>
        </w:rPr>
        <w:t>d’</w:t>
      </w:r>
      <w:r w:rsidRPr="00101ECC">
        <w:rPr>
          <w:rFonts w:ascii="Times New Roman" w:hAnsi="Times New Roman"/>
        </w:rPr>
        <w:t>avoir atteint la majorité</w:t>
      </w:r>
      <w:r w:rsidR="007C725D">
        <w:rPr>
          <w:rFonts w:ascii="Times New Roman" w:hAnsi="Times New Roman"/>
        </w:rPr>
        <w:t xml:space="preserve">, à savoir, </w:t>
      </w:r>
      <w:r w:rsidRPr="00101ECC">
        <w:rPr>
          <w:rFonts w:ascii="Times New Roman" w:hAnsi="Times New Roman"/>
        </w:rPr>
        <w:t>18 ans. Il en résulte une précocité de l’entrée dans la vie féconde</w:t>
      </w:r>
      <w:r>
        <w:rPr>
          <w:rFonts w:ascii="Times New Roman" w:hAnsi="Times New Roman"/>
        </w:rPr>
        <w:t>. E</w:t>
      </w:r>
      <w:r w:rsidRPr="00101ECC">
        <w:rPr>
          <w:rFonts w:ascii="Times New Roman" w:hAnsi="Times New Roman"/>
        </w:rPr>
        <w:t>n effet</w:t>
      </w:r>
      <w:r>
        <w:rPr>
          <w:rFonts w:ascii="Times New Roman" w:hAnsi="Times New Roman"/>
        </w:rPr>
        <w:t>,</w:t>
      </w:r>
      <w:r w:rsidRPr="00101ECC">
        <w:rPr>
          <w:rFonts w:ascii="Times New Roman" w:hAnsi="Times New Roman"/>
        </w:rPr>
        <w:t xml:space="preserve"> pr</w:t>
      </w:r>
      <w:r>
        <w:rPr>
          <w:rFonts w:ascii="Times New Roman" w:hAnsi="Times New Roman"/>
        </w:rPr>
        <w:t>è</w:t>
      </w:r>
      <w:r w:rsidRPr="00101ECC">
        <w:rPr>
          <w:rFonts w:ascii="Times New Roman" w:hAnsi="Times New Roman"/>
        </w:rPr>
        <w:t>s d’une fille sur trois (30%) est enceinte ou a eu un enfant avant sa majorité</w:t>
      </w:r>
      <w:r w:rsidR="008D6841">
        <w:rPr>
          <w:rFonts w:ascii="Times New Roman" w:hAnsi="Times New Roman"/>
        </w:rPr>
        <w:t>.</w:t>
      </w:r>
      <w:r>
        <w:rPr>
          <w:rFonts w:ascii="Times New Roman" w:hAnsi="Times New Roman"/>
        </w:rPr>
        <w:t xml:space="preserve"> </w:t>
      </w:r>
      <w:r w:rsidRPr="00101ECC">
        <w:rPr>
          <w:rFonts w:ascii="Times New Roman" w:hAnsi="Times New Roman"/>
        </w:rPr>
        <w:t>Cette situation alimente le cercle vicieux de la pauvreté. D’autres formes de violence touchent les filles</w:t>
      </w:r>
      <w:r w:rsidR="00013B07">
        <w:rPr>
          <w:rFonts w:ascii="Times New Roman" w:hAnsi="Times New Roman"/>
        </w:rPr>
        <w:t xml:space="preserve">. </w:t>
      </w:r>
      <w:r w:rsidRPr="00101ECC">
        <w:rPr>
          <w:rFonts w:ascii="Times New Roman" w:hAnsi="Times New Roman"/>
        </w:rPr>
        <w:t>Il s’agit des mutil</w:t>
      </w:r>
      <w:r>
        <w:rPr>
          <w:rFonts w:ascii="Times New Roman" w:hAnsi="Times New Roman"/>
        </w:rPr>
        <w:t>ations génitales féminines qui concern</w:t>
      </w:r>
      <w:r w:rsidRPr="00101ECC">
        <w:rPr>
          <w:rFonts w:ascii="Times New Roman" w:hAnsi="Times New Roman"/>
        </w:rPr>
        <w:t>ent une fille de moins de 15 ans sur dix (10%) et des violences physiques exercées par le mari ou le partenaire qu’a subi</w:t>
      </w:r>
      <w:r>
        <w:rPr>
          <w:rFonts w:ascii="Times New Roman" w:hAnsi="Times New Roman"/>
        </w:rPr>
        <w:t>es</w:t>
      </w:r>
      <w:r w:rsidRPr="00101ECC">
        <w:rPr>
          <w:rFonts w:ascii="Times New Roman" w:hAnsi="Times New Roman"/>
        </w:rPr>
        <w:t xml:space="preserve"> près d’une femme non célibataire sur cinq (18%) en 2015</w:t>
      </w:r>
      <w:r>
        <w:rPr>
          <w:rFonts w:ascii="Arial Narrow" w:hAnsi="Arial Narrow"/>
          <w:sz w:val="24"/>
          <w:szCs w:val="24"/>
        </w:rPr>
        <w:t>.</w:t>
      </w:r>
    </w:p>
    <w:p w14:paraId="4DAE9224" w14:textId="77777777" w:rsidR="005C0D19" w:rsidRPr="00681219" w:rsidRDefault="005C0D19" w:rsidP="005C0D19">
      <w:pPr>
        <w:spacing w:line="276" w:lineRule="auto"/>
        <w:jc w:val="both"/>
        <w:rPr>
          <w:rFonts w:ascii="Times New Roman" w:hAnsi="Times New Roman"/>
        </w:rPr>
      </w:pPr>
      <w:r w:rsidRPr="00681219">
        <w:rPr>
          <w:rFonts w:ascii="Times New Roman" w:hAnsi="Times New Roman"/>
        </w:rPr>
        <w:t>En termes de gouvernance politique, le pays a progressé avec l’organisation d’élections présidentielles, législatives et locales apaisées entre 2010-2012, puis présidentielles en 2016, qui seront suivies d’élections locales en 2017. L’accord politique d’avril 2014, la composition inclusive de la Commission Electorale Nationale Indépendante (CENI) et du Cadre National du Dialogue Politique (CNDP), le recensement électoral biométrique, constituent des acquis importants. En termes de gouvernance économique, l’assistance du SNU a permis de doter le pays d’un plan national de développement (PND 2013-2015) ayant servi à mobiliser 1000 milliards FCFA (Conférence de Paris, juin 2014). Par ailleurs, les orientations stratégiques ont été fournies pour une planification quinquennale séquencée basée sur une vision d’émergence du Tchad à l’horizon 2030. La mise en œuvre des politiques et des réformes transformatrices de l’économie tchadienne reste un défi majeur au regard de la faible capacité de l’administration et la faible promotion de la culture de gestion axée sur les résultats.</w:t>
      </w:r>
    </w:p>
    <w:p w14:paraId="3D2956EE" w14:textId="77777777" w:rsidR="005C0D19" w:rsidRPr="001D57A1" w:rsidRDefault="005C0D19" w:rsidP="005C0D19">
      <w:pPr>
        <w:spacing w:line="276" w:lineRule="auto"/>
        <w:jc w:val="both"/>
        <w:rPr>
          <w:rFonts w:ascii="Times New Roman" w:hAnsi="Times New Roman"/>
        </w:rPr>
      </w:pPr>
      <w:r w:rsidRPr="001D57A1">
        <w:rPr>
          <w:rFonts w:ascii="Times New Roman" w:hAnsi="Times New Roman"/>
        </w:rPr>
        <w:t>Le Tchad, s'est doté d'une constitution en mars 1996. Ce texte fondamental rappelle l'attachement du peuple tchadien aux principes de</w:t>
      </w:r>
      <w:r>
        <w:rPr>
          <w:rFonts w:ascii="Times New Roman" w:hAnsi="Times New Roman"/>
        </w:rPr>
        <w:t>s</w:t>
      </w:r>
      <w:r w:rsidRPr="001D57A1">
        <w:rPr>
          <w:rFonts w:ascii="Times New Roman" w:hAnsi="Times New Roman"/>
        </w:rPr>
        <w:t xml:space="preserve"> droits de l'homme tels que définis par la Charte des Nations Unies de 1945, la Déclaration Universelle des droits de l'homme de 1948 et la Charte Africaine des droits de l'homme et des Peuples de 1981. Le titre 2 de cette constitution est consacré aux libertés et droits fondamentaux reconnus à tous les citoyens. L'arsenal juridique national est renforcé par les codes, les lois et les autres textes à caractère législatif. Il s'agit par exemple du code pénal, du code de procédure pénale, </w:t>
      </w:r>
      <w:r>
        <w:rPr>
          <w:rFonts w:ascii="Times New Roman" w:hAnsi="Times New Roman"/>
        </w:rPr>
        <w:t>du</w:t>
      </w:r>
      <w:r w:rsidRPr="001D57A1">
        <w:rPr>
          <w:rFonts w:ascii="Times New Roman" w:hAnsi="Times New Roman"/>
        </w:rPr>
        <w:t xml:space="preserve"> code du travail, du code électoral. Pour intégrer ses engagements internationaux dans sa législation nationale, le Gouvernement</w:t>
      </w:r>
      <w:r>
        <w:rPr>
          <w:rFonts w:ascii="Times New Roman" w:hAnsi="Times New Roman"/>
        </w:rPr>
        <w:t>,</w:t>
      </w:r>
      <w:r w:rsidRPr="001D57A1">
        <w:rPr>
          <w:rFonts w:ascii="Times New Roman" w:hAnsi="Times New Roman"/>
        </w:rPr>
        <w:t xml:space="preserve"> avec l'appui de ses partenaires techniques et financiers</w:t>
      </w:r>
      <w:r>
        <w:rPr>
          <w:rFonts w:ascii="Times New Roman" w:hAnsi="Times New Roman"/>
        </w:rPr>
        <w:t>,</w:t>
      </w:r>
      <w:r w:rsidRPr="001D57A1">
        <w:rPr>
          <w:rFonts w:ascii="Times New Roman" w:hAnsi="Times New Roman"/>
        </w:rPr>
        <w:t xml:space="preserve"> a engagé un grand chantier de réforme législatif. </w:t>
      </w:r>
    </w:p>
    <w:p w14:paraId="75F8B8DB" w14:textId="77777777" w:rsidR="005C0D19" w:rsidRPr="001D57A1" w:rsidRDefault="005C0D19" w:rsidP="005C0D19">
      <w:pPr>
        <w:spacing w:line="276" w:lineRule="auto"/>
        <w:jc w:val="both"/>
        <w:rPr>
          <w:rFonts w:ascii="Times New Roman" w:hAnsi="Times New Roman"/>
        </w:rPr>
      </w:pPr>
      <w:r>
        <w:rPr>
          <w:rFonts w:ascii="Times New Roman" w:hAnsi="Times New Roman"/>
        </w:rPr>
        <w:t xml:space="preserve">Au </w:t>
      </w:r>
      <w:r w:rsidRPr="001D57A1">
        <w:rPr>
          <w:rFonts w:ascii="Times New Roman" w:hAnsi="Times New Roman"/>
        </w:rPr>
        <w:t xml:space="preserve">plan </w:t>
      </w:r>
      <w:r>
        <w:rPr>
          <w:rFonts w:ascii="Times New Roman" w:hAnsi="Times New Roman"/>
        </w:rPr>
        <w:t>i</w:t>
      </w:r>
      <w:r w:rsidRPr="001D57A1">
        <w:rPr>
          <w:rFonts w:ascii="Times New Roman" w:hAnsi="Times New Roman"/>
        </w:rPr>
        <w:t xml:space="preserve">nternational, le Tchad a manifesté son intérêt pour la promotion et </w:t>
      </w:r>
      <w:r>
        <w:rPr>
          <w:rFonts w:ascii="Times New Roman" w:hAnsi="Times New Roman"/>
        </w:rPr>
        <w:t xml:space="preserve">la </w:t>
      </w:r>
      <w:r w:rsidRPr="001D57A1">
        <w:rPr>
          <w:rFonts w:ascii="Times New Roman" w:hAnsi="Times New Roman"/>
        </w:rPr>
        <w:t xml:space="preserve">protection des droits de l'homme et </w:t>
      </w:r>
      <w:r>
        <w:rPr>
          <w:rFonts w:ascii="Times New Roman" w:hAnsi="Times New Roman"/>
        </w:rPr>
        <w:t>de l’égalité entre les hommes et les femmes</w:t>
      </w:r>
      <w:r w:rsidRPr="001D57A1">
        <w:rPr>
          <w:rFonts w:ascii="Times New Roman" w:hAnsi="Times New Roman"/>
        </w:rPr>
        <w:t xml:space="preserve"> à travers la ratification d'une grande partie des conventions internationales y afférentes</w:t>
      </w:r>
      <w:r>
        <w:rPr>
          <w:rFonts w:ascii="Times New Roman" w:hAnsi="Times New Roman"/>
        </w:rPr>
        <w:t xml:space="preserve"> dont,</w:t>
      </w:r>
      <w:r w:rsidRPr="001D57A1">
        <w:rPr>
          <w:rFonts w:ascii="Times New Roman" w:hAnsi="Times New Roman"/>
        </w:rPr>
        <w:t xml:space="preserve"> par exemple</w:t>
      </w:r>
      <w:r>
        <w:rPr>
          <w:rFonts w:ascii="Times New Roman" w:hAnsi="Times New Roman"/>
        </w:rPr>
        <w:t>,</w:t>
      </w:r>
      <w:r w:rsidRPr="001D57A1">
        <w:rPr>
          <w:rFonts w:ascii="Times New Roman" w:hAnsi="Times New Roman"/>
        </w:rPr>
        <w:t xml:space="preserve"> le </w:t>
      </w:r>
      <w:r>
        <w:rPr>
          <w:rFonts w:ascii="Times New Roman" w:hAnsi="Times New Roman"/>
        </w:rPr>
        <w:t>p</w:t>
      </w:r>
      <w:r w:rsidRPr="001D57A1">
        <w:rPr>
          <w:rFonts w:ascii="Times New Roman" w:hAnsi="Times New Roman"/>
        </w:rPr>
        <w:t xml:space="preserve">acte </w:t>
      </w:r>
      <w:r>
        <w:rPr>
          <w:rFonts w:ascii="Times New Roman" w:hAnsi="Times New Roman"/>
        </w:rPr>
        <w:t>i</w:t>
      </w:r>
      <w:r w:rsidRPr="001D57A1">
        <w:rPr>
          <w:rFonts w:ascii="Times New Roman" w:hAnsi="Times New Roman"/>
        </w:rPr>
        <w:t xml:space="preserve">nternational relatif aux droits civils et politiques, le </w:t>
      </w:r>
      <w:r>
        <w:rPr>
          <w:rFonts w:ascii="Times New Roman" w:hAnsi="Times New Roman"/>
        </w:rPr>
        <w:t>p</w:t>
      </w:r>
      <w:r w:rsidRPr="001D57A1">
        <w:rPr>
          <w:rFonts w:ascii="Times New Roman" w:hAnsi="Times New Roman"/>
        </w:rPr>
        <w:t xml:space="preserve">acte </w:t>
      </w:r>
      <w:r>
        <w:rPr>
          <w:rFonts w:ascii="Times New Roman" w:hAnsi="Times New Roman"/>
        </w:rPr>
        <w:t>i</w:t>
      </w:r>
      <w:r w:rsidRPr="001D57A1">
        <w:rPr>
          <w:rFonts w:ascii="Times New Roman" w:hAnsi="Times New Roman"/>
        </w:rPr>
        <w:t>nternational relatif aux droits économiques, sociaux</w:t>
      </w:r>
      <w:r>
        <w:rPr>
          <w:rFonts w:ascii="Times New Roman" w:hAnsi="Times New Roman"/>
        </w:rPr>
        <w:t xml:space="preserve"> et</w:t>
      </w:r>
      <w:r w:rsidRPr="001D57A1">
        <w:rPr>
          <w:rFonts w:ascii="Times New Roman" w:hAnsi="Times New Roman"/>
        </w:rPr>
        <w:t xml:space="preserve"> culturel</w:t>
      </w:r>
      <w:r>
        <w:rPr>
          <w:rFonts w:ascii="Times New Roman" w:hAnsi="Times New Roman"/>
        </w:rPr>
        <w:t>s</w:t>
      </w:r>
      <w:r w:rsidRPr="001D57A1">
        <w:rPr>
          <w:rFonts w:ascii="Times New Roman" w:hAnsi="Times New Roman"/>
        </w:rPr>
        <w:t xml:space="preserve">, la convention relative aux droits de l'enfant, la convention sur l’élimination de toutes les formes de discrimination à l’égard des femmes (CEDEF), </w:t>
      </w:r>
      <w:r>
        <w:rPr>
          <w:rFonts w:ascii="Times New Roman" w:hAnsi="Times New Roman"/>
        </w:rPr>
        <w:t>la c</w:t>
      </w:r>
      <w:r w:rsidRPr="001D57A1">
        <w:rPr>
          <w:rFonts w:ascii="Times New Roman" w:hAnsi="Times New Roman"/>
        </w:rPr>
        <w:t>onvention contre la torture et autres peines ou traitements cruels, inhumains ou dégradants</w:t>
      </w:r>
      <w:r>
        <w:rPr>
          <w:rFonts w:ascii="Times New Roman" w:hAnsi="Times New Roman"/>
        </w:rPr>
        <w:t xml:space="preserve"> </w:t>
      </w:r>
      <w:r w:rsidRPr="001D57A1">
        <w:rPr>
          <w:rFonts w:ascii="Times New Roman" w:hAnsi="Times New Roman"/>
        </w:rPr>
        <w:t>(CCT).</w:t>
      </w:r>
    </w:p>
    <w:p w14:paraId="61D8A5F0" w14:textId="54A8BB55" w:rsidR="005C0D19" w:rsidRPr="00EC1F9E" w:rsidRDefault="005C0D19" w:rsidP="005C0D19">
      <w:pPr>
        <w:spacing w:line="276" w:lineRule="auto"/>
        <w:jc w:val="both"/>
        <w:rPr>
          <w:rFonts w:ascii="Times New Roman" w:hAnsi="Times New Roman"/>
        </w:rPr>
      </w:pPr>
      <w:r w:rsidRPr="00EC1F9E">
        <w:rPr>
          <w:rFonts w:ascii="Times New Roman" w:hAnsi="Times New Roman"/>
        </w:rPr>
        <w:t xml:space="preserve">S’agissant spécifiquement du genre et de l’égalité </w:t>
      </w:r>
      <w:r>
        <w:rPr>
          <w:rFonts w:ascii="Times New Roman" w:hAnsi="Times New Roman"/>
        </w:rPr>
        <w:t>entre les</w:t>
      </w:r>
      <w:r w:rsidRPr="00EC1F9E">
        <w:rPr>
          <w:rFonts w:ascii="Times New Roman" w:hAnsi="Times New Roman"/>
        </w:rPr>
        <w:t xml:space="preserve"> sexes, une avancée majeure a été réalisée en 2015 par l’adoption d’une loi pour réprimer le mariage </w:t>
      </w:r>
      <w:r w:rsidR="008D6841">
        <w:rPr>
          <w:rFonts w:ascii="Times New Roman" w:hAnsi="Times New Roman"/>
        </w:rPr>
        <w:t>des enfants</w:t>
      </w:r>
      <w:r w:rsidRPr="00EC1F9E">
        <w:rPr>
          <w:rFonts w:ascii="Times New Roman" w:hAnsi="Times New Roman"/>
        </w:rPr>
        <w:t xml:space="preserve"> au Tchad. De même, la parité filles-garçons au primaire est passée de 0,67 à 0,76 de 2005 à 2012 et le pou</w:t>
      </w:r>
      <w:r>
        <w:rPr>
          <w:rFonts w:ascii="Times New Roman" w:hAnsi="Times New Roman"/>
        </w:rPr>
        <w:t>r</w:t>
      </w:r>
      <w:r w:rsidRPr="00EC1F9E">
        <w:rPr>
          <w:rFonts w:ascii="Times New Roman" w:hAnsi="Times New Roman"/>
        </w:rPr>
        <w:t xml:space="preserve">centage de femmes siègeant au parlement est passé de 3 à 15% entre 1997 et 2015. Cependant, les violences basées sur le genre, y compris dans le contexte humanitaire, restent préoccupantes. </w:t>
      </w:r>
      <w:r w:rsidR="00A408F0" w:rsidRPr="00A408F0">
        <w:rPr>
          <w:rFonts w:ascii="Times New Roman" w:hAnsi="Times New Roman"/>
        </w:rPr>
        <w:t>En effet, selon EDST-MICS 2014-2015, 29% des femmes âgées de 15-49 ans ont subi des violences physiques à un moment quelconque depuis l’âge de 15 ans, 12% ont subi des violences sexuelles à un moment quelconque et 38% sont excisées. Par ailleurs, la dépend</w:t>
      </w:r>
      <w:r w:rsidR="00A408F0">
        <w:rPr>
          <w:rFonts w:ascii="Times New Roman" w:hAnsi="Times New Roman"/>
        </w:rPr>
        <w:t xml:space="preserve">ance économique des filles et ou des </w:t>
      </w:r>
      <w:r w:rsidR="00A408F0" w:rsidRPr="00A408F0">
        <w:rPr>
          <w:rFonts w:ascii="Times New Roman" w:hAnsi="Times New Roman"/>
        </w:rPr>
        <w:t>femmes contribue à la vulnérabilité de leurs droits et à leur moindre participation dans le secteur économique et dans la prise de décision. Il demeure que la levée des barrières socioculturelles est essentielle à la jouissance des droits des filles</w:t>
      </w:r>
      <w:r w:rsidR="00A408F0">
        <w:rPr>
          <w:rFonts w:ascii="Times New Roman" w:hAnsi="Times New Roman"/>
        </w:rPr>
        <w:t xml:space="preserve"> et des </w:t>
      </w:r>
      <w:r w:rsidR="00A408F0" w:rsidRPr="00A408F0">
        <w:rPr>
          <w:rFonts w:ascii="Times New Roman" w:hAnsi="Times New Roman"/>
        </w:rPr>
        <w:t>femmes dans tous les domaines surtout en matière de santé sexuelle et reproductive. L’adoption et la promulgation de la loi interdisant le mariage d</w:t>
      </w:r>
      <w:r w:rsidR="004D18D9">
        <w:rPr>
          <w:rFonts w:ascii="Times New Roman" w:hAnsi="Times New Roman"/>
        </w:rPr>
        <w:t xml:space="preserve">es </w:t>
      </w:r>
      <w:r w:rsidR="00A408F0" w:rsidRPr="00A408F0">
        <w:rPr>
          <w:rFonts w:ascii="Times New Roman" w:hAnsi="Times New Roman"/>
        </w:rPr>
        <w:t>enfant</w:t>
      </w:r>
      <w:r w:rsidR="004D18D9">
        <w:rPr>
          <w:rFonts w:ascii="Times New Roman" w:hAnsi="Times New Roman"/>
        </w:rPr>
        <w:t>s</w:t>
      </w:r>
      <w:r w:rsidR="00A408F0" w:rsidRPr="00A408F0">
        <w:rPr>
          <w:rFonts w:ascii="Times New Roman" w:hAnsi="Times New Roman"/>
        </w:rPr>
        <w:t xml:space="preserve"> d’une part</w:t>
      </w:r>
      <w:r w:rsidR="004D18D9">
        <w:rPr>
          <w:rFonts w:ascii="Times New Roman" w:hAnsi="Times New Roman"/>
        </w:rPr>
        <w:t>,</w:t>
      </w:r>
      <w:r w:rsidR="00A408F0" w:rsidRPr="00A408F0">
        <w:rPr>
          <w:rFonts w:ascii="Times New Roman" w:hAnsi="Times New Roman"/>
        </w:rPr>
        <w:t xml:space="preserve"> et la révision en cours du code pénal pour intégrer des dispositions répressives concernant les MGF et les VBG d’autre part</w:t>
      </w:r>
      <w:r w:rsidR="004D18D9">
        <w:rPr>
          <w:rFonts w:ascii="Times New Roman" w:hAnsi="Times New Roman"/>
        </w:rPr>
        <w:t>,</w:t>
      </w:r>
      <w:r w:rsidR="00A408F0" w:rsidRPr="00A408F0">
        <w:rPr>
          <w:rFonts w:ascii="Times New Roman" w:hAnsi="Times New Roman"/>
        </w:rPr>
        <w:t xml:space="preserve"> constituent à la fois des instruments et une opportunité pour améliorer l’environnement socioculturel en faveur des droits reproductifs et sexuels des filles/femmes </w:t>
      </w:r>
    </w:p>
    <w:p w14:paraId="4F62D61B" w14:textId="147B26FE" w:rsidR="005C0D19" w:rsidRDefault="005C0D19" w:rsidP="005C0D19">
      <w:pPr>
        <w:spacing w:line="276" w:lineRule="auto"/>
        <w:jc w:val="both"/>
        <w:rPr>
          <w:rFonts w:ascii="Times New Roman" w:hAnsi="Times New Roman"/>
        </w:rPr>
      </w:pPr>
      <w:r w:rsidRPr="009B1CA8">
        <w:rPr>
          <w:rFonts w:ascii="Times New Roman" w:hAnsi="Times New Roman"/>
        </w:rPr>
        <w:t xml:space="preserve">Au plan humanitaire, le pays </w:t>
      </w:r>
      <w:r w:rsidR="00ED79B3">
        <w:rPr>
          <w:rFonts w:ascii="Times New Roman" w:hAnsi="Times New Roman"/>
        </w:rPr>
        <w:t xml:space="preserve"> accueille environ 400.000 </w:t>
      </w:r>
      <w:r w:rsidRPr="009B1CA8">
        <w:rPr>
          <w:rFonts w:ascii="Times New Roman" w:hAnsi="Times New Roman"/>
        </w:rPr>
        <w:t>réfugiés</w:t>
      </w:r>
      <w:r w:rsidR="00ED79B3">
        <w:rPr>
          <w:rFonts w:ascii="Times New Roman" w:hAnsi="Times New Roman"/>
        </w:rPr>
        <w:t xml:space="preserve">, 100.000 </w:t>
      </w:r>
      <w:r w:rsidRPr="009B1CA8">
        <w:rPr>
          <w:rFonts w:ascii="Times New Roman" w:hAnsi="Times New Roman"/>
        </w:rPr>
        <w:t xml:space="preserve">déplacés internes et </w:t>
      </w:r>
      <w:r w:rsidR="00ED79B3">
        <w:rPr>
          <w:rFonts w:ascii="Times New Roman" w:hAnsi="Times New Roman"/>
        </w:rPr>
        <w:t xml:space="preserve">90.000 </w:t>
      </w:r>
      <w:r w:rsidRPr="009B1CA8">
        <w:rPr>
          <w:rFonts w:ascii="Times New Roman" w:hAnsi="Times New Roman"/>
        </w:rPr>
        <w:t xml:space="preserve">retournés </w:t>
      </w:r>
      <w:r>
        <w:rPr>
          <w:rFonts w:ascii="Times New Roman" w:hAnsi="Times New Roman"/>
        </w:rPr>
        <w:t>selon OCHA (juin 2016)</w:t>
      </w:r>
      <w:r w:rsidRPr="009B1CA8">
        <w:rPr>
          <w:rFonts w:ascii="Times New Roman" w:hAnsi="Times New Roman"/>
        </w:rPr>
        <w:t xml:space="preserve">, suite aux conflits dans les pays voisins (Libye, Soudan, RCA, Nigéria). La vulnérabilité des zones d’accueil de ces populations est exacerbée par une pression additionnelle sur les ressources naturelles (terres, eau, bois…) et une demande supplémentaire en services publics, spécifiquement en services sociaux de base, augmentant ainsi les risques de tensions inter-communautaires. Les mesures de sécurisation de ces zones ont des conséquences désastreuses sur les ménages avec </w:t>
      </w:r>
      <w:r>
        <w:rPr>
          <w:rFonts w:ascii="Times New Roman" w:hAnsi="Times New Roman"/>
        </w:rPr>
        <w:t>le</w:t>
      </w:r>
      <w:r w:rsidRPr="009B1CA8">
        <w:rPr>
          <w:rFonts w:ascii="Times New Roman" w:hAnsi="Times New Roman"/>
        </w:rPr>
        <w:t xml:space="preserve"> ralentissement de l’activité économique, </w:t>
      </w:r>
      <w:r>
        <w:rPr>
          <w:rFonts w:ascii="Times New Roman" w:hAnsi="Times New Roman"/>
        </w:rPr>
        <w:t>l</w:t>
      </w:r>
      <w:r w:rsidRPr="009B1CA8">
        <w:rPr>
          <w:rFonts w:ascii="Times New Roman" w:hAnsi="Times New Roman"/>
        </w:rPr>
        <w:t>es difficultés d’approvisionnement des marchés et la réduction de la pêche sur le Lac Tchad. Par ailleurs, un plan de réponse en faveur des réfugiés et retournés de la RCA, a été élaboré en 2015 avec l’appui du SNU. L’</w:t>
      </w:r>
      <w:r>
        <w:rPr>
          <w:rFonts w:ascii="Times New Roman" w:hAnsi="Times New Roman"/>
        </w:rPr>
        <w:t>a</w:t>
      </w:r>
      <w:r w:rsidRPr="009B1CA8">
        <w:rPr>
          <w:rFonts w:ascii="Times New Roman" w:hAnsi="Times New Roman"/>
        </w:rPr>
        <w:t xml:space="preserve">perçu des besoins humanitaires du Tchad en 2016, montre que les catastrophes naturelles récurrentes affectant le Tchad, principalement les inondations et les sécheresses rendent encore plus vulnérables les populations vivant déjà dans la précarité. </w:t>
      </w:r>
    </w:p>
    <w:p w14:paraId="7AB6C389" w14:textId="25875BE7" w:rsidR="00796F75" w:rsidRDefault="00796F75" w:rsidP="005C0D19">
      <w:pPr>
        <w:spacing w:line="276" w:lineRule="auto"/>
        <w:jc w:val="both"/>
        <w:rPr>
          <w:rFonts w:ascii="Times New Roman" w:hAnsi="Times New Roman"/>
        </w:rPr>
      </w:pPr>
      <w:r>
        <w:rPr>
          <w:rFonts w:ascii="Times New Roman" w:hAnsi="Times New Roman"/>
        </w:rPr>
        <w:t xml:space="preserve">La situation sécuritaire, largement dégradée dans la région du Lac, du fait des activités terroristes de la secte Boko Haram, </w:t>
      </w:r>
      <w:r w:rsidR="0066349E">
        <w:rPr>
          <w:rFonts w:ascii="Times New Roman" w:hAnsi="Times New Roman"/>
        </w:rPr>
        <w:t xml:space="preserve">constitue une préoccupation majeure même si l’Etat </w:t>
      </w:r>
      <w:r w:rsidR="0066349E" w:rsidRPr="0066349E">
        <w:rPr>
          <w:rFonts w:ascii="Times New Roman" w:hAnsi="Times New Roman"/>
        </w:rPr>
        <w:t xml:space="preserve">a contenu </w:t>
      </w:r>
      <w:r w:rsidR="0066349E">
        <w:rPr>
          <w:rFonts w:ascii="Times New Roman" w:hAnsi="Times New Roman"/>
        </w:rPr>
        <w:t>cette menace. Nonobstant, la secte continue à recruter des jeunes dans la région et à opérer des attentats au niveau des villages, mettant des milliers des personnes sur la route et amplifiant davantage la situation d’urgence que connait le pays qui est le quatrième au monde en termes d’accueil des personnes réfugiées/déplacées.</w:t>
      </w:r>
    </w:p>
    <w:p w14:paraId="1DBCB58F" w14:textId="0A9BC48D" w:rsidR="005C0D19" w:rsidRPr="00E4202D" w:rsidRDefault="005C0D19" w:rsidP="005C0D19">
      <w:pPr>
        <w:spacing w:line="276" w:lineRule="auto"/>
        <w:jc w:val="both"/>
        <w:rPr>
          <w:rFonts w:ascii="Times New Roman" w:hAnsi="Times New Roman"/>
        </w:rPr>
      </w:pPr>
      <w:r w:rsidRPr="00E4202D">
        <w:rPr>
          <w:rFonts w:ascii="Times New Roman" w:hAnsi="Times New Roman"/>
        </w:rPr>
        <w:t>Au plan environnemental et climatique, la pluviométrie souvent erratique, fragilise la base productive déjà affectée p</w:t>
      </w:r>
      <w:r>
        <w:rPr>
          <w:rFonts w:ascii="Times New Roman" w:hAnsi="Times New Roman"/>
        </w:rPr>
        <w:t xml:space="preserve">ar le faible accès à l’énergie : </w:t>
      </w:r>
      <w:r w:rsidRPr="00E4202D">
        <w:rPr>
          <w:rFonts w:ascii="Times New Roman" w:hAnsi="Times New Roman"/>
        </w:rPr>
        <w:t xml:space="preserve">seul 3% de la population </w:t>
      </w:r>
      <w:r w:rsidR="00EB2191">
        <w:rPr>
          <w:rFonts w:ascii="Times New Roman" w:hAnsi="Times New Roman"/>
        </w:rPr>
        <w:t xml:space="preserve">ayant </w:t>
      </w:r>
      <w:r w:rsidRPr="00E4202D">
        <w:rPr>
          <w:rFonts w:ascii="Times New Roman" w:hAnsi="Times New Roman"/>
        </w:rPr>
        <w:t>accès</w:t>
      </w:r>
      <w:r w:rsidR="00EB2191">
        <w:rPr>
          <w:rFonts w:ascii="Times New Roman" w:hAnsi="Times New Roman"/>
        </w:rPr>
        <w:t xml:space="preserve"> à l’électricité</w:t>
      </w:r>
      <w:r>
        <w:rPr>
          <w:rFonts w:ascii="Times New Roman" w:hAnsi="Times New Roman"/>
        </w:rPr>
        <w:t xml:space="preserve"> (</w:t>
      </w:r>
      <w:r w:rsidRPr="00E4202D">
        <w:rPr>
          <w:rFonts w:ascii="Times New Roman" w:hAnsi="Times New Roman"/>
        </w:rPr>
        <w:t>EDIC2, 2013). La persistance de la sécheresse a entrainé une forte migration des populations du Nord vers le Sud. La transhumance du bétail se révèle également plus précoce et plus longue dans le Sud. Ces modifications de</w:t>
      </w:r>
      <w:r>
        <w:rPr>
          <w:rFonts w:ascii="Times New Roman" w:hAnsi="Times New Roman"/>
        </w:rPr>
        <w:t xml:space="preserve"> </w:t>
      </w:r>
      <w:r w:rsidRPr="00E4202D">
        <w:rPr>
          <w:rFonts w:ascii="Times New Roman" w:hAnsi="Times New Roman"/>
        </w:rPr>
        <w:t>pratiques, si elles montrent les capacités endogènes d’adaptation des populations affectées</w:t>
      </w:r>
      <w:r>
        <w:rPr>
          <w:rFonts w:ascii="Times New Roman" w:hAnsi="Times New Roman"/>
        </w:rPr>
        <w:t xml:space="preserve">, n’en </w:t>
      </w:r>
      <w:r w:rsidRPr="00E4202D">
        <w:rPr>
          <w:rFonts w:ascii="Times New Roman" w:hAnsi="Times New Roman"/>
        </w:rPr>
        <w:t xml:space="preserve">révèlent </w:t>
      </w:r>
      <w:r>
        <w:rPr>
          <w:rFonts w:ascii="Times New Roman" w:hAnsi="Times New Roman"/>
        </w:rPr>
        <w:t>pas moins,</w:t>
      </w:r>
      <w:r w:rsidRPr="00E4202D">
        <w:rPr>
          <w:rFonts w:ascii="Times New Roman" w:hAnsi="Times New Roman"/>
        </w:rPr>
        <w:t xml:space="preserve"> combien les chocs successifs ont fragilisé et augmenté la vulnérabilité de leurs systèmes. </w:t>
      </w:r>
      <w:r w:rsidR="00395744">
        <w:rPr>
          <w:rFonts w:ascii="Times New Roman" w:hAnsi="Times New Roman"/>
        </w:rPr>
        <w:t>Aussi</w:t>
      </w:r>
      <w:r w:rsidR="00395744" w:rsidRPr="00395744">
        <w:rPr>
          <w:rFonts w:ascii="Times New Roman" w:hAnsi="Times New Roman"/>
        </w:rPr>
        <w:t xml:space="preserve">, l'activité humaine combinée avec les effets des aléas climatiques menacent le patrimoine naturel. Les besoins énergétiques domestiques à base de produits du bois ont entraîné une déforestation de plus de 90 pour cent du patrimoine et l'extinction nationale de certaines espèces de 1970 à nos jours. La situation est plus alarmante </w:t>
      </w:r>
      <w:r w:rsidR="00395744">
        <w:rPr>
          <w:rFonts w:ascii="Times New Roman" w:hAnsi="Times New Roman"/>
        </w:rPr>
        <w:t>au niveau du</w:t>
      </w:r>
      <w:r w:rsidR="00395744" w:rsidRPr="00395744">
        <w:rPr>
          <w:rFonts w:ascii="Times New Roman" w:hAnsi="Times New Roman"/>
        </w:rPr>
        <w:t xml:space="preserve"> </w:t>
      </w:r>
      <w:r w:rsidR="00395744">
        <w:rPr>
          <w:rFonts w:ascii="Times New Roman" w:hAnsi="Times New Roman"/>
        </w:rPr>
        <w:t>L</w:t>
      </w:r>
      <w:r w:rsidR="00395744" w:rsidRPr="00395744">
        <w:rPr>
          <w:rFonts w:ascii="Times New Roman" w:hAnsi="Times New Roman"/>
        </w:rPr>
        <w:t xml:space="preserve">ac Tchad, qui a perdu 90 pour cent de sa superficie entre 1960 et </w:t>
      </w:r>
      <w:r w:rsidR="009951F3">
        <w:rPr>
          <w:rFonts w:ascii="Times New Roman" w:hAnsi="Times New Roman"/>
        </w:rPr>
        <w:t>aujourd’hui</w:t>
      </w:r>
      <w:r w:rsidR="00395744" w:rsidRPr="00395744">
        <w:rPr>
          <w:rFonts w:ascii="Times New Roman" w:hAnsi="Times New Roman"/>
        </w:rPr>
        <w:t xml:space="preserve">, </w:t>
      </w:r>
      <w:r w:rsidR="009951F3">
        <w:rPr>
          <w:rFonts w:ascii="Times New Roman" w:hAnsi="Times New Roman"/>
        </w:rPr>
        <w:t>entrainant des</w:t>
      </w:r>
      <w:r w:rsidR="00395744" w:rsidRPr="00395744">
        <w:rPr>
          <w:rFonts w:ascii="Times New Roman" w:hAnsi="Times New Roman"/>
        </w:rPr>
        <w:t xml:space="preserve"> impacts environnementaux et socio-économiques énormes sur l'ensemble du bassin.</w:t>
      </w:r>
      <w:r w:rsidR="00EB2191">
        <w:rPr>
          <w:rFonts w:ascii="Times New Roman" w:hAnsi="Times New Roman"/>
        </w:rPr>
        <w:t xml:space="preserve"> </w:t>
      </w:r>
      <w:r w:rsidRPr="00E4202D">
        <w:rPr>
          <w:rFonts w:ascii="Times New Roman" w:hAnsi="Times New Roman"/>
        </w:rPr>
        <w:t xml:space="preserve">Cependant, des progrès non négligeables sont enregistrés en termes de préservation de l’environnement, </w:t>
      </w:r>
      <w:r w:rsidR="00431B94">
        <w:rPr>
          <w:rFonts w:ascii="Times New Roman" w:hAnsi="Times New Roman"/>
        </w:rPr>
        <w:t xml:space="preserve">avec la création de </w:t>
      </w:r>
      <w:r w:rsidR="00431B94" w:rsidRPr="00431B94">
        <w:rPr>
          <w:rFonts w:ascii="Times New Roman" w:hAnsi="Times New Roman"/>
        </w:rPr>
        <w:t>3 parcs nationaux, 11 réserves de faune, une réserve de biosphère et 10 forêts classées</w:t>
      </w:r>
      <w:r w:rsidR="00431B94">
        <w:rPr>
          <w:rFonts w:ascii="Times New Roman" w:hAnsi="Times New Roman"/>
        </w:rPr>
        <w:t xml:space="preserve">, </w:t>
      </w:r>
      <w:r w:rsidRPr="00E4202D">
        <w:rPr>
          <w:rFonts w:ascii="Times New Roman" w:hAnsi="Times New Roman"/>
        </w:rPr>
        <w:t>la baisse de la consommation du charbon de bois, la hausse de la consommation du gaz (revue PND 2014). Par ailleurs, la mise en œuvre du PND a permis d’améliorer substantiellement l’accès des populations rurales à l’eau potable, de 21 à 52% entre 2000 et 2014.</w:t>
      </w:r>
    </w:p>
    <w:p w14:paraId="6B8DEA11" w14:textId="316038BF" w:rsidR="005C0D19" w:rsidRPr="00E81E46" w:rsidRDefault="005C0D19" w:rsidP="005C0D19">
      <w:pPr>
        <w:spacing w:line="276" w:lineRule="auto"/>
        <w:jc w:val="both"/>
        <w:rPr>
          <w:rFonts w:ascii="Times New Roman" w:hAnsi="Times New Roman"/>
        </w:rPr>
      </w:pPr>
      <w:r w:rsidRPr="00E81E46">
        <w:rPr>
          <w:rFonts w:ascii="Times New Roman" w:hAnsi="Times New Roman"/>
        </w:rPr>
        <w:t>A l’échéance de 2015, il ressort que la plupart des cibles des OMD n’ont pas été atteintes en ce qui concerne le Tchad. Les cibles ayant enregistré des progrès importants sont: celle relative à la pauvreté qui baisse en termes d’incidence de 55% à 46.7% ; celle relative à l’accès à l’eau potable en milieu rural qui passe de 21 à 52% entre 2000 et 2014 ; celles liées à la mortalité infanto-juvénile et maternelle ainsi que la prévalence et la mortalité liée aux maladies en régression non négligeable quoiqu’étant encore éloignées des cibles; celles liées à l’accès aux nouvelles techonologies : le taux de pénétration de la téléphonie est passé de 15 à 38% et l’internet de 1,2 à 14,1% . Globalement</w:t>
      </w:r>
      <w:r w:rsidR="00465009">
        <w:rPr>
          <w:rFonts w:ascii="Times New Roman" w:hAnsi="Times New Roman"/>
        </w:rPr>
        <w:t>,</w:t>
      </w:r>
      <w:r w:rsidRPr="00E81E46">
        <w:rPr>
          <w:rFonts w:ascii="Times New Roman" w:hAnsi="Times New Roman"/>
        </w:rPr>
        <w:t xml:space="preserve"> le bilan des OMD est mitigé et requiert des mesures d’accélération des politiques en vigueur, pour l’atteinte des cibles dans le sillage du nouvel agenda 2030 sur les ODD</w:t>
      </w:r>
      <w:r w:rsidR="004D0851">
        <w:rPr>
          <w:rFonts w:ascii="Times New Roman" w:hAnsi="Times New Roman"/>
        </w:rPr>
        <w:t xml:space="preserve"> et pour la réponse aux aspirations africaines à l’horizon 2063</w:t>
      </w:r>
      <w:r w:rsidRPr="00E81E46">
        <w:rPr>
          <w:rFonts w:ascii="Times New Roman" w:hAnsi="Times New Roman"/>
        </w:rPr>
        <w:t>.</w:t>
      </w:r>
    </w:p>
    <w:p w14:paraId="3E597414" w14:textId="536DB9B3" w:rsidR="005C0D19" w:rsidRPr="00F72C4D" w:rsidRDefault="005C0D19" w:rsidP="005C0D19">
      <w:pPr>
        <w:spacing w:line="276" w:lineRule="auto"/>
        <w:jc w:val="both"/>
        <w:rPr>
          <w:rFonts w:ascii="Times New Roman" w:hAnsi="Times New Roman"/>
        </w:rPr>
      </w:pPr>
      <w:r w:rsidRPr="00F72C4D">
        <w:rPr>
          <w:rFonts w:ascii="Times New Roman" w:hAnsi="Times New Roman"/>
        </w:rPr>
        <w:t xml:space="preserve">Les défis en matière </w:t>
      </w:r>
      <w:r w:rsidR="005E24AC">
        <w:rPr>
          <w:rFonts w:ascii="Times New Roman" w:hAnsi="Times New Roman"/>
        </w:rPr>
        <w:t xml:space="preserve">humanitaire et </w:t>
      </w:r>
      <w:r w:rsidRPr="00F72C4D">
        <w:rPr>
          <w:rFonts w:ascii="Times New Roman" w:hAnsi="Times New Roman"/>
        </w:rPr>
        <w:t>de développement sont persistants en dépit des progrès enregistrés par le pays au cours de la décennie</w:t>
      </w:r>
      <w:r>
        <w:rPr>
          <w:rFonts w:ascii="Times New Roman" w:hAnsi="Times New Roman"/>
        </w:rPr>
        <w:t xml:space="preserve">. Ces défis sont malheureusement </w:t>
      </w:r>
      <w:r w:rsidRPr="00F72C4D">
        <w:rPr>
          <w:rFonts w:ascii="Times New Roman" w:hAnsi="Times New Roman"/>
        </w:rPr>
        <w:t>amplifiés par</w:t>
      </w:r>
      <w:r>
        <w:rPr>
          <w:rFonts w:ascii="Times New Roman" w:hAnsi="Times New Roman"/>
        </w:rPr>
        <w:t xml:space="preserve"> </w:t>
      </w:r>
      <w:r w:rsidRPr="00F72C4D">
        <w:rPr>
          <w:rFonts w:ascii="Times New Roman" w:hAnsi="Times New Roman"/>
        </w:rPr>
        <w:t>les épisodes</w:t>
      </w:r>
      <w:r>
        <w:rPr>
          <w:rFonts w:ascii="Times New Roman" w:hAnsi="Times New Roman"/>
        </w:rPr>
        <w:t xml:space="preserve"> récurrents</w:t>
      </w:r>
      <w:r w:rsidRPr="00F72C4D">
        <w:rPr>
          <w:rFonts w:ascii="Times New Roman" w:hAnsi="Times New Roman"/>
        </w:rPr>
        <w:t xml:space="preserve"> d’insécurité alimentaire</w:t>
      </w:r>
      <w:r>
        <w:rPr>
          <w:rFonts w:ascii="Times New Roman" w:hAnsi="Times New Roman"/>
        </w:rPr>
        <w:t xml:space="preserve"> et </w:t>
      </w:r>
      <w:r w:rsidR="00465009">
        <w:rPr>
          <w:rFonts w:ascii="Times New Roman" w:hAnsi="Times New Roman"/>
        </w:rPr>
        <w:t xml:space="preserve">par </w:t>
      </w:r>
      <w:r>
        <w:rPr>
          <w:rFonts w:ascii="Times New Roman" w:hAnsi="Times New Roman"/>
        </w:rPr>
        <w:t>la détérioration de la situation sécuritaire avec pour conséquences,</w:t>
      </w:r>
      <w:r w:rsidRPr="00F72C4D">
        <w:rPr>
          <w:rFonts w:ascii="Times New Roman" w:hAnsi="Times New Roman"/>
        </w:rPr>
        <w:t xml:space="preserve"> </w:t>
      </w:r>
      <w:r>
        <w:rPr>
          <w:rFonts w:ascii="Times New Roman" w:hAnsi="Times New Roman"/>
        </w:rPr>
        <w:t xml:space="preserve">des milliers de personnes en situation d’urgence dont les </w:t>
      </w:r>
      <w:r w:rsidRPr="00F72C4D">
        <w:rPr>
          <w:rFonts w:ascii="Times New Roman" w:hAnsi="Times New Roman"/>
        </w:rPr>
        <w:t xml:space="preserve">réfugiés, </w:t>
      </w:r>
      <w:r>
        <w:rPr>
          <w:rFonts w:ascii="Times New Roman" w:hAnsi="Times New Roman"/>
        </w:rPr>
        <w:t>les</w:t>
      </w:r>
      <w:r w:rsidRPr="00F72C4D">
        <w:rPr>
          <w:rFonts w:ascii="Times New Roman" w:hAnsi="Times New Roman"/>
        </w:rPr>
        <w:t xml:space="preserve"> retournés et </w:t>
      </w:r>
      <w:r>
        <w:rPr>
          <w:rFonts w:ascii="Times New Roman" w:hAnsi="Times New Roman"/>
        </w:rPr>
        <w:t xml:space="preserve">les </w:t>
      </w:r>
      <w:r w:rsidRPr="00F72C4D">
        <w:rPr>
          <w:rFonts w:ascii="Times New Roman" w:hAnsi="Times New Roman"/>
        </w:rPr>
        <w:t>personnes déplacées</w:t>
      </w:r>
      <w:r>
        <w:rPr>
          <w:rFonts w:ascii="Times New Roman" w:hAnsi="Times New Roman"/>
        </w:rPr>
        <w:t>.</w:t>
      </w:r>
      <w:r w:rsidRPr="00F72C4D">
        <w:rPr>
          <w:rFonts w:ascii="Times New Roman" w:hAnsi="Times New Roman"/>
        </w:rPr>
        <w:t xml:space="preserve"> </w:t>
      </w:r>
      <w:r>
        <w:rPr>
          <w:rFonts w:ascii="Times New Roman" w:hAnsi="Times New Roman"/>
        </w:rPr>
        <w:t>Ces défis restent aussi pregnants du fait des</w:t>
      </w:r>
      <w:r w:rsidRPr="00F72C4D">
        <w:rPr>
          <w:rFonts w:ascii="Times New Roman" w:hAnsi="Times New Roman"/>
        </w:rPr>
        <w:t xml:space="preserve"> difficultés de mise en œuvre des réformes et des programmes</w:t>
      </w:r>
      <w:r>
        <w:rPr>
          <w:rFonts w:ascii="Times New Roman" w:hAnsi="Times New Roman"/>
        </w:rPr>
        <w:t> par l’Etat, le pays faisant face à un</w:t>
      </w:r>
      <w:r w:rsidRPr="00F72C4D">
        <w:rPr>
          <w:rFonts w:ascii="Times New Roman" w:hAnsi="Times New Roman"/>
        </w:rPr>
        <w:t xml:space="preserve"> déficit de ressources humaines d</w:t>
      </w:r>
      <w:r>
        <w:rPr>
          <w:rFonts w:ascii="Times New Roman" w:hAnsi="Times New Roman"/>
        </w:rPr>
        <w:t>ans</w:t>
      </w:r>
      <w:r w:rsidRPr="00F72C4D">
        <w:rPr>
          <w:rFonts w:ascii="Times New Roman" w:hAnsi="Times New Roman"/>
        </w:rPr>
        <w:t xml:space="preserve"> l’administration, </w:t>
      </w:r>
      <w:r>
        <w:rPr>
          <w:rFonts w:ascii="Times New Roman" w:hAnsi="Times New Roman"/>
        </w:rPr>
        <w:t xml:space="preserve"> à une</w:t>
      </w:r>
      <w:r w:rsidRPr="00F72C4D">
        <w:rPr>
          <w:rFonts w:ascii="Times New Roman" w:hAnsi="Times New Roman"/>
        </w:rPr>
        <w:t xml:space="preserve"> faible culture de </w:t>
      </w:r>
      <w:r>
        <w:rPr>
          <w:rFonts w:ascii="Times New Roman" w:hAnsi="Times New Roman"/>
        </w:rPr>
        <w:t xml:space="preserve">la gestion axée sur les </w:t>
      </w:r>
      <w:r w:rsidRPr="00F72C4D">
        <w:rPr>
          <w:rFonts w:ascii="Times New Roman" w:hAnsi="Times New Roman"/>
        </w:rPr>
        <w:t xml:space="preserve">résultats, et </w:t>
      </w:r>
      <w:r>
        <w:rPr>
          <w:rFonts w:ascii="Times New Roman" w:hAnsi="Times New Roman"/>
        </w:rPr>
        <w:t>à une</w:t>
      </w:r>
      <w:r w:rsidRPr="00F72C4D">
        <w:rPr>
          <w:rFonts w:ascii="Times New Roman" w:hAnsi="Times New Roman"/>
        </w:rPr>
        <w:t xml:space="preserve"> forte mobilité institutionnelle des cadres. (</w:t>
      </w:r>
      <w:r>
        <w:rPr>
          <w:rFonts w:ascii="Times New Roman" w:hAnsi="Times New Roman"/>
        </w:rPr>
        <w:t>R</w:t>
      </w:r>
      <w:r w:rsidRPr="00F72C4D">
        <w:rPr>
          <w:rFonts w:ascii="Times New Roman" w:hAnsi="Times New Roman"/>
        </w:rPr>
        <w:t>evue PND2014).</w:t>
      </w:r>
      <w:r>
        <w:rPr>
          <w:rFonts w:ascii="Times New Roman" w:hAnsi="Times New Roman"/>
        </w:rPr>
        <w:t xml:space="preserve"> En effet, l</w:t>
      </w:r>
      <w:r w:rsidRPr="004B65AA">
        <w:rPr>
          <w:rFonts w:ascii="Times New Roman" w:hAnsi="Times New Roman"/>
        </w:rPr>
        <w:t>e défi</w:t>
      </w:r>
      <w:r>
        <w:rPr>
          <w:rFonts w:ascii="Times New Roman" w:hAnsi="Times New Roman"/>
        </w:rPr>
        <w:t xml:space="preserve"> majeur</w:t>
      </w:r>
      <w:r w:rsidRPr="004B65AA">
        <w:rPr>
          <w:rFonts w:ascii="Times New Roman" w:hAnsi="Times New Roman"/>
        </w:rPr>
        <w:t xml:space="preserve"> au Tchad est de promouvoir le développement humain inclusif en réduisant la pauvreté encore élevée et les inégalités en hausse, en renforçant le capital humain et la protection sociale. Un autre défi est de vaincre la vulnérabilité sous toutes ses formes, incluant la dimension sécuritaire et humanitaire créé par l’afflux de réfugiés/déplacés, suite aux conflits dans les pays voisins. Enfin, le pays doit créer les conditions de consolidation de la paix en analysant les facteurs associés à la radicalisation, l’extrême pauvreté et le manque d’occupation de la jeunesse</w:t>
      </w:r>
      <w:r w:rsidRPr="00F72C4D">
        <w:rPr>
          <w:rFonts w:ascii="Times New Roman" w:hAnsi="Times New Roman"/>
        </w:rPr>
        <w:t xml:space="preserve"> </w:t>
      </w:r>
    </w:p>
    <w:p w14:paraId="08C6FE4F" w14:textId="77777777" w:rsidR="005C0D19" w:rsidRPr="0027434E" w:rsidRDefault="005C0D19" w:rsidP="005C0D19">
      <w:pPr>
        <w:pStyle w:val="Heading1"/>
        <w:rPr>
          <w:sz w:val="28"/>
        </w:rPr>
      </w:pPr>
      <w:bookmarkStart w:id="29" w:name="_Toc454635265"/>
      <w:bookmarkStart w:id="30" w:name="_Toc455604600"/>
      <w:bookmarkStart w:id="31" w:name="_Toc456889040"/>
      <w:bookmarkStart w:id="32" w:name="_Toc459363404"/>
      <w:r w:rsidRPr="0027434E">
        <w:rPr>
          <w:sz w:val="28"/>
        </w:rPr>
        <w:t>1.4. Les axes stratégiques de la Vision 2030</w:t>
      </w:r>
      <w:bookmarkEnd w:id="29"/>
      <w:bookmarkEnd w:id="30"/>
      <w:bookmarkEnd w:id="31"/>
      <w:bookmarkEnd w:id="32"/>
      <w:r w:rsidRPr="0027434E">
        <w:rPr>
          <w:sz w:val="28"/>
        </w:rPr>
        <w:t xml:space="preserve"> </w:t>
      </w:r>
    </w:p>
    <w:p w14:paraId="5516C469" w14:textId="7F39E668" w:rsidR="005C0D19" w:rsidRDefault="005C0D19" w:rsidP="005C0D19">
      <w:pPr>
        <w:pStyle w:val="ListParagraph"/>
        <w:spacing w:line="276" w:lineRule="auto"/>
        <w:ind w:left="0"/>
        <w:jc w:val="both"/>
        <w:rPr>
          <w:rFonts w:ascii="Times New Roman" w:hAnsi="Times New Roman"/>
          <w:sz w:val="22"/>
          <w:szCs w:val="22"/>
        </w:rPr>
      </w:pPr>
      <w:r>
        <w:rPr>
          <w:rFonts w:ascii="Times New Roman" w:hAnsi="Times New Roman"/>
          <w:sz w:val="22"/>
          <w:szCs w:val="22"/>
        </w:rPr>
        <w:t>Le Tchad,</w:t>
      </w:r>
      <w:r w:rsidR="00465009">
        <w:rPr>
          <w:rFonts w:ascii="Times New Roman" w:hAnsi="Times New Roman"/>
          <w:sz w:val="22"/>
          <w:szCs w:val="22"/>
        </w:rPr>
        <w:t xml:space="preserve"> </w:t>
      </w:r>
      <w:r>
        <w:rPr>
          <w:rFonts w:ascii="Times New Roman" w:hAnsi="Times New Roman"/>
          <w:sz w:val="22"/>
          <w:szCs w:val="22"/>
        </w:rPr>
        <w:t>pour la première fois</w:t>
      </w:r>
      <w:r w:rsidR="00465009">
        <w:rPr>
          <w:rFonts w:ascii="Times New Roman" w:hAnsi="Times New Roman"/>
          <w:sz w:val="22"/>
          <w:szCs w:val="22"/>
        </w:rPr>
        <w:t xml:space="preserve">, </w:t>
      </w:r>
      <w:r>
        <w:rPr>
          <w:rFonts w:ascii="Times New Roman" w:hAnsi="Times New Roman"/>
          <w:sz w:val="22"/>
          <w:szCs w:val="22"/>
        </w:rPr>
        <w:t>s’est doté d’un plan stratégique à long terme de pilotage du développement. En effet, l</w:t>
      </w:r>
      <w:r w:rsidRPr="00684238">
        <w:rPr>
          <w:rFonts w:ascii="Times New Roman" w:hAnsi="Times New Roman"/>
          <w:sz w:val="22"/>
          <w:szCs w:val="22"/>
        </w:rPr>
        <w:t xml:space="preserve">a «Vision 2030, le Tchad que nous voulons» correspond à l’image d’avenir que les Tchadiens veulent partager. Elle repose en priorité sur une Nation unie, solidaire et en paix afin de faire du Tchad </w:t>
      </w:r>
      <w:r w:rsidRPr="00C4551E">
        <w:rPr>
          <w:rFonts w:ascii="Times New Roman" w:hAnsi="Times New Roman"/>
          <w:i/>
          <w:sz w:val="22"/>
          <w:szCs w:val="22"/>
        </w:rPr>
        <w:t>«une puissance régionale émergente à l’horizon 2030, portée par des sources de croissance diversifiées et durables, créatrices de valeurs ajoutées et d’emplois et assurant à chaque Tchadien un accès adéquat aux services sociaux de base, à un logement décent et à une offre adéquate de formation ».</w:t>
      </w:r>
      <w:r w:rsidRPr="00684238">
        <w:rPr>
          <w:rFonts w:ascii="Times New Roman" w:hAnsi="Times New Roman"/>
          <w:sz w:val="22"/>
          <w:szCs w:val="22"/>
        </w:rPr>
        <w:t xml:space="preserve"> Cette vision est articulée autour de quatre (4) axes stratégiques que sont : i) le renforcement de l’</w:t>
      </w:r>
      <w:r>
        <w:rPr>
          <w:rFonts w:ascii="Times New Roman" w:hAnsi="Times New Roman"/>
          <w:sz w:val="22"/>
          <w:szCs w:val="22"/>
        </w:rPr>
        <w:t>u</w:t>
      </w:r>
      <w:r w:rsidRPr="00684238">
        <w:rPr>
          <w:rFonts w:ascii="Times New Roman" w:hAnsi="Times New Roman"/>
          <w:sz w:val="22"/>
          <w:szCs w:val="22"/>
        </w:rPr>
        <w:t xml:space="preserve">nité </w:t>
      </w:r>
      <w:r>
        <w:rPr>
          <w:rFonts w:ascii="Times New Roman" w:hAnsi="Times New Roman"/>
          <w:sz w:val="22"/>
          <w:szCs w:val="22"/>
        </w:rPr>
        <w:t>n</w:t>
      </w:r>
      <w:r w:rsidRPr="00684238">
        <w:rPr>
          <w:rFonts w:ascii="Times New Roman" w:hAnsi="Times New Roman"/>
          <w:sz w:val="22"/>
          <w:szCs w:val="22"/>
        </w:rPr>
        <w:t>ationale ; ii) l’instauration de la bonne gouvernance dans un Etat de droit ; iii) le développement d’une économie forte et compétitive ; et iv) l’amélioration de la qualité de vie des Tchadiens.</w:t>
      </w:r>
      <w:r>
        <w:rPr>
          <w:rFonts w:ascii="Times New Roman" w:hAnsi="Times New Roman"/>
          <w:sz w:val="22"/>
          <w:szCs w:val="22"/>
        </w:rPr>
        <w:t xml:space="preserve">  </w:t>
      </w:r>
    </w:p>
    <w:p w14:paraId="6BEE09BB" w14:textId="77777777" w:rsidR="004067F1" w:rsidRDefault="004067F1" w:rsidP="004067F1"/>
    <w:p w14:paraId="441A0668" w14:textId="3315A90B" w:rsidR="004067F1" w:rsidRDefault="000956CC" w:rsidP="00B311F3">
      <w:pPr>
        <w:pStyle w:val="Heading2"/>
        <w:numPr>
          <w:ilvl w:val="0"/>
          <w:numId w:val="27"/>
        </w:numPr>
        <w:pBdr>
          <w:bottom w:val="single" w:sz="4" w:space="1" w:color="auto"/>
        </w:pBdr>
        <w:jc w:val="left"/>
      </w:pPr>
      <w:bookmarkStart w:id="33" w:name="_Toc459363405"/>
      <w:r>
        <w:t>Résultat</w:t>
      </w:r>
      <w:r w:rsidR="004067F1">
        <w:t>s prioritaires stratégiques</w:t>
      </w:r>
      <w:bookmarkEnd w:id="33"/>
    </w:p>
    <w:p w14:paraId="1748D322" w14:textId="77777777" w:rsidR="0043311B" w:rsidRDefault="0043311B" w:rsidP="0043311B"/>
    <w:p w14:paraId="76BA9CDD" w14:textId="27E42A5E" w:rsidR="00205F24" w:rsidRPr="00607D5C" w:rsidRDefault="003F2A7A" w:rsidP="00607D5C">
      <w:pPr>
        <w:pStyle w:val="Heading1"/>
        <w:rPr>
          <w:sz w:val="28"/>
        </w:rPr>
      </w:pPr>
      <w:bookmarkStart w:id="34" w:name="_Toc454635268"/>
      <w:bookmarkStart w:id="35" w:name="_Toc455604603"/>
      <w:bookmarkStart w:id="36" w:name="_Toc456889043"/>
      <w:bookmarkStart w:id="37" w:name="_Toc459363406"/>
      <w:r>
        <w:rPr>
          <w:sz w:val="28"/>
        </w:rPr>
        <w:t>2</w:t>
      </w:r>
      <w:r w:rsidR="00205F24" w:rsidRPr="00607D5C">
        <w:rPr>
          <w:sz w:val="28"/>
        </w:rPr>
        <w:t>.1. Positionnement de l’UNDAF et principaux domaines de coopération</w:t>
      </w:r>
      <w:bookmarkEnd w:id="34"/>
      <w:bookmarkEnd w:id="35"/>
      <w:bookmarkEnd w:id="36"/>
      <w:bookmarkEnd w:id="37"/>
    </w:p>
    <w:p w14:paraId="7020CAEF" w14:textId="238E6CAD" w:rsidR="00205F24" w:rsidRDefault="00205F24" w:rsidP="00CE2EEF">
      <w:pPr>
        <w:spacing w:line="276" w:lineRule="auto"/>
        <w:jc w:val="both"/>
        <w:rPr>
          <w:rFonts w:ascii="Times New Roman" w:hAnsi="Times New Roman"/>
          <w:szCs w:val="28"/>
        </w:rPr>
      </w:pPr>
      <w:r w:rsidRPr="006307D4">
        <w:rPr>
          <w:rFonts w:ascii="Times New Roman" w:hAnsi="Times New Roman"/>
          <w:szCs w:val="28"/>
        </w:rPr>
        <w:t>Le système des Nations Unies (SNU) entend apporter une réponse contributive, concertée et cohérente aux défis du développement au Tchad. Le SNU aligne ses interventions sur le Plan Quinquennal (PQ 2016-2020) dont il s’approprie la vision et la mission. Le système des Nations Unies entend aussi appuyer le Gouvernement Tchadien dans la mise en œuvre des engagements souscrits, en tant que pays fragile, dans le cadre du « New Deal » visant la consolidation de la paix</w:t>
      </w:r>
      <w:r>
        <w:rPr>
          <w:rFonts w:ascii="Times New Roman" w:hAnsi="Times New Roman"/>
          <w:szCs w:val="28"/>
        </w:rPr>
        <w:t xml:space="preserve"> et le renforcement de l’Etat.</w:t>
      </w:r>
    </w:p>
    <w:p w14:paraId="35162E62" w14:textId="35548291" w:rsidR="00205F24" w:rsidRDefault="00205F24" w:rsidP="00205F24">
      <w:pPr>
        <w:spacing w:line="276" w:lineRule="auto"/>
        <w:jc w:val="both"/>
        <w:rPr>
          <w:rFonts w:ascii="Times New Roman" w:hAnsi="Times New Roman"/>
          <w:szCs w:val="28"/>
        </w:rPr>
      </w:pPr>
      <w:r w:rsidRPr="00345A77">
        <w:rPr>
          <w:rFonts w:ascii="Times New Roman" w:hAnsi="Times New Roman"/>
          <w:szCs w:val="28"/>
        </w:rPr>
        <w:t xml:space="preserve">Le système des Nations Unies s’approprie également l’Agenda 2030 </w:t>
      </w:r>
      <w:r>
        <w:rPr>
          <w:rFonts w:ascii="Times New Roman" w:hAnsi="Times New Roman"/>
          <w:szCs w:val="28"/>
        </w:rPr>
        <w:t>validé</w:t>
      </w:r>
      <w:r w:rsidRPr="00345A77">
        <w:rPr>
          <w:rFonts w:ascii="Times New Roman" w:hAnsi="Times New Roman"/>
          <w:szCs w:val="28"/>
        </w:rPr>
        <w:t xml:space="preserve"> en septembre 2015 par les Etats-Membres dont le Tchad, visant la réalisation des</w:t>
      </w:r>
      <w:r>
        <w:rPr>
          <w:rFonts w:ascii="Times New Roman" w:hAnsi="Times New Roman"/>
          <w:szCs w:val="28"/>
        </w:rPr>
        <w:t xml:space="preserve"> 17</w:t>
      </w:r>
      <w:r w:rsidRPr="00345A77">
        <w:rPr>
          <w:rFonts w:ascii="Times New Roman" w:hAnsi="Times New Roman"/>
          <w:szCs w:val="28"/>
        </w:rPr>
        <w:t xml:space="preserve"> Objectifs de Développement Durables (ODD) à l’horizon 2030</w:t>
      </w:r>
      <w:r w:rsidR="006D1C4D">
        <w:rPr>
          <w:rFonts w:ascii="Times New Roman" w:hAnsi="Times New Roman"/>
          <w:szCs w:val="28"/>
        </w:rPr>
        <w:t xml:space="preserve"> ainsi que l’Agenda 2063 portant sur les aspirations Africaines</w:t>
      </w:r>
      <w:r w:rsidRPr="00345A77">
        <w:rPr>
          <w:rFonts w:ascii="Times New Roman" w:hAnsi="Times New Roman"/>
          <w:szCs w:val="28"/>
        </w:rPr>
        <w:t>. La réalisation de ces ODD prône la mise en œuvre d’une nouvelle approche inclusive et holistique, car concernant tous les pays et non les plus pauvres</w:t>
      </w:r>
      <w:r>
        <w:rPr>
          <w:rFonts w:ascii="Times New Roman" w:hAnsi="Times New Roman"/>
          <w:szCs w:val="28"/>
        </w:rPr>
        <w:t>,</w:t>
      </w:r>
      <w:r w:rsidRPr="00345A77">
        <w:rPr>
          <w:rFonts w:ascii="Times New Roman" w:hAnsi="Times New Roman"/>
          <w:szCs w:val="28"/>
        </w:rPr>
        <w:t xml:space="preserve"> </w:t>
      </w:r>
      <w:r w:rsidR="00CE2EEF">
        <w:rPr>
          <w:rFonts w:ascii="Times New Roman" w:hAnsi="Times New Roman"/>
          <w:szCs w:val="28"/>
        </w:rPr>
        <w:t>contrairement aux</w:t>
      </w:r>
      <w:r w:rsidRPr="00345A77">
        <w:rPr>
          <w:rFonts w:ascii="Times New Roman" w:hAnsi="Times New Roman"/>
          <w:szCs w:val="28"/>
        </w:rPr>
        <w:t xml:space="preserve"> OMD. La finalité de ces ODD</w:t>
      </w:r>
      <w:r>
        <w:rPr>
          <w:rFonts w:ascii="Times New Roman" w:hAnsi="Times New Roman"/>
          <w:szCs w:val="28"/>
        </w:rPr>
        <w:t>s</w:t>
      </w:r>
      <w:r w:rsidRPr="00345A77">
        <w:rPr>
          <w:rFonts w:ascii="Times New Roman" w:hAnsi="Times New Roman"/>
          <w:szCs w:val="28"/>
        </w:rPr>
        <w:t xml:space="preserve"> est de promouvoir </w:t>
      </w:r>
      <w:r>
        <w:rPr>
          <w:rFonts w:ascii="Times New Roman" w:hAnsi="Times New Roman"/>
          <w:szCs w:val="28"/>
        </w:rPr>
        <w:t>la</w:t>
      </w:r>
      <w:r w:rsidRPr="00345A77">
        <w:rPr>
          <w:rFonts w:ascii="Times New Roman" w:hAnsi="Times New Roman"/>
          <w:szCs w:val="28"/>
        </w:rPr>
        <w:t xml:space="preserve"> croissance inclusive, </w:t>
      </w:r>
      <w:r>
        <w:rPr>
          <w:rFonts w:ascii="Times New Roman" w:hAnsi="Times New Roman"/>
          <w:szCs w:val="28"/>
        </w:rPr>
        <w:t>la</w:t>
      </w:r>
      <w:r w:rsidRPr="00345A77">
        <w:rPr>
          <w:rFonts w:ascii="Times New Roman" w:hAnsi="Times New Roman"/>
          <w:szCs w:val="28"/>
        </w:rPr>
        <w:t xml:space="preserve"> sécurité alimentaire globale, le développement humain et l’environnement durable. La réalisation des ODD</w:t>
      </w:r>
      <w:r>
        <w:rPr>
          <w:rFonts w:ascii="Times New Roman" w:hAnsi="Times New Roman"/>
          <w:szCs w:val="28"/>
        </w:rPr>
        <w:t>s</w:t>
      </w:r>
      <w:r w:rsidRPr="00345A77">
        <w:rPr>
          <w:rFonts w:ascii="Times New Roman" w:hAnsi="Times New Roman"/>
          <w:szCs w:val="28"/>
        </w:rPr>
        <w:t xml:space="preserve"> constitue une priorité tant pour le gouvernement que pour le </w:t>
      </w:r>
      <w:r>
        <w:rPr>
          <w:rFonts w:ascii="Times New Roman" w:hAnsi="Times New Roman"/>
          <w:szCs w:val="28"/>
        </w:rPr>
        <w:t>SNU</w:t>
      </w:r>
      <w:r w:rsidRPr="00345A77">
        <w:rPr>
          <w:rFonts w:ascii="Times New Roman" w:hAnsi="Times New Roman"/>
          <w:szCs w:val="28"/>
        </w:rPr>
        <w:t>. Tenant compte de l</w:t>
      </w:r>
      <w:r>
        <w:rPr>
          <w:rFonts w:ascii="Times New Roman" w:hAnsi="Times New Roman"/>
          <w:szCs w:val="28"/>
        </w:rPr>
        <w:t>eur</w:t>
      </w:r>
      <w:r w:rsidR="00CE2EEF">
        <w:rPr>
          <w:rFonts w:ascii="Times New Roman" w:hAnsi="Times New Roman"/>
          <w:szCs w:val="28"/>
        </w:rPr>
        <w:t>s</w:t>
      </w:r>
      <w:r w:rsidRPr="00345A77">
        <w:rPr>
          <w:rFonts w:ascii="Times New Roman" w:hAnsi="Times New Roman"/>
          <w:szCs w:val="28"/>
        </w:rPr>
        <w:t xml:space="preserve"> spécificité</w:t>
      </w:r>
      <w:r w:rsidR="00CE2EEF">
        <w:rPr>
          <w:rFonts w:ascii="Times New Roman" w:hAnsi="Times New Roman"/>
          <w:szCs w:val="28"/>
        </w:rPr>
        <w:t>s</w:t>
      </w:r>
      <w:r>
        <w:rPr>
          <w:rFonts w:ascii="Times New Roman" w:hAnsi="Times New Roman"/>
          <w:szCs w:val="28"/>
        </w:rPr>
        <w:t>,</w:t>
      </w:r>
      <w:r w:rsidRPr="00345A77">
        <w:rPr>
          <w:rFonts w:ascii="Times New Roman" w:hAnsi="Times New Roman"/>
          <w:szCs w:val="28"/>
        </w:rPr>
        <w:t xml:space="preserve"> </w:t>
      </w:r>
      <w:r>
        <w:rPr>
          <w:rFonts w:ascii="Times New Roman" w:hAnsi="Times New Roman"/>
          <w:szCs w:val="28"/>
        </w:rPr>
        <w:t>ils sont</w:t>
      </w:r>
      <w:r w:rsidRPr="00345A77">
        <w:rPr>
          <w:rFonts w:ascii="Times New Roman" w:hAnsi="Times New Roman"/>
          <w:szCs w:val="28"/>
        </w:rPr>
        <w:t xml:space="preserve"> conçus pour s’adapter aux besoins de développement de chaque pays</w:t>
      </w:r>
      <w:r>
        <w:rPr>
          <w:rFonts w:ascii="Times New Roman" w:hAnsi="Times New Roman"/>
          <w:szCs w:val="28"/>
        </w:rPr>
        <w:t xml:space="preserve"> et devront permettre de mettre les plus vulnérables au cœur des programmes de développement tout en s’assurant « qu’</w:t>
      </w:r>
      <w:r w:rsidR="000956CC">
        <w:rPr>
          <w:rFonts w:ascii="Times New Roman" w:hAnsi="Times New Roman"/>
          <w:szCs w:val="28"/>
        </w:rPr>
        <w:t>aucun n’est laissé  pour compte</w:t>
      </w:r>
      <w:r>
        <w:rPr>
          <w:rFonts w:ascii="Times New Roman" w:hAnsi="Times New Roman"/>
          <w:szCs w:val="28"/>
        </w:rPr>
        <w:t>».</w:t>
      </w:r>
      <w:r w:rsidRPr="00345A77">
        <w:rPr>
          <w:rFonts w:ascii="Times New Roman" w:hAnsi="Times New Roman"/>
          <w:szCs w:val="28"/>
        </w:rPr>
        <w:t xml:space="preserve"> </w:t>
      </w:r>
      <w:r>
        <w:rPr>
          <w:rFonts w:ascii="Times New Roman" w:hAnsi="Times New Roman"/>
          <w:szCs w:val="28"/>
        </w:rPr>
        <w:t>L</w:t>
      </w:r>
      <w:r w:rsidRPr="00345A77">
        <w:rPr>
          <w:rFonts w:ascii="Times New Roman" w:hAnsi="Times New Roman"/>
          <w:szCs w:val="28"/>
        </w:rPr>
        <w:t xml:space="preserve">e SNU entend contribuer à la mise en œuvre de ceux </w:t>
      </w:r>
      <w:r>
        <w:rPr>
          <w:rFonts w:ascii="Times New Roman" w:hAnsi="Times New Roman"/>
          <w:szCs w:val="28"/>
        </w:rPr>
        <w:t>qui s’inscrivent mieux dans les priorités et les aspirations profondes des populations vivant au Tchad.</w:t>
      </w:r>
    </w:p>
    <w:p w14:paraId="2EFE2D4F" w14:textId="20E51BE0" w:rsidR="00205F24" w:rsidRPr="00DA1579" w:rsidRDefault="00205F24" w:rsidP="00205F24">
      <w:pPr>
        <w:spacing w:line="276" w:lineRule="auto"/>
        <w:jc w:val="both"/>
        <w:rPr>
          <w:rFonts w:ascii="Times New Roman" w:hAnsi="Times New Roman"/>
          <w:szCs w:val="28"/>
        </w:rPr>
      </w:pPr>
      <w:r>
        <w:rPr>
          <w:rFonts w:ascii="Times New Roman" w:hAnsi="Times New Roman"/>
          <w:szCs w:val="28"/>
        </w:rPr>
        <w:t>Suite à des consultations menées au cours d’une retraite de positionnement stratégique ayant vu la participation de la partie nationale, 1</w:t>
      </w:r>
      <w:r w:rsidR="00555C4F">
        <w:rPr>
          <w:rFonts w:ascii="Times New Roman" w:hAnsi="Times New Roman"/>
          <w:szCs w:val="28"/>
        </w:rPr>
        <w:t>2</w:t>
      </w:r>
      <w:r>
        <w:rPr>
          <w:rFonts w:ascii="Times New Roman" w:hAnsi="Times New Roman"/>
          <w:szCs w:val="28"/>
        </w:rPr>
        <w:t xml:space="preserve"> des 17 ODD</w:t>
      </w:r>
      <w:r w:rsidRPr="00DA1579">
        <w:rPr>
          <w:rFonts w:ascii="Times New Roman" w:hAnsi="Times New Roman"/>
          <w:szCs w:val="28"/>
        </w:rPr>
        <w:t xml:space="preserve"> ont </w:t>
      </w:r>
      <w:r>
        <w:rPr>
          <w:rFonts w:ascii="Times New Roman" w:hAnsi="Times New Roman"/>
          <w:szCs w:val="28"/>
        </w:rPr>
        <w:t>été identifiés comme</w:t>
      </w:r>
      <w:r w:rsidRPr="00DA1579">
        <w:rPr>
          <w:rFonts w:ascii="Times New Roman" w:hAnsi="Times New Roman"/>
          <w:szCs w:val="28"/>
        </w:rPr>
        <w:t xml:space="preserve"> prioritaires dans le contexte du Tchad. Ce sont : </w:t>
      </w:r>
      <w:r w:rsidRPr="00257C7B">
        <w:rPr>
          <w:rFonts w:ascii="Times New Roman" w:hAnsi="Times New Roman"/>
        </w:rPr>
        <w:t>ODD1.</w:t>
      </w:r>
      <w:r w:rsidRPr="00DA1579">
        <w:rPr>
          <w:rFonts w:ascii="Times New Roman" w:hAnsi="Times New Roman"/>
          <w:szCs w:val="28"/>
        </w:rPr>
        <w:t xml:space="preserve"> Éliminer la pauvreté sous toutes ses formes et partout dans le monde ; </w:t>
      </w:r>
      <w:r w:rsidRPr="00257C7B">
        <w:rPr>
          <w:rFonts w:ascii="Times New Roman" w:hAnsi="Times New Roman"/>
        </w:rPr>
        <w:t>ODD2.</w:t>
      </w:r>
      <w:r w:rsidRPr="00DA1579">
        <w:rPr>
          <w:rFonts w:ascii="Times New Roman" w:hAnsi="Times New Roman"/>
          <w:szCs w:val="28"/>
        </w:rPr>
        <w:t xml:space="preserve"> Éliminer la faim, assurer la sécurité alimentaire, améliorer la nutrition et promouvoir une agriculture durable; </w:t>
      </w:r>
      <w:r w:rsidRPr="00257C7B">
        <w:rPr>
          <w:rFonts w:ascii="Times New Roman" w:hAnsi="Times New Roman"/>
        </w:rPr>
        <w:t>ODD3</w:t>
      </w:r>
      <w:r w:rsidRPr="00967542">
        <w:rPr>
          <w:rFonts w:ascii="Times New Roman" w:hAnsi="Times New Roman"/>
          <w:szCs w:val="28"/>
        </w:rPr>
        <w:t>.</w:t>
      </w:r>
      <w:r w:rsidRPr="00DA1579">
        <w:rPr>
          <w:rFonts w:ascii="Times New Roman" w:hAnsi="Times New Roman"/>
          <w:szCs w:val="28"/>
        </w:rPr>
        <w:t xml:space="preserve"> Donner aux individus les moyens de vivre une vie saine et promouvoir le bien-être de tous et à tous les âges; </w:t>
      </w:r>
      <w:r w:rsidRPr="00257C7B">
        <w:rPr>
          <w:rFonts w:ascii="Times New Roman" w:hAnsi="Times New Roman"/>
        </w:rPr>
        <w:t>ODD4.</w:t>
      </w:r>
      <w:r w:rsidRPr="00DA1579">
        <w:rPr>
          <w:rFonts w:ascii="Times New Roman" w:hAnsi="Times New Roman"/>
          <w:szCs w:val="28"/>
        </w:rPr>
        <w:t xml:space="preserve"> Veiller à ce que tous puissent suivre une éducation de qualité dans des conditions d’équité et promouvoir les possibilités d’apprentissage tout au long de la vie; </w:t>
      </w:r>
      <w:r w:rsidRPr="00257C7B">
        <w:rPr>
          <w:rFonts w:ascii="Times New Roman" w:hAnsi="Times New Roman"/>
        </w:rPr>
        <w:t>ODD5</w:t>
      </w:r>
      <w:r w:rsidRPr="00967542">
        <w:rPr>
          <w:rFonts w:ascii="Times New Roman" w:hAnsi="Times New Roman"/>
          <w:szCs w:val="28"/>
        </w:rPr>
        <w:t>.</w:t>
      </w:r>
      <w:r w:rsidRPr="00DA1579">
        <w:rPr>
          <w:rFonts w:ascii="Times New Roman" w:hAnsi="Times New Roman"/>
          <w:szCs w:val="28"/>
        </w:rPr>
        <w:t xml:space="preserve"> Réaliser l’égalité des sexes et </w:t>
      </w:r>
      <w:r>
        <w:rPr>
          <w:rFonts w:ascii="Times New Roman" w:hAnsi="Times New Roman"/>
          <w:szCs w:val="28"/>
        </w:rPr>
        <w:t>assurer l’</w:t>
      </w:r>
      <w:r w:rsidRPr="00DA1579">
        <w:rPr>
          <w:rFonts w:ascii="Times New Roman" w:hAnsi="Times New Roman"/>
          <w:szCs w:val="28"/>
        </w:rPr>
        <w:t>autonomis</w:t>
      </w:r>
      <w:r>
        <w:rPr>
          <w:rFonts w:ascii="Times New Roman" w:hAnsi="Times New Roman"/>
          <w:szCs w:val="28"/>
        </w:rPr>
        <w:t>ation de</w:t>
      </w:r>
      <w:r w:rsidRPr="00DA1579">
        <w:rPr>
          <w:rFonts w:ascii="Times New Roman" w:hAnsi="Times New Roman"/>
          <w:szCs w:val="28"/>
        </w:rPr>
        <w:t xml:space="preserve"> toutes les femmes et les filles; </w:t>
      </w:r>
      <w:r w:rsidRPr="00257C7B">
        <w:rPr>
          <w:rFonts w:ascii="Times New Roman" w:hAnsi="Times New Roman"/>
        </w:rPr>
        <w:t>ODD6.</w:t>
      </w:r>
      <w:r w:rsidRPr="00DA1579">
        <w:rPr>
          <w:rFonts w:ascii="Times New Roman" w:hAnsi="Times New Roman"/>
          <w:szCs w:val="28"/>
        </w:rPr>
        <w:t xml:space="preserve"> Garantir l’accès de tous à des services d’approvisionnement en eau et assainissement et assurer une gestion durable des ressources en eau; </w:t>
      </w:r>
      <w:r w:rsidRPr="00257C7B">
        <w:rPr>
          <w:rFonts w:ascii="Times New Roman" w:hAnsi="Times New Roman"/>
        </w:rPr>
        <w:t>ODD7.</w:t>
      </w:r>
      <w:r w:rsidRPr="00DA1579">
        <w:rPr>
          <w:rFonts w:ascii="Times New Roman" w:hAnsi="Times New Roman"/>
          <w:szCs w:val="28"/>
        </w:rPr>
        <w:t> Garantir l’accès de tous à des services énergétiques fiables, durables et modernes à un coût abordable</w:t>
      </w:r>
      <w:r w:rsidRPr="00967542">
        <w:rPr>
          <w:rFonts w:ascii="Times New Roman" w:hAnsi="Times New Roman"/>
          <w:szCs w:val="28"/>
        </w:rPr>
        <w:t xml:space="preserve">; </w:t>
      </w:r>
      <w:r w:rsidRPr="00257C7B">
        <w:rPr>
          <w:rFonts w:ascii="Times New Roman" w:hAnsi="Times New Roman"/>
        </w:rPr>
        <w:t>ODD8.</w:t>
      </w:r>
      <w:r w:rsidRPr="00DA1579">
        <w:rPr>
          <w:rFonts w:ascii="Times New Roman" w:hAnsi="Times New Roman"/>
          <w:szCs w:val="28"/>
        </w:rPr>
        <w:t xml:space="preserve"> Promouvoir une croissance économique soutenue, partagée et durable, le plein emploi productif et un travail décent pour tous; </w:t>
      </w:r>
      <w:r>
        <w:rPr>
          <w:rFonts w:ascii="Times New Roman" w:hAnsi="Times New Roman"/>
          <w:szCs w:val="28"/>
        </w:rPr>
        <w:t xml:space="preserve">ODD 10. </w:t>
      </w:r>
      <w:r w:rsidRPr="00E470C3">
        <w:rPr>
          <w:rFonts w:ascii="Times New Roman" w:hAnsi="Times New Roman"/>
          <w:szCs w:val="28"/>
        </w:rPr>
        <w:t>Réduire les inégalités dans les pays et d’un pays à l’autre</w:t>
      </w:r>
      <w:r>
        <w:rPr>
          <w:rFonts w:ascii="Times New Roman" w:hAnsi="Times New Roman"/>
          <w:szCs w:val="28"/>
        </w:rPr>
        <w:t xml:space="preserve">; </w:t>
      </w:r>
      <w:r w:rsidRPr="00967542">
        <w:rPr>
          <w:rFonts w:ascii="Times New Roman" w:hAnsi="Times New Roman"/>
          <w:szCs w:val="28"/>
        </w:rPr>
        <w:t>ODD13.</w:t>
      </w:r>
      <w:r w:rsidRPr="00DA1579">
        <w:rPr>
          <w:rFonts w:ascii="Times New Roman" w:hAnsi="Times New Roman"/>
          <w:szCs w:val="28"/>
        </w:rPr>
        <w:t xml:space="preserve"> Prendre d’urgence des mesures pour lutter contre les changements climatiques et leurs répercussions; </w:t>
      </w:r>
      <w:r w:rsidRPr="00257C7B">
        <w:rPr>
          <w:rFonts w:ascii="Times New Roman" w:hAnsi="Times New Roman"/>
        </w:rPr>
        <w:t>ODD15.</w:t>
      </w:r>
      <w:r w:rsidRPr="00DA1579">
        <w:rPr>
          <w:rFonts w:ascii="Times New Roman" w:hAnsi="Times New Roman"/>
          <w:szCs w:val="28"/>
        </w:rPr>
        <w:t xml:space="preserve"> Préserver et restaurer les écosystèmes terrestres, en veillant à les exploiter de façon durable, gérer durablement les forêts, lutter contre la désertification, enrayer et inverser le processus de dégradation des terres et mettre fin à l’appauvrissement de la biodiversité; </w:t>
      </w:r>
      <w:r w:rsidRPr="00257C7B">
        <w:rPr>
          <w:rFonts w:ascii="Times New Roman" w:hAnsi="Times New Roman"/>
        </w:rPr>
        <w:t>ODD16</w:t>
      </w:r>
      <w:r w:rsidRPr="00967542">
        <w:rPr>
          <w:rFonts w:ascii="Times New Roman" w:hAnsi="Times New Roman"/>
          <w:szCs w:val="28"/>
        </w:rPr>
        <w:t>.</w:t>
      </w:r>
      <w:r w:rsidRPr="00DA1579">
        <w:rPr>
          <w:rFonts w:ascii="Times New Roman" w:hAnsi="Times New Roman"/>
          <w:szCs w:val="28"/>
        </w:rPr>
        <w:t> Promouvoir l’avènement de sociétés pacifiques et ouvertes aux fins du développement durable, assurer à tous l’accès à la justice et mettre en place, à tous les niveaux, des institutions efficaces, responsables et ouvertes (paix, sécurité).</w:t>
      </w:r>
    </w:p>
    <w:p w14:paraId="681D0304" w14:textId="77777777" w:rsidR="00205F24" w:rsidRPr="00345A77" w:rsidRDefault="00205F24" w:rsidP="00205F24">
      <w:pPr>
        <w:spacing w:line="276" w:lineRule="auto"/>
        <w:jc w:val="both"/>
        <w:rPr>
          <w:rFonts w:ascii="Times New Roman" w:hAnsi="Times New Roman"/>
          <w:szCs w:val="28"/>
        </w:rPr>
      </w:pPr>
      <w:r w:rsidRPr="00345A77">
        <w:rPr>
          <w:rFonts w:ascii="Times New Roman" w:hAnsi="Times New Roman"/>
          <w:szCs w:val="28"/>
        </w:rPr>
        <w:t>Le plan cadre des Nations Unies pour le développement (UNDAF) 2017-2021 est également aligné sur la Stratégie Intégrée des Nations Unies pour le Sahel (SINUS) dont les principaux axes d’intervention sont : la mise en place d’institutions démocratiques stables et pérennes avec une forte implication des populations, la paix et la sécurité, la promotion des zones les moins développées, les infrastructures et services de base, la sécurité alimentaire et le pastoralisme, et le développement humain.</w:t>
      </w:r>
      <w:r>
        <w:rPr>
          <w:rFonts w:ascii="Times New Roman" w:hAnsi="Times New Roman"/>
          <w:szCs w:val="28"/>
        </w:rPr>
        <w:t xml:space="preserve"> La SINUS constitue un engagement du système des Nations Unies pour répondre aux défis majeurs qui se posent dans le Sahel. A cet égard, le SNU entend conforter l’utilisation de mécanismes conjoints, transfrontaliers et régionaux pour apporter sa contribution.</w:t>
      </w:r>
    </w:p>
    <w:p w14:paraId="13D3F761" w14:textId="776B721D" w:rsidR="00827497" w:rsidRPr="00827497" w:rsidRDefault="00827497" w:rsidP="00827497">
      <w:pPr>
        <w:spacing w:line="276" w:lineRule="auto"/>
        <w:jc w:val="both"/>
        <w:rPr>
          <w:rFonts w:ascii="Times New Roman" w:hAnsi="Times New Roman"/>
          <w:szCs w:val="28"/>
        </w:rPr>
      </w:pPr>
      <w:r w:rsidRPr="00827497">
        <w:rPr>
          <w:rFonts w:ascii="Times New Roman" w:hAnsi="Times New Roman"/>
          <w:szCs w:val="28"/>
        </w:rPr>
        <w:t>Le système des Nations</w:t>
      </w:r>
      <w:r w:rsidR="00B141A1">
        <w:rPr>
          <w:rFonts w:ascii="Times New Roman" w:hAnsi="Times New Roman"/>
          <w:szCs w:val="28"/>
        </w:rPr>
        <w:t xml:space="preserve"> Unies entend aussi s’assurer du</w:t>
      </w:r>
      <w:r w:rsidRPr="00827497">
        <w:rPr>
          <w:rFonts w:ascii="Times New Roman" w:hAnsi="Times New Roman"/>
          <w:szCs w:val="28"/>
        </w:rPr>
        <w:t xml:space="preserve"> lien entre la réponse humanitaire et les programmes de resilience dans l’UNDAF, à travers la prise en compte des causes profondes des vulnérabilités à l’origine des crises humanitaires. En effet, au Tchad, la multiplicité des vulnérabilités structurelles (pauvreté et sous-développement, crise environnementale, crise socio-économique) sont à l’origine de la majorité des problématiques humanitaires. Dans ce contexte, une approche cohérente et inclusive des problématiques humanitaires et de développement est indispensable. Pour ce faire, une stratégie d’intégration transversale</w:t>
      </w:r>
      <w:r w:rsidR="00C656EA">
        <w:rPr>
          <w:rFonts w:ascii="Times New Roman" w:hAnsi="Times New Roman"/>
          <w:szCs w:val="28"/>
        </w:rPr>
        <w:t>,</w:t>
      </w:r>
      <w:r w:rsidRPr="00827497">
        <w:rPr>
          <w:rFonts w:ascii="Times New Roman" w:hAnsi="Times New Roman"/>
          <w:szCs w:val="28"/>
        </w:rPr>
        <w:t xml:space="preserve"> dans tous les domaines de coopération, des réponses aux défis structurels et aux causes profondes des vulnérabilités à l’origine des crises humanitaires</w:t>
      </w:r>
      <w:r w:rsidR="00C656EA">
        <w:rPr>
          <w:rFonts w:ascii="Times New Roman" w:hAnsi="Times New Roman"/>
          <w:szCs w:val="28"/>
        </w:rPr>
        <w:t>,</w:t>
      </w:r>
      <w:r w:rsidRPr="00827497">
        <w:rPr>
          <w:rFonts w:ascii="Times New Roman" w:hAnsi="Times New Roman"/>
          <w:szCs w:val="28"/>
        </w:rPr>
        <w:t xml:space="preserve"> a été adoptée. Le SNU adopte aussi une approche qui facilite une meilleure gestion de la complexité des réalités opérationnelles et s’inscrit dans une démarche multisectorielle et multi-acteurs, privilégiant des zones de convergence, pour les activités à base communautaire. L’intégration des problématiques humanitaires dans l’UNDAF est assise sur une démarche volontariste, visant à rompre avec une vision séquencée des réponses humanitaires et de la gestion du développement. En effet, au vu du faible développement humain au Tchad et de ses conséquences sur les capacités de subsistance des populations, il s’agira pour l’Equipe de Pays de répondre simultanément aux défis humanitaires, en menant des interventions visant spécif</w:t>
      </w:r>
      <w:r w:rsidR="00B77C80">
        <w:rPr>
          <w:rFonts w:ascii="Times New Roman" w:hAnsi="Times New Roman"/>
          <w:szCs w:val="28"/>
        </w:rPr>
        <w:t>iquement à sauver des vies tel</w:t>
      </w:r>
      <w:r w:rsidRPr="00827497">
        <w:rPr>
          <w:rFonts w:ascii="Times New Roman" w:hAnsi="Times New Roman"/>
          <w:szCs w:val="28"/>
        </w:rPr>
        <w:t xml:space="preserve"> que priorisées dans le Plan de réponse humanitaire (HRP), tout en mettant en œuvre au niveau des communautés ciblées, des actions centrées sur le renforcement des systèmes de production, à même d’impulser le relèvement rapide et la résilience desdites communautés et amorcer le virage du développement. Il s’agira aussi pour l’Equipe de Pays, d’initier des activités de développement ou des activités pérennes sur la base des outils d’analyse de vulnérabilité existants, de la stratégie de réponse humanitaire (HRP), et de l’assistance humanitaire en cours ou à venir selon les standards sectoriels définis (wash, nutrition, sécurité alimentaire, nutrition, éducation et abris/articles essentiels) et tendre vers les normes généralement admises, régissant l’accès et l’utilisation des services sociaux de base, des services publics en matière de protection, de justice, et de veille nutritionnelle et alimentaire. Ce faisant, au niveau des communautés en situation humanitaire ou d’urgence ou susceptibles d’y basculer, et au vu des fragilités du pays, le SNU s’attachera à appuyer les petits producteurs en vue de renforcer les bases productives et assurer la transition vers l’autosuffisance et la production de rente. Tenant compte du fait que près d’un demi-million de personnes (réfugiés, retournés, déplacés) sont dépendantes, à un degré plus ou moins élevé, de l’assistance humanitaire, le SNU s’attèlera à faciliter leurs accès aux services sociaux de base et restaurer leurs capacités de production, en leur permettant de renouer et ou de pratiquer leurs métiers à travers, le plaidoyer auprès des autorités pour l’accès aux ressources naturelles (foncier, aires de paturage, ….), la distribution des kits pour des métiers spécifiques, le mico-crédit, etc. Le SNU ambitionne ainsi de répondre efficacement et concommittament aux défis humanitaires et de développement.</w:t>
      </w:r>
    </w:p>
    <w:p w14:paraId="45C5FDDC" w14:textId="7005BB78" w:rsidR="00827497" w:rsidRPr="00827497" w:rsidRDefault="00827497" w:rsidP="00827497">
      <w:pPr>
        <w:spacing w:line="276" w:lineRule="auto"/>
        <w:jc w:val="both"/>
        <w:rPr>
          <w:rFonts w:ascii="Times New Roman" w:hAnsi="Times New Roman"/>
          <w:szCs w:val="28"/>
        </w:rPr>
      </w:pPr>
      <w:r w:rsidRPr="00827497">
        <w:rPr>
          <w:rFonts w:ascii="Times New Roman" w:hAnsi="Times New Roman"/>
          <w:szCs w:val="28"/>
        </w:rPr>
        <w:t>L’intégration de la dimension humanitaire dans l’UNDAF participe aussi de la volonté de l’Equipe de Pays de traduire les conclusions du sommet humanitaire mondial (WHS) tenu en mai 2016 à Istanbul,</w:t>
      </w:r>
      <w:r w:rsidR="00B77C80">
        <w:rPr>
          <w:rFonts w:ascii="Times New Roman" w:hAnsi="Times New Roman"/>
          <w:szCs w:val="28"/>
        </w:rPr>
        <w:t xml:space="preserve"> en actions concrètes,</w:t>
      </w:r>
      <w:r w:rsidRPr="00827497">
        <w:rPr>
          <w:rFonts w:ascii="Times New Roman" w:hAnsi="Times New Roman"/>
          <w:szCs w:val="28"/>
        </w:rPr>
        <w:t xml:space="preserve"> en  mettant en place, une planification humanitaire pluri-annuelle pour renforcer les actions concourrant à la réduction des vulnérabilités à plus long terme, créant ainsi une inter-action avec les actions de développement. Toujours dans le sillage des conclusions du WHS, l’Equipe de Pays incluera cette démarche dans sa stratégie de mobilisation des resssources. Enfin, les mécanismes de coordination des interventions humanitaires et de développement seront arrimés et des passerelles créées pour renforcer les dynamiques d’intervention.</w:t>
      </w:r>
    </w:p>
    <w:p w14:paraId="5AB3EFBD" w14:textId="52EE97BE" w:rsidR="00205F24" w:rsidRDefault="00205F24" w:rsidP="00776169">
      <w:pPr>
        <w:jc w:val="both"/>
        <w:rPr>
          <w:rFonts w:ascii="Times New Roman" w:hAnsi="Times New Roman"/>
          <w:szCs w:val="28"/>
        </w:rPr>
      </w:pPr>
      <w:r w:rsidRPr="00345A77">
        <w:rPr>
          <w:rFonts w:ascii="Times New Roman" w:hAnsi="Times New Roman"/>
          <w:szCs w:val="28"/>
        </w:rPr>
        <w:t>Le positionnement du SNU dans le cadre de l’UNDAF 2017-2021</w:t>
      </w:r>
      <w:r>
        <w:rPr>
          <w:rFonts w:ascii="Times New Roman" w:hAnsi="Times New Roman"/>
          <w:szCs w:val="28"/>
        </w:rPr>
        <w:t xml:space="preserve"> prend</w:t>
      </w:r>
      <w:r w:rsidRPr="00345A77">
        <w:rPr>
          <w:rFonts w:ascii="Times New Roman" w:hAnsi="Times New Roman"/>
          <w:szCs w:val="28"/>
        </w:rPr>
        <w:t xml:space="preserve"> en compte </w:t>
      </w:r>
      <w:r>
        <w:rPr>
          <w:rFonts w:ascii="Times New Roman" w:hAnsi="Times New Roman"/>
          <w:szCs w:val="28"/>
        </w:rPr>
        <w:t>les</w:t>
      </w:r>
      <w:r w:rsidRPr="00345A77">
        <w:rPr>
          <w:rFonts w:ascii="Times New Roman" w:hAnsi="Times New Roman"/>
          <w:szCs w:val="28"/>
        </w:rPr>
        <w:t xml:space="preserve"> principes de programmation</w:t>
      </w:r>
      <w:r>
        <w:rPr>
          <w:rFonts w:ascii="Times New Roman" w:hAnsi="Times New Roman"/>
          <w:szCs w:val="28"/>
        </w:rPr>
        <w:t xml:space="preserve"> du système des Nations Unies</w:t>
      </w:r>
      <w:r w:rsidR="006A328A">
        <w:rPr>
          <w:rFonts w:ascii="Times New Roman" w:hAnsi="Times New Roman"/>
          <w:szCs w:val="28"/>
        </w:rPr>
        <w:t xml:space="preserve"> que sont : i) les droits humains,</w:t>
      </w:r>
      <w:r w:rsidR="00776169" w:rsidRPr="00776169">
        <w:t xml:space="preserve"> </w:t>
      </w:r>
      <w:r w:rsidR="00776169">
        <w:t xml:space="preserve">la </w:t>
      </w:r>
      <w:r w:rsidR="00776169" w:rsidRPr="00776169">
        <w:rPr>
          <w:rFonts w:ascii="Times New Roman" w:hAnsi="Times New Roman"/>
          <w:szCs w:val="28"/>
        </w:rPr>
        <w:t>lutte contre les inégalités et la discrimination,</w:t>
      </w:r>
      <w:r w:rsidR="00776169">
        <w:rPr>
          <w:rFonts w:ascii="Times New Roman" w:hAnsi="Times New Roman"/>
          <w:szCs w:val="28"/>
        </w:rPr>
        <w:t xml:space="preserve"> y compris l'égalité des sexes; ii) la d</w:t>
      </w:r>
      <w:r w:rsidR="00776169" w:rsidRPr="00776169">
        <w:rPr>
          <w:rFonts w:ascii="Times New Roman" w:hAnsi="Times New Roman"/>
          <w:szCs w:val="28"/>
        </w:rPr>
        <w:t>urabilité, réduction des risques environnementaux, lutte contre le changement climatique et re</w:t>
      </w:r>
      <w:r w:rsidR="00776169">
        <w:rPr>
          <w:rFonts w:ascii="Times New Roman" w:hAnsi="Times New Roman"/>
          <w:szCs w:val="28"/>
        </w:rPr>
        <w:t>nforcement de la résilience; et iii) la r</w:t>
      </w:r>
      <w:r w:rsidR="00776169" w:rsidRPr="00776169">
        <w:rPr>
          <w:rFonts w:ascii="Times New Roman" w:hAnsi="Times New Roman"/>
          <w:szCs w:val="28"/>
        </w:rPr>
        <w:t>edevabilité sous-tendue par la gestion axée sur les résultats, le renforcement des capacités nationales et des systèmes d’information</w:t>
      </w:r>
      <w:r w:rsidRPr="00345A77">
        <w:rPr>
          <w:rFonts w:ascii="Times New Roman" w:hAnsi="Times New Roman"/>
          <w:szCs w:val="28"/>
        </w:rPr>
        <w:t xml:space="preserve">. Sur la base des spécificités du contexte Tchadien, une attention toute particulière est accordée </w:t>
      </w:r>
      <w:r>
        <w:rPr>
          <w:rFonts w:ascii="Times New Roman" w:hAnsi="Times New Roman"/>
          <w:szCs w:val="28"/>
        </w:rPr>
        <w:t xml:space="preserve">aux groupes vulnérables (femmes, enfants, populations vivant sous handicap ou marginalisées, etc.), </w:t>
      </w:r>
      <w:r w:rsidRPr="00345A77">
        <w:rPr>
          <w:rFonts w:ascii="Times New Roman" w:hAnsi="Times New Roman"/>
          <w:szCs w:val="28"/>
        </w:rPr>
        <w:t xml:space="preserve">aux </w:t>
      </w:r>
      <w:r>
        <w:rPr>
          <w:rFonts w:ascii="Times New Roman" w:hAnsi="Times New Roman"/>
          <w:szCs w:val="28"/>
        </w:rPr>
        <w:t>j</w:t>
      </w:r>
      <w:r w:rsidRPr="00345A77">
        <w:rPr>
          <w:rFonts w:ascii="Times New Roman" w:hAnsi="Times New Roman"/>
          <w:szCs w:val="28"/>
        </w:rPr>
        <w:t xml:space="preserve">eunes et adolescents, </w:t>
      </w:r>
      <w:r w:rsidRPr="00864FAF">
        <w:rPr>
          <w:rFonts w:ascii="Times New Roman" w:hAnsi="Times New Roman"/>
          <w:szCs w:val="28"/>
        </w:rPr>
        <w:t>dans tou</w:t>
      </w:r>
      <w:r>
        <w:rPr>
          <w:rFonts w:ascii="Times New Roman" w:hAnsi="Times New Roman"/>
          <w:szCs w:val="28"/>
        </w:rPr>
        <w:t>tes</w:t>
      </w:r>
      <w:r w:rsidRPr="00864FAF">
        <w:rPr>
          <w:rFonts w:ascii="Times New Roman" w:hAnsi="Times New Roman"/>
          <w:szCs w:val="28"/>
        </w:rPr>
        <w:t xml:space="preserve"> les </w:t>
      </w:r>
      <w:r>
        <w:rPr>
          <w:rFonts w:ascii="Times New Roman" w:hAnsi="Times New Roman"/>
          <w:szCs w:val="28"/>
        </w:rPr>
        <w:t>phases que peut connaitre le</w:t>
      </w:r>
      <w:r w:rsidRPr="00864FAF">
        <w:rPr>
          <w:rFonts w:ascii="Times New Roman" w:hAnsi="Times New Roman"/>
          <w:szCs w:val="28"/>
        </w:rPr>
        <w:t xml:space="preserve"> pays y compris la situation des </w:t>
      </w:r>
      <w:r w:rsidRPr="00E642AF">
        <w:rPr>
          <w:rFonts w:ascii="Times New Roman" w:hAnsi="Times New Roman"/>
          <w:szCs w:val="28"/>
        </w:rPr>
        <w:t>réfugiés</w:t>
      </w:r>
      <w:r w:rsidRPr="00345A77">
        <w:rPr>
          <w:rFonts w:ascii="Times New Roman" w:hAnsi="Times New Roman"/>
          <w:szCs w:val="28"/>
        </w:rPr>
        <w:t>, intégrés de façon transversale à tous les stades du processus de planification.</w:t>
      </w:r>
      <w:r>
        <w:rPr>
          <w:rFonts w:ascii="Times New Roman" w:hAnsi="Times New Roman"/>
          <w:szCs w:val="28"/>
        </w:rPr>
        <w:t xml:space="preserve">  Au regard des difficultés majeures liées à la faiblesse du capital humain, à la faiblesse des systèmes de protection en général, de protection sociale et de l’enfance en particulier, du faible ancrage des mécanismes et dispositifs de réduction des risques de catastrophes, des enjeux liés à la protection de l’environnement et la préservation des systèmes de production durable, des faiblesses du système en matière de gouvernance, de consolidation de la paix et de maitrise du contexte sécuritaire complexe, trois </w:t>
      </w:r>
      <w:r w:rsidR="00755EA5">
        <w:rPr>
          <w:rFonts w:ascii="Times New Roman" w:hAnsi="Times New Roman"/>
          <w:szCs w:val="28"/>
        </w:rPr>
        <w:t>résultats stratégiques</w:t>
      </w:r>
      <w:r>
        <w:rPr>
          <w:rFonts w:ascii="Times New Roman" w:hAnsi="Times New Roman"/>
          <w:szCs w:val="28"/>
        </w:rPr>
        <w:t xml:space="preserve"> ont été identifiés : i) Développement du capital humain, ii) Protection sociale, gestion des crises</w:t>
      </w:r>
      <w:r w:rsidRPr="00E25D06">
        <w:rPr>
          <w:rFonts w:ascii="Times New Roman" w:hAnsi="Times New Roman"/>
          <w:szCs w:val="28"/>
        </w:rPr>
        <w:t xml:space="preserve"> </w:t>
      </w:r>
      <w:r>
        <w:rPr>
          <w:rFonts w:ascii="Times New Roman" w:hAnsi="Times New Roman"/>
          <w:szCs w:val="28"/>
        </w:rPr>
        <w:t>et durabilité, iii) Gouvernance, paix et sécurité.</w:t>
      </w:r>
    </w:p>
    <w:p w14:paraId="4AF45D35" w14:textId="77777777" w:rsidR="001C52F5" w:rsidRDefault="001C52F5" w:rsidP="00776169">
      <w:pPr>
        <w:jc w:val="both"/>
        <w:rPr>
          <w:rFonts w:ascii="Times New Roman" w:hAnsi="Times New Roman"/>
          <w:szCs w:val="28"/>
        </w:rPr>
      </w:pPr>
    </w:p>
    <w:p w14:paraId="1BA88F4D" w14:textId="77777777" w:rsidR="001C52F5" w:rsidRDefault="001C52F5" w:rsidP="00776169">
      <w:pPr>
        <w:jc w:val="both"/>
        <w:rPr>
          <w:rFonts w:ascii="Times New Roman" w:hAnsi="Times New Roman"/>
          <w:szCs w:val="28"/>
        </w:rPr>
      </w:pPr>
    </w:p>
    <w:p w14:paraId="2C8E36AB" w14:textId="77777777" w:rsidR="001C52F5" w:rsidRDefault="001C52F5" w:rsidP="00776169">
      <w:pPr>
        <w:jc w:val="both"/>
        <w:rPr>
          <w:rFonts w:ascii="Times New Roman" w:hAnsi="Times New Roman"/>
          <w:szCs w:val="28"/>
        </w:rPr>
      </w:pPr>
    </w:p>
    <w:p w14:paraId="66D412B7" w14:textId="77777777" w:rsidR="001C52F5" w:rsidRDefault="001C52F5" w:rsidP="00776169">
      <w:pPr>
        <w:jc w:val="both"/>
        <w:rPr>
          <w:rFonts w:ascii="Times New Roman" w:hAnsi="Times New Roman"/>
          <w:szCs w:val="28"/>
        </w:rPr>
      </w:pPr>
    </w:p>
    <w:p w14:paraId="70DED317" w14:textId="77777777" w:rsidR="001C52F5" w:rsidRDefault="001C52F5" w:rsidP="00776169">
      <w:pPr>
        <w:jc w:val="both"/>
        <w:rPr>
          <w:rFonts w:ascii="Times New Roman" w:hAnsi="Times New Roman"/>
          <w:szCs w:val="28"/>
        </w:rPr>
      </w:pPr>
    </w:p>
    <w:p w14:paraId="2F5506AD" w14:textId="77777777" w:rsidR="001C52F5" w:rsidRDefault="001C52F5" w:rsidP="00776169">
      <w:pPr>
        <w:jc w:val="both"/>
        <w:rPr>
          <w:rFonts w:ascii="Times New Roman" w:hAnsi="Times New Roman"/>
          <w:szCs w:val="28"/>
        </w:rPr>
      </w:pPr>
    </w:p>
    <w:p w14:paraId="6BEDF549" w14:textId="77777777" w:rsidR="001C52F5" w:rsidRDefault="001C52F5" w:rsidP="00776169">
      <w:pPr>
        <w:jc w:val="both"/>
        <w:rPr>
          <w:rFonts w:ascii="Times New Roman" w:hAnsi="Times New Roman"/>
          <w:szCs w:val="28"/>
        </w:rPr>
      </w:pPr>
    </w:p>
    <w:p w14:paraId="22E7D494" w14:textId="77777777" w:rsidR="001C52F5" w:rsidRDefault="001C52F5" w:rsidP="00776169">
      <w:pPr>
        <w:jc w:val="both"/>
        <w:rPr>
          <w:rFonts w:ascii="Times New Roman" w:hAnsi="Times New Roman"/>
          <w:szCs w:val="28"/>
        </w:rPr>
      </w:pPr>
    </w:p>
    <w:p w14:paraId="32D2EA56" w14:textId="77777777" w:rsidR="001C52F5" w:rsidRDefault="001C52F5" w:rsidP="00776169">
      <w:pPr>
        <w:jc w:val="both"/>
        <w:rPr>
          <w:rFonts w:ascii="Times New Roman" w:hAnsi="Times New Roman"/>
          <w:szCs w:val="28"/>
        </w:rPr>
      </w:pPr>
    </w:p>
    <w:p w14:paraId="6074C466" w14:textId="77777777" w:rsidR="001C52F5" w:rsidRDefault="001C52F5" w:rsidP="00776169">
      <w:pPr>
        <w:jc w:val="both"/>
        <w:rPr>
          <w:rFonts w:ascii="Times New Roman" w:hAnsi="Times New Roman"/>
          <w:szCs w:val="28"/>
        </w:rPr>
      </w:pPr>
    </w:p>
    <w:p w14:paraId="7A9F711E" w14:textId="77777777" w:rsidR="001C52F5" w:rsidRDefault="001C52F5" w:rsidP="00776169">
      <w:pPr>
        <w:jc w:val="both"/>
        <w:rPr>
          <w:rFonts w:ascii="Times New Roman" w:hAnsi="Times New Roman"/>
          <w:szCs w:val="28"/>
        </w:rPr>
      </w:pPr>
    </w:p>
    <w:p w14:paraId="51C37399" w14:textId="77777777" w:rsidR="001C52F5" w:rsidRDefault="001C52F5" w:rsidP="00776169">
      <w:pPr>
        <w:jc w:val="both"/>
        <w:rPr>
          <w:rFonts w:ascii="Times New Roman" w:hAnsi="Times New Roman"/>
          <w:szCs w:val="28"/>
        </w:rPr>
      </w:pPr>
    </w:p>
    <w:p w14:paraId="52369D68" w14:textId="77777777" w:rsidR="001C52F5" w:rsidRDefault="001C52F5" w:rsidP="00776169">
      <w:pPr>
        <w:jc w:val="both"/>
        <w:rPr>
          <w:rFonts w:ascii="Times New Roman" w:hAnsi="Times New Roman"/>
          <w:szCs w:val="28"/>
        </w:rPr>
      </w:pPr>
    </w:p>
    <w:p w14:paraId="14417D0B" w14:textId="77777777" w:rsidR="001C52F5" w:rsidRDefault="001C52F5" w:rsidP="00776169">
      <w:pPr>
        <w:jc w:val="both"/>
        <w:rPr>
          <w:rFonts w:ascii="Times New Roman" w:hAnsi="Times New Roman"/>
          <w:szCs w:val="28"/>
        </w:rPr>
      </w:pPr>
    </w:p>
    <w:p w14:paraId="2F66D5CE" w14:textId="77777777" w:rsidR="001C52F5" w:rsidRDefault="001C52F5" w:rsidP="00776169">
      <w:pPr>
        <w:jc w:val="both"/>
        <w:rPr>
          <w:rFonts w:ascii="Times New Roman" w:hAnsi="Times New Roman"/>
          <w:szCs w:val="28"/>
        </w:rPr>
      </w:pPr>
    </w:p>
    <w:p w14:paraId="17250C44" w14:textId="77777777" w:rsidR="001C52F5" w:rsidRDefault="001C52F5" w:rsidP="00776169">
      <w:pPr>
        <w:jc w:val="both"/>
        <w:rPr>
          <w:rFonts w:ascii="Times New Roman" w:hAnsi="Times New Roman"/>
          <w:szCs w:val="28"/>
        </w:rPr>
      </w:pPr>
    </w:p>
    <w:p w14:paraId="6426B24B" w14:textId="3FFADFBB" w:rsidR="003031A2" w:rsidRDefault="003031A2" w:rsidP="003031A2">
      <w:pPr>
        <w:jc w:val="both"/>
        <w:rPr>
          <w:rFonts w:ascii="Times New Roman" w:hAnsi="Times New Roman"/>
          <w:szCs w:val="28"/>
        </w:rPr>
      </w:pPr>
      <w:r>
        <w:rPr>
          <w:lang w:val="en-US"/>
        </w:rPr>
        <mc:AlternateContent>
          <mc:Choice Requires="wps">
            <w:drawing>
              <wp:anchor distT="0" distB="0" distL="114300" distR="114300" simplePos="0" relativeHeight="251662336" behindDoc="0" locked="0" layoutInCell="1" allowOverlap="1" wp14:anchorId="73FB06ED" wp14:editId="4819E00E">
                <wp:simplePos x="0" y="0"/>
                <wp:positionH relativeFrom="column">
                  <wp:posOffset>-100330</wp:posOffset>
                </wp:positionH>
                <wp:positionV relativeFrom="paragraph">
                  <wp:posOffset>274955</wp:posOffset>
                </wp:positionV>
                <wp:extent cx="6337300" cy="868680"/>
                <wp:effectExtent l="0" t="0" r="25400" b="2667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7300" cy="868680"/>
                        </a:xfrm>
                        <a:prstGeom prst="rect">
                          <a:avLst/>
                        </a:prstGeom>
                        <a:solidFill>
                          <a:sysClr val="window" lastClr="FFFFFF"/>
                        </a:solidFill>
                        <a:ln w="12700" cap="flat" cmpd="sng" algn="ctr">
                          <a:solidFill>
                            <a:srgbClr val="4472C4"/>
                          </a:solidFill>
                          <a:prstDash val="solid"/>
                          <a:miter lim="800000"/>
                        </a:ln>
                        <a:effectLst/>
                      </wps:spPr>
                      <wps:txbx>
                        <w:txbxContent>
                          <w:p w14:paraId="5318BFD8" w14:textId="77777777" w:rsidR="00433F84" w:rsidRPr="005B73BB" w:rsidRDefault="00433F84" w:rsidP="003031A2">
                            <w:pPr>
                              <w:jc w:val="center"/>
                              <w:rPr>
                                <w:b/>
                                <w:sz w:val="18"/>
                              </w:rPr>
                            </w:pPr>
                            <w:r w:rsidRPr="005B73BB">
                              <w:rPr>
                                <w:b/>
                                <w:sz w:val="18"/>
                              </w:rPr>
                              <w:t xml:space="preserve">VISION 2030 : Le Tchad que nous voulons : </w:t>
                            </w:r>
                          </w:p>
                          <w:p w14:paraId="77849DDA" w14:textId="77777777" w:rsidR="00433F84" w:rsidRPr="00F02C1A" w:rsidRDefault="00433F84" w:rsidP="003031A2">
                            <w:pPr>
                              <w:jc w:val="center"/>
                              <w:rPr>
                                <w:rFonts w:ascii="Times New Roman" w:hAnsi="Times New Roman"/>
                                <w:i/>
                                <w:sz w:val="20"/>
                                <w:szCs w:val="20"/>
                              </w:rPr>
                            </w:pPr>
                            <w:r w:rsidRPr="00F02C1A">
                              <w:rPr>
                                <w:i/>
                                <w:sz w:val="20"/>
                                <w:szCs w:val="20"/>
                              </w:rPr>
                              <w:t>U</w:t>
                            </w:r>
                            <w:r w:rsidRPr="00F02C1A">
                              <w:rPr>
                                <w:rFonts w:ascii="Times New Roman" w:hAnsi="Times New Roman"/>
                                <w:i/>
                                <w:sz w:val="20"/>
                                <w:szCs w:val="20"/>
                              </w:rPr>
                              <w:t>ne puissance régionale émergente à l’horizon 2030, portée par des sources de croissance diversifiées et durables, créatrices de valeurs ajoutées et d’emplois et assurant à chaque Tchadien un accès adéquat aux services sociaux de base, à un logement décent et à une offre adéquate de formation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FB06ED" id="Rectangle 25" o:spid="_x0000_s1026" style="position:absolute;left:0;text-align:left;margin-left:-7.9pt;margin-top:21.65pt;width:499pt;height:68.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" fillcolor="window" strokecolor="#4472c4" strokeweight="1pt">
                <v:path arrowok="t"/>
                <v:textbox>
                  <w:txbxContent>
                    <w:p w14:paraId="5318BFD8" w14:textId="77777777" w:rsidR="00433F84" w:rsidRPr="005B73BB" w:rsidRDefault="00433F84" w:rsidP="003031A2">
                      <w:pPr>
                        <w:jc w:val="center"/>
                        <w:rPr>
                          <w:b/>
                          <w:sz w:val="18"/>
                        </w:rPr>
                      </w:pPr>
                      <w:r w:rsidRPr="005B73BB">
                        <w:rPr>
                          <w:b/>
                          <w:sz w:val="18"/>
                        </w:rPr>
                        <w:t xml:space="preserve">VISION 2030 : Le Tchad que nous voulons : </w:t>
                      </w:r>
                    </w:p>
                    <w:p w14:paraId="77849DDA" w14:textId="77777777" w:rsidR="00433F84" w:rsidRPr="00F02C1A" w:rsidRDefault="00433F84" w:rsidP="003031A2">
                      <w:pPr>
                        <w:jc w:val="center"/>
                        <w:rPr>
                          <w:rFonts w:ascii="Times New Roman" w:hAnsi="Times New Roman"/>
                          <w:i/>
                          <w:sz w:val="20"/>
                          <w:szCs w:val="20"/>
                        </w:rPr>
                      </w:pPr>
                      <w:r w:rsidRPr="00F02C1A">
                        <w:rPr>
                          <w:i/>
                          <w:sz w:val="20"/>
                          <w:szCs w:val="20"/>
                        </w:rPr>
                        <w:t>U</w:t>
                      </w:r>
                      <w:r w:rsidRPr="00F02C1A">
                        <w:rPr>
                          <w:rFonts w:ascii="Times New Roman" w:hAnsi="Times New Roman"/>
                          <w:i/>
                          <w:sz w:val="20"/>
                          <w:szCs w:val="20"/>
                        </w:rPr>
                        <w:t>ne puissance régionale émergente à l’horizon 2030, portée par des sources de croissance diversifiées et durables, créatrices de valeurs ajoutées et d’emplois et assurant à chaque Tchadien un accès adéquat aux services sociaux de base, à un logement décent et à une offre adéquate de formation</w:t>
                      </w:r>
                    </w:p>
                  </w:txbxContent>
                </v:textbox>
              </v:rect>
            </w:pict>
          </mc:Fallback>
        </mc:AlternateContent>
      </w:r>
      <w:r w:rsidR="00231764">
        <w:rPr>
          <w:rFonts w:ascii="Times New Roman" w:hAnsi="Times New Roman"/>
          <w:szCs w:val="28"/>
        </w:rPr>
        <w:t>F</w:t>
      </w:r>
      <w:r>
        <w:rPr>
          <w:rFonts w:ascii="Times New Roman" w:hAnsi="Times New Roman"/>
          <w:szCs w:val="28"/>
        </w:rPr>
        <w:t>igure 1. Résultats stratégiques par domaine de coopération UNDAF</w:t>
      </w:r>
    </w:p>
    <w:p w14:paraId="3B92DFBB" w14:textId="77777777" w:rsidR="003031A2" w:rsidRDefault="003031A2" w:rsidP="003031A2"/>
    <w:p w14:paraId="2D7172B3" w14:textId="0EB84E0A" w:rsidR="0043311B" w:rsidRDefault="00825DB5" w:rsidP="003031A2">
      <w:pPr>
        <w:rPr>
          <w:rFonts w:ascii="Times New Roman" w:hAnsi="Times New Roman"/>
          <w:szCs w:val="28"/>
        </w:rPr>
      </w:pPr>
      <w:r>
        <w:rPr>
          <w:lang w:val="en-US"/>
        </w:rPr>
        <mc:AlternateContent>
          <mc:Choice Requires="wps">
            <w:drawing>
              <wp:anchor distT="0" distB="0" distL="114300" distR="114300" simplePos="0" relativeHeight="251672576" behindDoc="0" locked="0" layoutInCell="1" allowOverlap="1" wp14:anchorId="09C5491B" wp14:editId="4A4AC217">
                <wp:simplePos x="0" y="0"/>
                <wp:positionH relativeFrom="column">
                  <wp:posOffset>1688741</wp:posOffset>
                </wp:positionH>
                <wp:positionV relativeFrom="paragraph">
                  <wp:posOffset>601212</wp:posOffset>
                </wp:positionV>
                <wp:extent cx="36698" cy="6211019"/>
                <wp:effectExtent l="0" t="0" r="20955" b="3746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6698" cy="6211019"/>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34BCBE9" id="Connecteur droit 44"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2.95pt,47.35pt" to="135.85pt,5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" strokecolor="#5b9bd5" strokeweight=".5pt">
                <v:stroke joinstyle="miter"/>
                <o:lock v:ext="edit" shapetype="f"/>
              </v:line>
            </w:pict>
          </mc:Fallback>
        </mc:AlternateContent>
      </w:r>
      <w:r>
        <w:rPr>
          <w:lang w:val="en-US"/>
        </w:rPr>
        <mc:AlternateContent>
          <mc:Choice Requires="wps">
            <w:drawing>
              <wp:anchor distT="0" distB="0" distL="114300" distR="114300" simplePos="0" relativeHeight="251681792" behindDoc="0" locked="0" layoutInCell="1" allowOverlap="1" wp14:anchorId="1A4718AA" wp14:editId="3341C05F">
                <wp:simplePos x="0" y="0"/>
                <wp:positionH relativeFrom="column">
                  <wp:posOffset>5966832</wp:posOffset>
                </wp:positionH>
                <wp:positionV relativeFrom="paragraph">
                  <wp:posOffset>566708</wp:posOffset>
                </wp:positionV>
                <wp:extent cx="32290" cy="3881886"/>
                <wp:effectExtent l="0" t="0" r="25400" b="23495"/>
                <wp:wrapNone/>
                <wp:docPr id="3" name="Connecteur droit 3"/>
                <wp:cNvGraphicFramePr/>
                <a:graphic xmlns:a="http://schemas.openxmlformats.org/drawingml/2006/main">
                  <a:graphicData uri="http://schemas.microsoft.com/office/word/2010/wordprocessingShape">
                    <wps:wsp>
                      <wps:cNvCnPr/>
                      <wps:spPr>
                        <a:xfrm>
                          <a:off x="0" y="0"/>
                          <a:ext cx="32290" cy="388188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62BC1CA" id="Connecteur droit 3" o:spid="_x0000_s1026" style="position:absolute;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9.85pt,44.6pt" to="472.4pt,3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" strokecolor="#5b9bd5 [3204]" strokeweight=".5pt">
                <v:stroke joinstyle="miter"/>
              </v:line>
            </w:pict>
          </mc:Fallback>
        </mc:AlternateContent>
      </w:r>
      <w:r w:rsidR="0000782E">
        <w:rPr>
          <w:lang w:val="en-US"/>
        </w:rPr>
        <mc:AlternateContent>
          <mc:Choice Requires="wps">
            <w:drawing>
              <wp:anchor distT="0" distB="0" distL="114300" distR="114300" simplePos="0" relativeHeight="251676672" behindDoc="0" locked="0" layoutInCell="1" allowOverlap="1" wp14:anchorId="5E60327D" wp14:editId="13F78955">
                <wp:simplePos x="0" y="0"/>
                <wp:positionH relativeFrom="column">
                  <wp:posOffset>3661571</wp:posOffset>
                </wp:positionH>
                <wp:positionV relativeFrom="paragraph">
                  <wp:posOffset>2965627</wp:posOffset>
                </wp:positionV>
                <wp:extent cx="208177" cy="0"/>
                <wp:effectExtent l="0" t="0" r="20955" b="19050"/>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8177" cy="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6CFC6CF8" id="Connecteur droit 6" o:spid="_x0000_s1026" style="position:absolute;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8.3pt,233.5pt" to="304.7pt,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" strokecolor="#5b9bd5" strokeweight=".5pt">
                <v:stroke joinstyle="miter"/>
              </v:line>
            </w:pict>
          </mc:Fallback>
        </mc:AlternateContent>
      </w:r>
      <w:r w:rsidR="0000782E">
        <w:rPr>
          <w:lang w:val="en-US"/>
        </w:rPr>
        <mc:AlternateContent>
          <mc:Choice Requires="wps">
            <w:drawing>
              <wp:anchor distT="0" distB="0" distL="114300" distR="114300" simplePos="0" relativeHeight="251667456" behindDoc="0" locked="0" layoutInCell="1" allowOverlap="1" wp14:anchorId="09655143" wp14:editId="2043AC63">
                <wp:simplePos x="0" y="0"/>
                <wp:positionH relativeFrom="margin">
                  <wp:posOffset>1949731</wp:posOffset>
                </wp:positionH>
                <wp:positionV relativeFrom="paragraph">
                  <wp:posOffset>2816771</wp:posOffset>
                </wp:positionV>
                <wp:extent cx="1690576" cy="2295525"/>
                <wp:effectExtent l="0" t="0" r="24130" b="2857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0576" cy="2295525"/>
                        </a:xfrm>
                        <a:prstGeom prst="rect">
                          <a:avLst/>
                        </a:prstGeom>
                        <a:solidFill>
                          <a:sysClr val="window" lastClr="FFFFFF"/>
                        </a:solidFill>
                        <a:ln w="12700" cap="flat" cmpd="sng" algn="ctr">
                          <a:solidFill>
                            <a:srgbClr val="5B9BD5"/>
                          </a:solidFill>
                          <a:prstDash val="solid"/>
                          <a:miter lim="800000"/>
                        </a:ln>
                        <a:effectLst/>
                      </wps:spPr>
                      <wps:txbx>
                        <w:txbxContent>
                          <w:p w14:paraId="2174A40A" w14:textId="77777777" w:rsidR="00433F84" w:rsidRPr="00E86829" w:rsidRDefault="00433F84" w:rsidP="003031A2">
                            <w:pPr>
                              <w:jc w:val="center"/>
                              <w:rPr>
                                <w:sz w:val="16"/>
                                <w:szCs w:val="16"/>
                              </w:rPr>
                            </w:pPr>
                            <w:r w:rsidRPr="00E86829">
                              <w:rPr>
                                <w:sz w:val="16"/>
                                <w:szCs w:val="16"/>
                              </w:rPr>
                              <w:t>Effet 5. 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655143" id="Rectangle 54" o:spid="_x0000_s1027" style="position:absolute;margin-left:153.5pt;margin-top:221.8pt;width:133.1pt;height:180.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" fillcolor="window" strokecolor="#5b9bd5" strokeweight="1pt">
                <v:path arrowok="t"/>
                <v:textbox>
                  <w:txbxContent>
                    <w:p w14:paraId="2174A40A" w14:textId="77777777" w:rsidR="00433F84" w:rsidRPr="00E86829" w:rsidRDefault="00433F84" w:rsidP="003031A2">
                      <w:pPr>
                        <w:jc w:val="center"/>
                        <w:rPr>
                          <w:sz w:val="16"/>
                          <w:szCs w:val="16"/>
                        </w:rPr>
                      </w:pPr>
                      <w:r w:rsidRPr="00E86829">
                        <w:rPr>
                          <w:sz w:val="16"/>
                          <w:szCs w:val="16"/>
                        </w:rPr>
                        <w:t>Effet 5. 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w:t>
                      </w:r>
                    </w:p>
                  </w:txbxContent>
                </v:textbox>
                <w10:wrap anchorx="margin"/>
              </v:rect>
            </w:pict>
          </mc:Fallback>
        </mc:AlternateContent>
      </w:r>
      <w:r w:rsidR="0000782E">
        <w:rPr>
          <w:lang w:val="en-US"/>
        </w:rPr>
        <mc:AlternateContent>
          <mc:Choice Requires="wps">
            <w:drawing>
              <wp:anchor distT="0" distB="0" distL="114300" distR="114300" simplePos="0" relativeHeight="251669504" behindDoc="0" locked="0" layoutInCell="1" allowOverlap="1" wp14:anchorId="717CDE11" wp14:editId="4B919ECB">
                <wp:simplePos x="0" y="0"/>
                <wp:positionH relativeFrom="margin">
                  <wp:posOffset>1970996</wp:posOffset>
                </wp:positionH>
                <wp:positionV relativeFrom="paragraph">
                  <wp:posOffset>1434539</wp:posOffset>
                </wp:positionV>
                <wp:extent cx="1650187" cy="1303020"/>
                <wp:effectExtent l="0" t="0" r="26670" b="11430"/>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50187" cy="1303020"/>
                        </a:xfrm>
                        <a:prstGeom prst="rect">
                          <a:avLst/>
                        </a:prstGeom>
                        <a:solidFill>
                          <a:sysClr val="window" lastClr="FFFFFF"/>
                        </a:solidFill>
                        <a:ln w="12700" cap="flat" cmpd="sng" algn="ctr">
                          <a:solidFill>
                            <a:srgbClr val="5B9BD5"/>
                          </a:solidFill>
                          <a:prstDash val="solid"/>
                          <a:miter lim="800000"/>
                        </a:ln>
                        <a:effectLst/>
                      </wps:spPr>
                      <wps:txbx>
                        <w:txbxContent>
                          <w:p w14:paraId="4899AD2A" w14:textId="77777777" w:rsidR="00433F84" w:rsidRPr="00E86829" w:rsidRDefault="00433F84" w:rsidP="003031A2">
                            <w:pPr>
                              <w:jc w:val="both"/>
                              <w:rPr>
                                <w:sz w:val="16"/>
                                <w:szCs w:val="16"/>
                              </w:rPr>
                            </w:pPr>
                            <w:r w:rsidRPr="00E86829">
                              <w:rPr>
                                <w:sz w:val="16"/>
                                <w:szCs w:val="16"/>
                              </w:rPr>
                              <w:t>Effet 4. D’ici à fin 2021, l’Etat adopte, met en œuvre et promeut l’utilisation des systèmes de protection sociale, de protection de l’enfance, de préparation et gestion des crises et catastrophes, et de relèvement rapide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CDE11" id="Rectangle 47" o:spid="_x0000_s1028" style="position:absolute;margin-left:155.2pt;margin-top:112.95pt;width:129.95pt;height:102.6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" fillcolor="window" strokecolor="#5b9bd5" strokeweight="1pt">
                <v:path arrowok="t"/>
                <v:textbox>
                  <w:txbxContent>
                    <w:p w14:paraId="4899AD2A" w14:textId="77777777" w:rsidR="00433F84" w:rsidRPr="00E86829" w:rsidRDefault="00433F84" w:rsidP="003031A2">
                      <w:pPr>
                        <w:jc w:val="both"/>
                        <w:rPr>
                          <w:sz w:val="16"/>
                          <w:szCs w:val="16"/>
                        </w:rPr>
                      </w:pPr>
                      <w:r w:rsidRPr="00E86829">
                        <w:rPr>
                          <w:sz w:val="16"/>
                          <w:szCs w:val="16"/>
                        </w:rPr>
                        <w:t>Effet 4. D’ici à fin 2021, l’Etat adopte, met en œuvre et promeut l’utilisation des systèmes de protection sociale, de protection de l’enfance, de préparation et gestion des crises et catastrophes, et de relèvement rapide</w:t>
                      </w:r>
                    </w:p>
                  </w:txbxContent>
                </v:textbox>
                <w10:wrap anchorx="margin"/>
              </v:rect>
            </w:pict>
          </mc:Fallback>
        </mc:AlternateContent>
      </w:r>
      <w:r w:rsidR="0000782E">
        <w:rPr>
          <w:lang w:val="en-US"/>
        </w:rPr>
        <mc:AlternateContent>
          <mc:Choice Requires="wps">
            <w:drawing>
              <wp:anchor distT="0" distB="0" distL="114300" distR="114300" simplePos="0" relativeHeight="251683840" behindDoc="0" locked="0" layoutInCell="1" allowOverlap="1" wp14:anchorId="2DC69A3E" wp14:editId="0AF523DF">
                <wp:simplePos x="0" y="0"/>
                <wp:positionH relativeFrom="column">
                  <wp:posOffset>5596698</wp:posOffset>
                </wp:positionH>
                <wp:positionV relativeFrom="paragraph">
                  <wp:posOffset>924176</wp:posOffset>
                </wp:positionV>
                <wp:extent cx="403698" cy="0"/>
                <wp:effectExtent l="0" t="0" r="34925" b="19050"/>
                <wp:wrapNone/>
                <wp:docPr id="5" name="Connecteur droit 5"/>
                <wp:cNvGraphicFramePr/>
                <a:graphic xmlns:a="http://schemas.openxmlformats.org/drawingml/2006/main">
                  <a:graphicData uri="http://schemas.microsoft.com/office/word/2010/wordprocessingShape">
                    <wps:wsp>
                      <wps:cNvCnPr/>
                      <wps:spPr>
                        <a:xfrm flipV="1">
                          <a:off x="0" y="0"/>
                          <a:ext cx="403698"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A27442" id="Connecteur droit 5"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0.7pt,72.75pt" to="472.5pt,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" strokecolor="#5b9bd5 [3204]" strokeweight=".5pt">
                <v:stroke joinstyle="miter"/>
              </v:line>
            </w:pict>
          </mc:Fallback>
        </mc:AlternateContent>
      </w:r>
      <w:r w:rsidR="0000782E">
        <w:rPr>
          <w:lang w:val="en-US"/>
        </w:rPr>
        <mc:AlternateContent>
          <mc:Choice Requires="wps">
            <w:drawing>
              <wp:anchor distT="0" distB="0" distL="114300" distR="114300" simplePos="0" relativeHeight="251682816" behindDoc="0" locked="0" layoutInCell="1" allowOverlap="1" wp14:anchorId="7D34C81F" wp14:editId="0216337E">
                <wp:simplePos x="0" y="0"/>
                <wp:positionH relativeFrom="column">
                  <wp:posOffset>5607331</wp:posOffset>
                </wp:positionH>
                <wp:positionV relativeFrom="paragraph">
                  <wp:posOffset>2285143</wp:posOffset>
                </wp:positionV>
                <wp:extent cx="393404" cy="0"/>
                <wp:effectExtent l="0" t="0" r="26035" b="19050"/>
                <wp:wrapNone/>
                <wp:docPr id="4" name="Connecteur droit 4"/>
                <wp:cNvGraphicFramePr/>
                <a:graphic xmlns:a="http://schemas.openxmlformats.org/drawingml/2006/main">
                  <a:graphicData uri="http://schemas.microsoft.com/office/word/2010/wordprocessingShape">
                    <wps:wsp>
                      <wps:cNvCnPr/>
                      <wps:spPr>
                        <a:xfrm flipV="1">
                          <a:off x="0" y="0"/>
                          <a:ext cx="393404"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F996D8E" id="Connecteur droit 4" o:spid="_x0000_s1026" style="position:absolute;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5pt,179.95pt" to="472.5pt,17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" strokecolor="#5b9bd5 [3204]" strokeweight=".5pt">
                <v:stroke joinstyle="miter"/>
              </v:line>
            </w:pict>
          </mc:Fallback>
        </mc:AlternateContent>
      </w:r>
      <w:r w:rsidR="0000782E">
        <w:rPr>
          <w:lang w:val="en-US"/>
        </w:rPr>
        <mc:AlternateContent>
          <mc:Choice Requires="wps">
            <w:drawing>
              <wp:anchor distT="4294967295" distB="4294967295" distL="114300" distR="114300" simplePos="0" relativeHeight="251680768" behindDoc="0" locked="0" layoutInCell="1" allowOverlap="1" wp14:anchorId="155AA6AE" wp14:editId="4F96934C">
                <wp:simplePos x="0" y="0"/>
                <wp:positionH relativeFrom="page">
                  <wp:posOffset>6507125</wp:posOffset>
                </wp:positionH>
                <wp:positionV relativeFrom="page">
                  <wp:posOffset>5932495</wp:posOffset>
                </wp:positionV>
                <wp:extent cx="414212" cy="0"/>
                <wp:effectExtent l="0" t="0" r="24130" b="19050"/>
                <wp:wrapNone/>
                <wp:docPr id="37" name="Connecteur droit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14212"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28D148" id="Connecteur droit 37"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512.35pt,467.15pt" to="544.95pt,46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" strokecolor="#5b9bd5" strokeweight=".5pt">
                <v:stroke joinstyle="miter"/>
                <o:lock v:ext="edit" shapetype="f"/>
                <w10:wrap anchorx="page" anchory="page"/>
              </v:line>
            </w:pict>
          </mc:Fallback>
        </mc:AlternateContent>
      </w:r>
      <w:r w:rsidR="00226C27">
        <w:rPr>
          <w:lang w:val="en-US"/>
        </w:rPr>
        <mc:AlternateContent>
          <mc:Choice Requires="wps">
            <w:drawing>
              <wp:anchor distT="4294967295" distB="4294967295" distL="114300" distR="114300" simplePos="0" relativeHeight="251677696" behindDoc="0" locked="0" layoutInCell="1" allowOverlap="1" wp14:anchorId="0AE82783" wp14:editId="02F41E2F">
                <wp:simplePos x="0" y="0"/>
                <wp:positionH relativeFrom="page">
                  <wp:posOffset>2391601</wp:posOffset>
                </wp:positionH>
                <wp:positionV relativeFrom="page">
                  <wp:posOffset>8282763</wp:posOffset>
                </wp:positionV>
                <wp:extent cx="235468" cy="0"/>
                <wp:effectExtent l="0" t="0" r="12700" b="19050"/>
                <wp:wrapNone/>
                <wp:docPr id="36" name="Connecteur droit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35468"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F03BA2" id="Connecteur droit 36" o:spid="_x0000_s1026" style="position:absolute;flip:x;z-index:2516776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188.3pt,652.2pt" to="206.85pt,6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" strokecolor="#5b9bd5" strokeweight=".5pt">
                <v:stroke joinstyle="miter"/>
                <o:lock v:ext="edit" shapetype="f"/>
                <w10:wrap anchorx="page" anchory="page"/>
              </v:line>
            </w:pict>
          </mc:Fallback>
        </mc:AlternateContent>
      </w:r>
      <w:r w:rsidR="003031A2">
        <w:rPr>
          <w:lang w:val="en-US"/>
        </w:rPr>
        <mc:AlternateContent>
          <mc:Choice Requires="wps">
            <w:drawing>
              <wp:anchor distT="0" distB="0" distL="114300" distR="114300" simplePos="0" relativeHeight="251668480" behindDoc="0" locked="0" layoutInCell="1" allowOverlap="1" wp14:anchorId="00459DD9" wp14:editId="5EEBC64D">
                <wp:simplePos x="0" y="0"/>
                <wp:positionH relativeFrom="column">
                  <wp:posOffset>-73660</wp:posOffset>
                </wp:positionH>
                <wp:positionV relativeFrom="paragraph">
                  <wp:posOffset>5670550</wp:posOffset>
                </wp:positionV>
                <wp:extent cx="1578610" cy="1560195"/>
                <wp:effectExtent l="0" t="0" r="21590" b="20955"/>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8610" cy="1560195"/>
                        </a:xfrm>
                        <a:prstGeom prst="rect">
                          <a:avLst/>
                        </a:prstGeom>
                        <a:solidFill>
                          <a:sysClr val="window" lastClr="FFFFFF"/>
                        </a:solidFill>
                        <a:ln w="12700" cap="flat" cmpd="sng" algn="ctr">
                          <a:solidFill>
                            <a:srgbClr val="5B9BD5"/>
                          </a:solidFill>
                          <a:prstDash val="solid"/>
                          <a:miter lim="800000"/>
                        </a:ln>
                        <a:effectLst/>
                      </wps:spPr>
                      <wps:txbx>
                        <w:txbxContent>
                          <w:p w14:paraId="35A8B2FA" w14:textId="77777777" w:rsidR="00433F84" w:rsidRPr="00E86829" w:rsidRDefault="00433F84" w:rsidP="003031A2">
                            <w:pPr>
                              <w:jc w:val="both"/>
                              <w:rPr>
                                <w:sz w:val="16"/>
                                <w:szCs w:val="16"/>
                              </w:rPr>
                            </w:pPr>
                            <w:r w:rsidRPr="00E86829">
                              <w:rPr>
                                <w:sz w:val="16"/>
                                <w:szCs w:val="16"/>
                              </w:rPr>
                              <w:t>Effet 3. D’ici à 2021, les populations vulnérables incluant les refugiés, dans les zones ciblées , utilisent de manière accrue et durable les services d’approvisionnement en eau potable, assurent un meilleur assainissement et adoptent des bonnes pratiques d’hygiène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459DD9" id="Rectangle 43" o:spid="_x0000_s1029" style="position:absolute;margin-left:-5.8pt;margin-top:446.5pt;width:124.3pt;height:122.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" fillcolor="window" strokecolor="#5b9bd5" strokeweight="1pt">
                <v:path arrowok="t"/>
                <v:textbox>
                  <w:txbxContent>
                    <w:p w14:paraId="35A8B2FA" w14:textId="77777777" w:rsidR="00433F84" w:rsidRPr="00E86829" w:rsidRDefault="00433F84" w:rsidP="003031A2">
                      <w:pPr>
                        <w:jc w:val="both"/>
                        <w:rPr>
                          <w:sz w:val="16"/>
                          <w:szCs w:val="16"/>
                        </w:rPr>
                      </w:pPr>
                      <w:r w:rsidRPr="00E86829">
                        <w:rPr>
                          <w:sz w:val="16"/>
                          <w:szCs w:val="16"/>
                        </w:rPr>
                        <w:t>Effet 3. D’ici à 2021, les populations vulnérables incluant les refugiés, dans les zones ciblées , utilisent de manière accrue et durable les services d’approvisionnement en eau potable, assurent un meilleur assainissement et adoptent des bonnes pratiques d’hygiène</w:t>
                      </w:r>
                    </w:p>
                  </w:txbxContent>
                </v:textbox>
              </v:rect>
            </w:pict>
          </mc:Fallback>
        </mc:AlternateContent>
      </w:r>
      <w:r w:rsidR="003031A2">
        <w:rPr>
          <w:lang w:val="en-US"/>
        </w:rPr>
        <mc:AlternateContent>
          <mc:Choice Requires="wps">
            <w:drawing>
              <wp:anchor distT="0" distB="0" distL="114300" distR="114300" simplePos="0" relativeHeight="251664384" behindDoc="0" locked="0" layoutInCell="1" allowOverlap="1" wp14:anchorId="709237EC" wp14:editId="6E09C9B6">
                <wp:simplePos x="0" y="0"/>
                <wp:positionH relativeFrom="column">
                  <wp:posOffset>-80645</wp:posOffset>
                </wp:positionH>
                <wp:positionV relativeFrom="paragraph">
                  <wp:posOffset>1435100</wp:posOffset>
                </wp:positionV>
                <wp:extent cx="1572895" cy="1788160"/>
                <wp:effectExtent l="0" t="0" r="27305" b="21590"/>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1788160"/>
                        </a:xfrm>
                        <a:prstGeom prst="rect">
                          <a:avLst/>
                        </a:prstGeom>
                        <a:solidFill>
                          <a:sysClr val="window" lastClr="FFFFFF"/>
                        </a:solidFill>
                        <a:ln w="12700" cap="flat" cmpd="sng" algn="ctr">
                          <a:solidFill>
                            <a:srgbClr val="5B9BD5"/>
                          </a:solidFill>
                          <a:prstDash val="solid"/>
                          <a:miter lim="800000"/>
                        </a:ln>
                        <a:effectLst/>
                      </wps:spPr>
                      <wps:txbx>
                        <w:txbxContent>
                          <w:p w14:paraId="23E6E130" w14:textId="77777777" w:rsidR="00433F84" w:rsidRPr="00E86829" w:rsidRDefault="00433F84" w:rsidP="003031A2">
                            <w:pPr>
                              <w:jc w:val="both"/>
                              <w:rPr>
                                <w:sz w:val="16"/>
                                <w:szCs w:val="16"/>
                              </w:rPr>
                            </w:pPr>
                            <w:r w:rsidRPr="00E86829">
                              <w:rPr>
                                <w:sz w:val="16"/>
                                <w:szCs w:val="16"/>
                              </w:rPr>
                              <w:t xml:space="preserve">Effet 1. D’ici à fin 2021, les enfants d’âge préscolaire et scolaire, les jeunes et les adultes non alphabétisés les plus vulnérables des deux sexes incluant les refugiés dans les zones ciblées, utilisent davantage des services de qualité d’éducation, de formation professionnelle et  d’alphabétisation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237EC" id="Rectangle 48" o:spid="_x0000_s1030" style="position:absolute;margin-left:-6.35pt;margin-top:113pt;width:123.85pt;height:140.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" fillcolor="window" strokecolor="#5b9bd5" strokeweight="1pt">
                <v:path arrowok="t"/>
                <v:textbox>
                  <w:txbxContent>
                    <w:p w14:paraId="23E6E130" w14:textId="77777777" w:rsidR="00433F84" w:rsidRPr="00E86829" w:rsidRDefault="00433F84" w:rsidP="003031A2">
                      <w:pPr>
                        <w:jc w:val="both"/>
                        <w:rPr>
                          <w:sz w:val="16"/>
                          <w:szCs w:val="16"/>
                        </w:rPr>
                      </w:pPr>
                      <w:r w:rsidRPr="00E86829">
                        <w:rPr>
                          <w:sz w:val="16"/>
                          <w:szCs w:val="16"/>
                        </w:rPr>
                        <w:t xml:space="preserve">Effet 1. D’ici à fin 2021, les enfants d’âge préscolaire et scolaire, les jeunes et les adultes non alphabétisés les plus vulnérables des deux sexes incluant les refugiés dans les zones ciblées, utilisent davantage des services de qualité d’éducation, de formation professionnelle et  d’alphabétisation  </w:t>
                      </w:r>
                    </w:p>
                  </w:txbxContent>
                </v:textbox>
              </v:rect>
            </w:pict>
          </mc:Fallback>
        </mc:AlternateContent>
      </w:r>
      <w:r w:rsidR="003031A2">
        <w:rPr>
          <w:lang w:val="en-US"/>
        </w:rPr>
        <mc:AlternateContent>
          <mc:Choice Requires="wps">
            <w:drawing>
              <wp:anchor distT="0" distB="0" distL="114300" distR="114300" simplePos="0" relativeHeight="251665408" behindDoc="0" locked="0" layoutInCell="1" allowOverlap="1" wp14:anchorId="347839E8" wp14:editId="723B21BE">
                <wp:simplePos x="0" y="0"/>
                <wp:positionH relativeFrom="column">
                  <wp:posOffset>-73660</wp:posOffset>
                </wp:positionH>
                <wp:positionV relativeFrom="paragraph">
                  <wp:posOffset>3574415</wp:posOffset>
                </wp:positionV>
                <wp:extent cx="1579245" cy="1939290"/>
                <wp:effectExtent l="0" t="0" r="20955" b="2286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9245" cy="1939290"/>
                        </a:xfrm>
                        <a:prstGeom prst="rect">
                          <a:avLst/>
                        </a:prstGeom>
                        <a:solidFill>
                          <a:sysClr val="window" lastClr="FFFFFF"/>
                        </a:solidFill>
                        <a:ln w="12700" cap="flat" cmpd="sng" algn="ctr">
                          <a:solidFill>
                            <a:srgbClr val="5B9BD5"/>
                          </a:solidFill>
                          <a:prstDash val="solid"/>
                          <a:miter lim="800000"/>
                        </a:ln>
                        <a:effectLst/>
                      </wps:spPr>
                      <wps:txbx>
                        <w:txbxContent>
                          <w:p w14:paraId="6B59A309" w14:textId="77777777" w:rsidR="00433F84" w:rsidRPr="00E86829" w:rsidRDefault="00433F84" w:rsidP="003031A2">
                            <w:pPr>
                              <w:jc w:val="both"/>
                              <w:rPr>
                                <w:sz w:val="16"/>
                                <w:szCs w:val="16"/>
                              </w:rPr>
                            </w:pPr>
                            <w:r w:rsidRPr="00E86829">
                              <w:rPr>
                                <w:sz w:val="16"/>
                                <w:szCs w:val="16"/>
                              </w:rPr>
                              <w:t>Effet 2. D’ici à fin 2021, les populations les plus vulnérables dont les femmes, adolescent(e)s et enfants de moins de cinq ans, incluant les refugiés dans les zones ciblées, utilisent davantage les services intégrés de qualité de santé, nutrition et de bonnes pratiques d’alimentation, de prévention et traitement des maladies prioritaires notamment le VIH et le paludisme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7839E8" id="Rectangle 45" o:spid="_x0000_s1031" style="position:absolute;margin-left:-5.8pt;margin-top:281.45pt;width:124.35pt;height:15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" fillcolor="window" strokecolor="#5b9bd5" strokeweight="1pt">
                <v:path arrowok="t"/>
                <v:textbox>
                  <w:txbxContent>
                    <w:p w14:paraId="6B59A309" w14:textId="77777777" w:rsidR="00433F84" w:rsidRPr="00E86829" w:rsidRDefault="00433F84" w:rsidP="003031A2">
                      <w:pPr>
                        <w:jc w:val="both"/>
                        <w:rPr>
                          <w:sz w:val="16"/>
                          <w:szCs w:val="16"/>
                        </w:rPr>
                      </w:pPr>
                      <w:r w:rsidRPr="00E86829">
                        <w:rPr>
                          <w:sz w:val="16"/>
                          <w:szCs w:val="16"/>
                        </w:rPr>
                        <w:t>Effet 2. D’ici à fin 2021, les populations les plus vulnérables dont les femmes, adolescent(e)s et enfants de moins de cinq ans, incluant les refugiés dans les zones ciblées, utilisent davantage les services intégrés de qualité de santé, nutrition et de bonnes pratiques d’alimentation, de prévention et traitement des maladies prioritaires notamment le VIH et le paludisme</w:t>
                      </w:r>
                    </w:p>
                  </w:txbxContent>
                </v:textbox>
              </v:rect>
            </w:pict>
          </mc:Fallback>
        </mc:AlternateContent>
      </w:r>
      <w:r w:rsidR="003031A2">
        <w:rPr>
          <w:lang w:val="en-US"/>
        </w:rPr>
        <mc:AlternateContent>
          <mc:Choice Requires="wps">
            <w:drawing>
              <wp:anchor distT="0" distB="0" distL="114300" distR="114300" simplePos="0" relativeHeight="251679744" behindDoc="0" locked="0" layoutInCell="1" allowOverlap="1" wp14:anchorId="03525A78" wp14:editId="1EF222D6">
                <wp:simplePos x="0" y="0"/>
                <wp:positionH relativeFrom="margin">
                  <wp:posOffset>4004310</wp:posOffset>
                </wp:positionH>
                <wp:positionV relativeFrom="paragraph">
                  <wp:posOffset>3223260</wp:posOffset>
                </wp:positionV>
                <wp:extent cx="1583690" cy="1359535"/>
                <wp:effectExtent l="0" t="0" r="16510" b="1206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1359535"/>
                        </a:xfrm>
                        <a:prstGeom prst="rect">
                          <a:avLst/>
                        </a:prstGeom>
                        <a:solidFill>
                          <a:sysClr val="window" lastClr="FFFFFF"/>
                        </a:solidFill>
                        <a:ln w="12700" cap="flat" cmpd="sng" algn="ctr">
                          <a:solidFill>
                            <a:srgbClr val="5B9BD5"/>
                          </a:solidFill>
                          <a:prstDash val="solid"/>
                          <a:miter lim="800000"/>
                        </a:ln>
                        <a:effectLst/>
                      </wps:spPr>
                      <wps:txbx>
                        <w:txbxContent>
                          <w:p w14:paraId="68D07DBD" w14:textId="77777777" w:rsidR="00433F84" w:rsidRPr="00E86829" w:rsidRDefault="00433F84" w:rsidP="003031A2">
                            <w:pPr>
                              <w:jc w:val="center"/>
                              <w:rPr>
                                <w:sz w:val="16"/>
                                <w:szCs w:val="16"/>
                              </w:rPr>
                            </w:pPr>
                            <w:r w:rsidRPr="00E86829">
                              <w:rPr>
                                <w:sz w:val="16"/>
                                <w:szCs w:val="16"/>
                              </w:rPr>
                              <w:t>Effet 7. D’ici à fin 2021, l’Etat met en œuvre une politique nationale de développement impulsant une croissance inclusive engendrant la création d'emplois et d'opportunités notamment en faveur des jeunes et des femmes y compris les réfugiés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525A78" id="Rectangle 53" o:spid="_x0000_s1032" style="position:absolute;margin-left:315.3pt;margin-top:253.8pt;width:124.7pt;height:107.0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" fillcolor="window" strokecolor="#5b9bd5" strokeweight="1pt">
                <v:path arrowok="t"/>
                <v:textbox>
                  <w:txbxContent>
                    <w:p w14:paraId="68D07DBD" w14:textId="77777777" w:rsidR="00433F84" w:rsidRPr="00E86829" w:rsidRDefault="00433F84" w:rsidP="003031A2">
                      <w:pPr>
                        <w:jc w:val="center"/>
                        <w:rPr>
                          <w:sz w:val="16"/>
                          <w:szCs w:val="16"/>
                        </w:rPr>
                      </w:pPr>
                      <w:r w:rsidRPr="00E86829">
                        <w:rPr>
                          <w:sz w:val="16"/>
                          <w:szCs w:val="16"/>
                        </w:rPr>
                        <w:t>Effet 7. D’ici à fin 2021, l’Etat met en œuvre une politique nationale de développement impulsant une croissance inclusive engendrant la création d'emplois et d'opportunités notamment en faveur des jeunes et des femmes y compris les réfugiés</w:t>
                      </w:r>
                    </w:p>
                  </w:txbxContent>
                </v:textbox>
                <w10:wrap anchorx="margin"/>
              </v:rect>
            </w:pict>
          </mc:Fallback>
        </mc:AlternateContent>
      </w:r>
      <w:r w:rsidR="003031A2">
        <w:rPr>
          <w:lang w:val="en-US"/>
        </w:rPr>
        <mc:AlternateContent>
          <mc:Choice Requires="wps">
            <w:drawing>
              <wp:anchor distT="0" distB="0" distL="114300" distR="114300" simplePos="0" relativeHeight="251671552" behindDoc="0" locked="0" layoutInCell="1" allowOverlap="1" wp14:anchorId="0EEB3C81" wp14:editId="704887A7">
                <wp:simplePos x="0" y="0"/>
                <wp:positionH relativeFrom="margin">
                  <wp:posOffset>4004310</wp:posOffset>
                </wp:positionH>
                <wp:positionV relativeFrom="paragraph">
                  <wp:posOffset>1470660</wp:posOffset>
                </wp:positionV>
                <wp:extent cx="1583690" cy="1639570"/>
                <wp:effectExtent l="0" t="0" r="16510" b="17780"/>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1639570"/>
                        </a:xfrm>
                        <a:prstGeom prst="rect">
                          <a:avLst/>
                        </a:prstGeom>
                        <a:solidFill>
                          <a:sysClr val="window" lastClr="FFFFFF"/>
                        </a:solidFill>
                        <a:ln w="12700" cap="flat" cmpd="sng" algn="ctr">
                          <a:solidFill>
                            <a:srgbClr val="5B9BD5"/>
                          </a:solidFill>
                          <a:prstDash val="solid"/>
                          <a:miter lim="800000"/>
                        </a:ln>
                        <a:effectLst/>
                      </wps:spPr>
                      <wps:txbx>
                        <w:txbxContent>
                          <w:p w14:paraId="12C5C816" w14:textId="77777777" w:rsidR="00433F84" w:rsidRPr="00E86829" w:rsidRDefault="00433F84" w:rsidP="003031A2">
                            <w:pPr>
                              <w:jc w:val="center"/>
                              <w:rPr>
                                <w:sz w:val="16"/>
                                <w:szCs w:val="16"/>
                              </w:rPr>
                            </w:pPr>
                            <w:r w:rsidRPr="00E86829">
                              <w:rPr>
                                <w:sz w:val="16"/>
                                <w:szCs w:val="16"/>
                              </w:rPr>
                              <w:t>Effet 6. D’ici à fin 2021, les institutions nationales et locales appliquent davantage les bonnes pratiques de gouvernance inclusive, promouvant la démocratie, l’Etat de droit, la cohésion sociale et l’utilisation équitable des services publics de qualité, y compris pour les réfugiés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B3C81" id="Rectangle 46" o:spid="_x0000_s1033" style="position:absolute;margin-left:315.3pt;margin-top:115.8pt;width:124.7pt;height:129.1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" fillcolor="window" strokecolor="#5b9bd5" strokeweight="1pt">
                <v:path arrowok="t"/>
                <v:textbox>
                  <w:txbxContent>
                    <w:p w14:paraId="12C5C816" w14:textId="77777777" w:rsidR="00433F84" w:rsidRPr="00E86829" w:rsidRDefault="00433F84" w:rsidP="003031A2">
                      <w:pPr>
                        <w:jc w:val="center"/>
                        <w:rPr>
                          <w:sz w:val="16"/>
                          <w:szCs w:val="16"/>
                        </w:rPr>
                      </w:pPr>
                      <w:r w:rsidRPr="00E86829">
                        <w:rPr>
                          <w:sz w:val="16"/>
                          <w:szCs w:val="16"/>
                        </w:rPr>
                        <w:t>Effet 6. D’ici à fin 2021, les institutions nationales et locales appliquent davantage les bonnes pratiques de gouvernance inclusive, promouvant la démocratie, l’Etat de droit, la cohésion sociale et l’utilisation équitable des services publics de qualité, y compris pour les réfugiés</w:t>
                      </w:r>
                    </w:p>
                  </w:txbxContent>
                </v:textbox>
                <w10:wrap anchorx="margin"/>
              </v:rect>
            </w:pict>
          </mc:Fallback>
        </mc:AlternateContent>
      </w:r>
      <w:r w:rsidR="003031A2">
        <w:rPr>
          <w:lang w:val="en-US"/>
        </w:rPr>
        <mc:AlternateContent>
          <mc:Choice Requires="wps">
            <w:drawing>
              <wp:anchor distT="0" distB="0" distL="114300" distR="114300" simplePos="0" relativeHeight="251666432" behindDoc="0" locked="0" layoutInCell="1" allowOverlap="1" wp14:anchorId="2B7DD4D5" wp14:editId="1DABC14B">
                <wp:simplePos x="0" y="0"/>
                <wp:positionH relativeFrom="margin">
                  <wp:posOffset>1953260</wp:posOffset>
                </wp:positionH>
                <wp:positionV relativeFrom="paragraph">
                  <wp:posOffset>600710</wp:posOffset>
                </wp:positionV>
                <wp:extent cx="1583690" cy="784860"/>
                <wp:effectExtent l="0" t="0" r="16510" b="15240"/>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784860"/>
                        </a:xfrm>
                        <a:prstGeom prst="rect">
                          <a:avLst/>
                        </a:prstGeom>
                        <a:solidFill>
                          <a:sysClr val="window" lastClr="FFFFFF"/>
                        </a:solidFill>
                        <a:ln w="12700" cap="flat" cmpd="sng" algn="ctr">
                          <a:solidFill>
                            <a:srgbClr val="5B9BD5"/>
                          </a:solidFill>
                          <a:prstDash val="solid"/>
                          <a:miter lim="800000"/>
                        </a:ln>
                        <a:effectLst/>
                      </wps:spPr>
                      <wps:txbx>
                        <w:txbxContent>
                          <w:p w14:paraId="4A94EE70" w14:textId="16635B98" w:rsidR="00433F84" w:rsidRPr="00862219" w:rsidRDefault="00433F84" w:rsidP="003031A2">
                            <w:pPr>
                              <w:spacing w:line="240" w:lineRule="auto"/>
                              <w:jc w:val="center"/>
                              <w:rPr>
                                <w:color w:val="9CC2E5"/>
                              </w:rPr>
                            </w:pPr>
                            <w:r>
                              <w:rPr>
                                <w:color w:val="9CC2E5"/>
                                <w:szCs w:val="26"/>
                              </w:rPr>
                              <w:t>RS</w:t>
                            </w:r>
                            <w:r w:rsidRPr="00862219">
                              <w:rPr>
                                <w:color w:val="9CC2E5"/>
                                <w:szCs w:val="26"/>
                              </w:rPr>
                              <w:t>2.</w:t>
                            </w:r>
                            <w:r w:rsidRPr="00862219">
                              <w:rPr>
                                <w:color w:val="9CC2E5"/>
                              </w:rPr>
                              <w:t>Protection sociale, Gestion des Crises</w:t>
                            </w:r>
                            <w:r w:rsidRPr="00862219">
                              <w:rPr>
                                <w:color w:val="9CC2E5"/>
                                <w:sz w:val="24"/>
                              </w:rPr>
                              <w:t xml:space="preserve"> </w:t>
                            </w:r>
                            <w:r w:rsidRPr="00862219">
                              <w:rPr>
                                <w:color w:val="9CC2E5"/>
                                <w:sz w:val="16"/>
                              </w:rPr>
                              <w:t>et Durabilité</w:t>
                            </w:r>
                          </w:p>
                          <w:p w14:paraId="4E8C11C8" w14:textId="77777777" w:rsidR="00433F84" w:rsidRPr="005B73BB" w:rsidRDefault="00433F84" w:rsidP="003031A2">
                            <w:pPr>
                              <w:jc w:val="center"/>
                              <w:rPr>
                                <w:sz w:val="1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7DD4D5" id="Rectangle 50" o:spid="_x0000_s1034" style="position:absolute;margin-left:153.8pt;margin-top:47.3pt;width:124.7pt;height:61.8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" fillcolor="window" strokecolor="#5b9bd5" strokeweight="1pt">
                <v:path arrowok="t"/>
                <v:textbox>
                  <w:txbxContent>
                    <w:p w14:paraId="4A94EE70" w14:textId="16635B98" w:rsidR="00433F84" w:rsidRPr="00862219" w:rsidRDefault="00433F84" w:rsidP="003031A2">
                      <w:pPr>
                        <w:spacing w:line="240" w:lineRule="auto"/>
                        <w:jc w:val="center"/>
                        <w:rPr>
                          <w:color w:val="9CC2E5"/>
                        </w:rPr>
                      </w:pPr>
                      <w:r>
                        <w:rPr>
                          <w:color w:val="9CC2E5"/>
                          <w:szCs w:val="26"/>
                        </w:rPr>
                        <w:t>RS</w:t>
                      </w:r>
                      <w:r w:rsidRPr="00862219">
                        <w:rPr>
                          <w:color w:val="9CC2E5"/>
                          <w:szCs w:val="26"/>
                        </w:rPr>
                        <w:t>2.</w:t>
                      </w:r>
                      <w:r w:rsidRPr="00862219">
                        <w:rPr>
                          <w:color w:val="9CC2E5"/>
                        </w:rPr>
                        <w:t>Protection sociale, Gestion des Crises</w:t>
                      </w:r>
                      <w:r w:rsidRPr="00862219">
                        <w:rPr>
                          <w:color w:val="9CC2E5"/>
                          <w:sz w:val="24"/>
                        </w:rPr>
                        <w:t xml:space="preserve"> </w:t>
                      </w:r>
                      <w:r w:rsidRPr="00862219">
                        <w:rPr>
                          <w:color w:val="9CC2E5"/>
                          <w:sz w:val="16"/>
                        </w:rPr>
                        <w:t>et Durabilité</w:t>
                      </w:r>
                    </w:p>
                    <w:p w14:paraId="4E8C11C8" w14:textId="77777777" w:rsidR="00433F84" w:rsidRPr="005B73BB" w:rsidRDefault="00433F84" w:rsidP="003031A2">
                      <w:pPr>
                        <w:jc w:val="center"/>
                        <w:rPr>
                          <w:sz w:val="10"/>
                          <w:szCs w:val="18"/>
                        </w:rPr>
                      </w:pPr>
                    </w:p>
                  </w:txbxContent>
                </v:textbox>
                <w10:wrap anchorx="margin"/>
              </v:rect>
            </w:pict>
          </mc:Fallback>
        </mc:AlternateContent>
      </w:r>
      <w:r w:rsidR="003031A2">
        <w:rPr>
          <w:lang w:val="en-US"/>
        </w:rPr>
        <mc:AlternateContent>
          <mc:Choice Requires="wps">
            <w:drawing>
              <wp:anchor distT="0" distB="0" distL="114300" distR="114300" simplePos="0" relativeHeight="251678720" behindDoc="0" locked="0" layoutInCell="1" allowOverlap="1" wp14:anchorId="44A6323F" wp14:editId="3B787F86">
                <wp:simplePos x="0" y="0"/>
                <wp:positionH relativeFrom="column">
                  <wp:posOffset>3869055</wp:posOffset>
                </wp:positionH>
                <wp:positionV relativeFrom="paragraph">
                  <wp:posOffset>582295</wp:posOffset>
                </wp:positionV>
                <wp:extent cx="19050" cy="2381250"/>
                <wp:effectExtent l="0" t="0" r="19050" b="1905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9050" cy="23812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2D8F1A5" id="Connecteur droit 41" o:spid="_x0000_s1026" style="position:absolute;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4.65pt,45.85pt" to="306.15pt,23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" strokecolor="#5b9bd5" strokeweight=".5pt">
                <v:stroke joinstyle="miter"/>
                <o:lock v:ext="edit" shapetype="f"/>
              </v:line>
            </w:pict>
          </mc:Fallback>
        </mc:AlternateContent>
      </w:r>
      <w:r w:rsidR="003031A2">
        <w:rPr>
          <w:lang w:val="en-US"/>
        </w:rPr>
        <mc:AlternateContent>
          <mc:Choice Requires="wps">
            <w:drawing>
              <wp:anchor distT="0" distB="0" distL="114300" distR="114300" simplePos="0" relativeHeight="251670528" behindDoc="0" locked="0" layoutInCell="1" allowOverlap="1" wp14:anchorId="36E27C38" wp14:editId="1381D9C8">
                <wp:simplePos x="0" y="0"/>
                <wp:positionH relativeFrom="margin">
                  <wp:posOffset>3986530</wp:posOffset>
                </wp:positionH>
                <wp:positionV relativeFrom="paragraph">
                  <wp:posOffset>627380</wp:posOffset>
                </wp:positionV>
                <wp:extent cx="1583690" cy="756285"/>
                <wp:effectExtent l="0" t="0" r="16510" b="2476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83690" cy="756285"/>
                        </a:xfrm>
                        <a:prstGeom prst="rect">
                          <a:avLst/>
                        </a:prstGeom>
                        <a:solidFill>
                          <a:sysClr val="window" lastClr="FFFFFF"/>
                        </a:solidFill>
                        <a:ln w="12700" cap="flat" cmpd="sng" algn="ctr">
                          <a:solidFill>
                            <a:srgbClr val="5B9BD5"/>
                          </a:solidFill>
                          <a:prstDash val="solid"/>
                          <a:miter lim="800000"/>
                        </a:ln>
                        <a:effectLst/>
                      </wps:spPr>
                      <wps:txbx>
                        <w:txbxContent>
                          <w:p w14:paraId="6E93105A" w14:textId="0DFC477A" w:rsidR="00433F84" w:rsidRPr="00862219" w:rsidRDefault="00433F84" w:rsidP="003031A2">
                            <w:pPr>
                              <w:spacing w:line="240" w:lineRule="auto"/>
                              <w:jc w:val="center"/>
                              <w:rPr>
                                <w:color w:val="9CC2E5"/>
                                <w:szCs w:val="26"/>
                              </w:rPr>
                            </w:pPr>
                            <w:r>
                              <w:rPr>
                                <w:color w:val="9CC2E5"/>
                                <w:szCs w:val="26"/>
                              </w:rPr>
                              <w:t>RS</w:t>
                            </w:r>
                            <w:r w:rsidRPr="00862219">
                              <w:rPr>
                                <w:color w:val="9CC2E5"/>
                                <w:szCs w:val="26"/>
                              </w:rPr>
                              <w:t>3.Gouvernance, Paix et Sécurité</w:t>
                            </w:r>
                          </w:p>
                          <w:p w14:paraId="1AE73FB6" w14:textId="77777777" w:rsidR="00433F84" w:rsidRPr="005B73BB" w:rsidRDefault="00433F84" w:rsidP="003031A2">
                            <w:pPr>
                              <w:jc w:val="center"/>
                              <w:rPr>
                                <w:sz w:val="10"/>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27C38" id="Rectangle 49" o:spid="_x0000_s1035" style="position:absolute;margin-left:313.9pt;margin-top:49.4pt;width:124.7pt;height:59.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" fillcolor="window" strokecolor="#5b9bd5" strokeweight="1pt">
                <v:path arrowok="t"/>
                <v:textbox>
                  <w:txbxContent>
                    <w:p w14:paraId="6E93105A" w14:textId="0DFC477A" w:rsidR="00433F84" w:rsidRPr="00862219" w:rsidRDefault="00433F84" w:rsidP="003031A2">
                      <w:pPr>
                        <w:spacing w:line="240" w:lineRule="auto"/>
                        <w:jc w:val="center"/>
                        <w:rPr>
                          <w:color w:val="9CC2E5"/>
                          <w:szCs w:val="26"/>
                        </w:rPr>
                      </w:pPr>
                      <w:r>
                        <w:rPr>
                          <w:color w:val="9CC2E5"/>
                          <w:szCs w:val="26"/>
                        </w:rPr>
                        <w:t>RS</w:t>
                      </w:r>
                      <w:r w:rsidRPr="00862219">
                        <w:rPr>
                          <w:color w:val="9CC2E5"/>
                          <w:szCs w:val="26"/>
                        </w:rPr>
                        <w:t>3.Gouvernance, Paix et Sécurité</w:t>
                      </w:r>
                    </w:p>
                    <w:p w14:paraId="1AE73FB6" w14:textId="77777777" w:rsidR="00433F84" w:rsidRPr="005B73BB" w:rsidRDefault="00433F84" w:rsidP="003031A2">
                      <w:pPr>
                        <w:jc w:val="center"/>
                        <w:rPr>
                          <w:sz w:val="10"/>
                          <w:szCs w:val="18"/>
                        </w:rPr>
                      </w:pPr>
                    </w:p>
                  </w:txbxContent>
                </v:textbox>
                <w10:wrap anchorx="margin"/>
              </v:rect>
            </w:pict>
          </mc:Fallback>
        </mc:AlternateContent>
      </w:r>
      <w:r w:rsidR="003031A2">
        <w:rPr>
          <w:lang w:val="en-US"/>
        </w:rPr>
        <mc:AlternateContent>
          <mc:Choice Requires="wps">
            <w:drawing>
              <wp:anchor distT="4294967295" distB="4294967295" distL="114300" distR="114300" simplePos="0" relativeHeight="251673600" behindDoc="0" locked="0" layoutInCell="1" allowOverlap="1" wp14:anchorId="29C44850" wp14:editId="790896B8">
                <wp:simplePos x="0" y="0"/>
                <wp:positionH relativeFrom="column">
                  <wp:posOffset>1480820</wp:posOffset>
                </wp:positionH>
                <wp:positionV relativeFrom="paragraph">
                  <wp:posOffset>1945639</wp:posOffset>
                </wp:positionV>
                <wp:extent cx="207645" cy="0"/>
                <wp:effectExtent l="0" t="0" r="20955" b="19050"/>
                <wp:wrapNone/>
                <wp:docPr id="56" name="Connecteur droit 5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7645"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99B6A9F" id="Connecteur droit 56" o:spid="_x0000_s1026" style="position:absolute;z-index:2516736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116.6pt,153.2pt" to="132.95pt,15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" strokecolor="#5b9bd5" strokeweight=".5pt">
                <v:stroke joinstyle="miter"/>
                <o:lock v:ext="edit" shapetype="f"/>
              </v:line>
            </w:pict>
          </mc:Fallback>
        </mc:AlternateContent>
      </w:r>
      <w:r w:rsidR="003031A2">
        <w:rPr>
          <w:lang w:val="en-US"/>
        </w:rPr>
        <mc:AlternateContent>
          <mc:Choice Requires="wps">
            <w:drawing>
              <wp:anchor distT="0" distB="0" distL="114300" distR="114300" simplePos="0" relativeHeight="251663360" behindDoc="0" locked="0" layoutInCell="1" allowOverlap="1" wp14:anchorId="6A16E1FA" wp14:editId="4C0E0822">
                <wp:simplePos x="0" y="0"/>
                <wp:positionH relativeFrom="column">
                  <wp:posOffset>-80645</wp:posOffset>
                </wp:positionH>
                <wp:positionV relativeFrom="paragraph">
                  <wp:posOffset>615950</wp:posOffset>
                </wp:positionV>
                <wp:extent cx="1572895" cy="730250"/>
                <wp:effectExtent l="0" t="0" r="27305" b="12700"/>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72895" cy="730250"/>
                        </a:xfrm>
                        <a:prstGeom prst="rect">
                          <a:avLst/>
                        </a:prstGeom>
                        <a:solidFill>
                          <a:sysClr val="window" lastClr="FFFFFF"/>
                        </a:solidFill>
                        <a:ln w="12700" cap="flat" cmpd="sng" algn="ctr">
                          <a:solidFill>
                            <a:srgbClr val="5B9BD5"/>
                          </a:solidFill>
                          <a:prstDash val="solid"/>
                          <a:miter lim="800000"/>
                        </a:ln>
                        <a:effectLst/>
                      </wps:spPr>
                      <wps:txbx>
                        <w:txbxContent>
                          <w:p w14:paraId="3483FC10" w14:textId="0917D2D9" w:rsidR="00433F84" w:rsidRPr="00862219" w:rsidRDefault="00433F84" w:rsidP="003031A2">
                            <w:pPr>
                              <w:spacing w:line="240" w:lineRule="auto"/>
                              <w:jc w:val="center"/>
                              <w:rPr>
                                <w:color w:val="9CC2E5"/>
                                <w:szCs w:val="26"/>
                              </w:rPr>
                            </w:pPr>
                            <w:r>
                              <w:rPr>
                                <w:color w:val="9CC2E5"/>
                                <w:szCs w:val="26"/>
                              </w:rPr>
                              <w:t>RS</w:t>
                            </w:r>
                            <w:r w:rsidRPr="00862219">
                              <w:rPr>
                                <w:color w:val="9CC2E5"/>
                                <w:szCs w:val="26"/>
                              </w:rPr>
                              <w:t>1. Capital Humain</w:t>
                            </w:r>
                          </w:p>
                          <w:p w14:paraId="4669CE93" w14:textId="77777777" w:rsidR="00433F84" w:rsidRPr="005B73BB" w:rsidRDefault="00433F84" w:rsidP="003031A2">
                            <w:pPr>
                              <w:jc w:val="center"/>
                              <w:rPr>
                                <w:sz w:val="1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16E1FA" id="Rectangle 52" o:spid="_x0000_s1036" style="position:absolute;margin-left:-6.35pt;margin-top:48.5pt;width:123.85pt;height: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" fillcolor="window" strokecolor="#5b9bd5" strokeweight="1pt">
                <v:path arrowok="t"/>
                <v:textbox>
                  <w:txbxContent>
                    <w:p w14:paraId="3483FC10" w14:textId="0917D2D9" w:rsidR="00433F84" w:rsidRPr="00862219" w:rsidRDefault="00433F84" w:rsidP="003031A2">
                      <w:pPr>
                        <w:spacing w:line="240" w:lineRule="auto"/>
                        <w:jc w:val="center"/>
                        <w:rPr>
                          <w:color w:val="9CC2E5"/>
                          <w:szCs w:val="26"/>
                        </w:rPr>
                      </w:pPr>
                      <w:r>
                        <w:rPr>
                          <w:color w:val="9CC2E5"/>
                          <w:szCs w:val="26"/>
                        </w:rPr>
                        <w:t>RS</w:t>
                      </w:r>
                      <w:r w:rsidRPr="00862219">
                        <w:rPr>
                          <w:color w:val="9CC2E5"/>
                          <w:szCs w:val="26"/>
                        </w:rPr>
                        <w:t>1. Capital Humain</w:t>
                      </w:r>
                    </w:p>
                    <w:p w14:paraId="4669CE93" w14:textId="77777777" w:rsidR="00433F84" w:rsidRPr="005B73BB" w:rsidRDefault="00433F84" w:rsidP="003031A2">
                      <w:pPr>
                        <w:jc w:val="center"/>
                        <w:rPr>
                          <w:sz w:val="10"/>
                        </w:rPr>
                      </w:pPr>
                    </w:p>
                  </w:txbxContent>
                </v:textbox>
              </v:rect>
            </w:pict>
          </mc:Fallback>
        </mc:AlternateContent>
      </w:r>
      <w:r w:rsidR="003031A2">
        <w:rPr>
          <w:lang w:val="en-US"/>
        </w:rPr>
        <mc:AlternateContent>
          <mc:Choice Requires="wps">
            <w:drawing>
              <wp:anchor distT="4294967295" distB="4294967295" distL="114300" distR="114300" simplePos="0" relativeHeight="251675648" behindDoc="0" locked="0" layoutInCell="1" allowOverlap="1" wp14:anchorId="07409174" wp14:editId="369EC291">
                <wp:simplePos x="0" y="0"/>
                <wp:positionH relativeFrom="column">
                  <wp:posOffset>3622675</wp:posOffset>
                </wp:positionH>
                <wp:positionV relativeFrom="paragraph">
                  <wp:posOffset>1972309</wp:posOffset>
                </wp:positionV>
                <wp:extent cx="270510" cy="0"/>
                <wp:effectExtent l="0" t="0" r="15240" b="19050"/>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70510" cy="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page">
                  <wp14:pctHeight>0</wp14:pctHeight>
                </wp14:sizeRelV>
              </wp:anchor>
            </w:drawing>
          </mc:Choice>
          <mc:Fallback>
            <w:pict>
              <v:line w14:anchorId="60A1DC96" id="Connecteur droit 40" o:spid="_x0000_s1026" style="position:absolute;flip:x;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285.25pt,155.3pt" to="306.55pt,15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" strokecolor="#5b9bd5" strokeweight=".5pt">
                <v:stroke joinstyle="miter"/>
                <o:lock v:ext="edit" shapetype="f"/>
              </v:line>
            </w:pict>
          </mc:Fallback>
        </mc:AlternateContent>
      </w:r>
      <w:r w:rsidR="003031A2" w:rsidRPr="00DE3AC3">
        <w:rPr>
          <w:rFonts w:ascii="Times New Roman" w:hAnsi="Times New Roman"/>
          <w:szCs w:val="28"/>
        </w:rPr>
        <w:br w:type="page"/>
      </w:r>
    </w:p>
    <w:p w14:paraId="212FD590" w14:textId="0B580E38" w:rsidR="006324E0" w:rsidRDefault="003F2A7A" w:rsidP="00607D5C">
      <w:pPr>
        <w:pStyle w:val="Heading1"/>
        <w:rPr>
          <w:sz w:val="28"/>
        </w:rPr>
      </w:pPr>
      <w:bookmarkStart w:id="38" w:name="_Toc454635270"/>
      <w:bookmarkStart w:id="39" w:name="_Toc455604604"/>
      <w:bookmarkStart w:id="40" w:name="_Toc456889044"/>
      <w:bookmarkStart w:id="41" w:name="_Toc459363407"/>
      <w:r>
        <w:rPr>
          <w:sz w:val="28"/>
        </w:rPr>
        <w:t>2</w:t>
      </w:r>
      <w:r w:rsidR="006324E0" w:rsidRPr="00607D5C">
        <w:rPr>
          <w:sz w:val="28"/>
        </w:rPr>
        <w:t xml:space="preserve">.2. </w:t>
      </w:r>
      <w:r w:rsidR="00231764" w:rsidRPr="00607D5C">
        <w:rPr>
          <w:sz w:val="28"/>
        </w:rPr>
        <w:t>Résultat Stratégique</w:t>
      </w:r>
      <w:r w:rsidR="006324E0" w:rsidRPr="00607D5C">
        <w:rPr>
          <w:sz w:val="28"/>
        </w:rPr>
        <w:t xml:space="preserve"> 1. Développement du Capital Humain</w:t>
      </w:r>
      <w:bookmarkEnd w:id="38"/>
      <w:bookmarkEnd w:id="39"/>
      <w:bookmarkEnd w:id="40"/>
      <w:bookmarkEnd w:id="41"/>
    </w:p>
    <w:p w14:paraId="175F9FCA" w14:textId="77777777" w:rsidR="00DD3A3A" w:rsidRDefault="00DD3A3A" w:rsidP="00DD3A3A"/>
    <w:p w14:paraId="3EECFB13" w14:textId="6475A10B" w:rsidR="00DD3A3A" w:rsidRPr="00FB1232" w:rsidRDefault="00DD3A3A" w:rsidP="00DD3A3A">
      <w:pPr>
        <w:jc w:val="both"/>
        <w:rPr>
          <w:rFonts w:ascii="Times New Roman" w:hAnsi="Times New Roman"/>
          <w:szCs w:val="28"/>
        </w:rPr>
      </w:pPr>
      <w:r w:rsidRPr="00FB1232">
        <w:rPr>
          <w:rFonts w:ascii="Times New Roman" w:hAnsi="Times New Roman"/>
          <w:szCs w:val="28"/>
        </w:rPr>
        <w:t>Les</w:t>
      </w:r>
      <w:r>
        <w:rPr>
          <w:rFonts w:ascii="Times New Roman" w:hAnsi="Times New Roman"/>
          <w:szCs w:val="28"/>
        </w:rPr>
        <w:t xml:space="preserve"> priorités ciblées sont en lien avec les</w:t>
      </w:r>
      <w:r w:rsidRPr="00FB1232">
        <w:rPr>
          <w:rFonts w:ascii="Times New Roman" w:hAnsi="Times New Roman"/>
          <w:szCs w:val="28"/>
        </w:rPr>
        <w:t xml:space="preserve"> orientations stratégiques du gouvernement</w:t>
      </w:r>
      <w:r>
        <w:rPr>
          <w:rFonts w:ascii="Times New Roman" w:hAnsi="Times New Roman"/>
          <w:szCs w:val="28"/>
        </w:rPr>
        <w:t xml:space="preserve"> relatives au pilier III de la Vision 2030 sur le capital humain et la démographie ; et les ODD 2, 3, 4, 5, 6, 8, 10 et 16. Il s’agit notamment de contribuer à augmenter l’utilisation des services d’éducation, de formation professionnelle et d’alphabétisation, de santé, de VIH/SIDA, de nutrition et d’adoption de bonnes pratiques d’alimentation, d’hygiene, d’approvisionnement en eau potable, et d’assainissement. </w:t>
      </w:r>
    </w:p>
    <w:p w14:paraId="583170F5" w14:textId="71289268" w:rsidR="006324E0" w:rsidRPr="00607D5C" w:rsidRDefault="003F2A7A" w:rsidP="006324E0">
      <w:pPr>
        <w:pStyle w:val="Heading2"/>
        <w:jc w:val="left"/>
        <w:rPr>
          <w:color w:val="2E74B5"/>
          <w:sz w:val="24"/>
        </w:rPr>
      </w:pPr>
      <w:bookmarkStart w:id="42" w:name="_Toc454635271"/>
      <w:bookmarkStart w:id="43" w:name="_Toc455604605"/>
      <w:bookmarkStart w:id="44" w:name="_Toc456889045"/>
      <w:bookmarkStart w:id="45" w:name="_Toc459363408"/>
      <w:r>
        <w:rPr>
          <w:color w:val="2E74B5"/>
          <w:sz w:val="24"/>
        </w:rPr>
        <w:t>2</w:t>
      </w:r>
      <w:r w:rsidR="006324E0" w:rsidRPr="00607D5C">
        <w:rPr>
          <w:color w:val="2E74B5"/>
          <w:sz w:val="24"/>
        </w:rPr>
        <w:t>.2.1. Les défis</w:t>
      </w:r>
      <w:bookmarkEnd w:id="42"/>
      <w:bookmarkEnd w:id="43"/>
      <w:bookmarkEnd w:id="44"/>
      <w:bookmarkEnd w:id="45"/>
    </w:p>
    <w:p w14:paraId="7BC74B8E" w14:textId="77777777" w:rsidR="006324E0" w:rsidRDefault="006324E0" w:rsidP="006324E0">
      <w:pPr>
        <w:jc w:val="both"/>
        <w:rPr>
          <w:rFonts w:ascii="Times New Roman" w:hAnsi="Times New Roman"/>
          <w:szCs w:val="28"/>
        </w:rPr>
      </w:pPr>
      <w:r w:rsidRPr="00FC00D7">
        <w:rPr>
          <w:rFonts w:ascii="Times New Roman" w:hAnsi="Times New Roman"/>
          <w:szCs w:val="28"/>
        </w:rPr>
        <w:t>Le</w:t>
      </w:r>
      <w:r>
        <w:rPr>
          <w:rFonts w:ascii="Times New Roman" w:hAnsi="Times New Roman"/>
          <w:szCs w:val="28"/>
        </w:rPr>
        <w:t xml:space="preserve"> diagnostic stratégique entrepris par le gouvernement a permis de mettre en lumière les défis tant structurels que conjoncturels que le pays devra relever pour enclencher une dynamique qui concourre au développement du capital humain. </w:t>
      </w:r>
    </w:p>
    <w:p w14:paraId="6063287D" w14:textId="777A58F3" w:rsidR="00DD3A3A" w:rsidRDefault="00DD3A3A" w:rsidP="00DD3A3A">
      <w:pPr>
        <w:jc w:val="both"/>
        <w:rPr>
          <w:rFonts w:ascii="Times New Roman" w:hAnsi="Times New Roman"/>
        </w:rPr>
      </w:pPr>
      <w:r w:rsidRPr="00050C08">
        <w:rPr>
          <w:rFonts w:ascii="Times New Roman" w:hAnsi="Times New Roman"/>
        </w:rPr>
        <w:t>Dans le secteur de l’éducation, ces défis sont liés à l’atteinte de la couverture universelle de l’éducation</w:t>
      </w:r>
      <w:r>
        <w:rPr>
          <w:rFonts w:ascii="Times New Roman" w:hAnsi="Times New Roman"/>
        </w:rPr>
        <w:t xml:space="preserve"> fondamentale</w:t>
      </w:r>
      <w:r w:rsidRPr="00050C08">
        <w:rPr>
          <w:rFonts w:ascii="Times New Roman" w:hAnsi="Times New Roman"/>
        </w:rPr>
        <w:t>,</w:t>
      </w:r>
      <w:r>
        <w:rPr>
          <w:rFonts w:ascii="Times New Roman" w:hAnsi="Times New Roman"/>
        </w:rPr>
        <w:t xml:space="preserve"> l’amélioration de la qualité de celle-ci ; et le renforcement de l’offre de l’éducation non formelle et de la formation professionnelle. L</w:t>
      </w:r>
      <w:r w:rsidRPr="002D7E3B">
        <w:rPr>
          <w:rFonts w:ascii="Times New Roman" w:hAnsi="Times New Roman"/>
        </w:rPr>
        <w:t xml:space="preserve">e taux net de scolarisation </w:t>
      </w:r>
      <w:r>
        <w:rPr>
          <w:rFonts w:ascii="Times New Roman" w:hAnsi="Times New Roman"/>
        </w:rPr>
        <w:t xml:space="preserve">au primaire </w:t>
      </w:r>
      <w:r w:rsidRPr="002D7E3B">
        <w:rPr>
          <w:rFonts w:ascii="Times New Roman" w:hAnsi="Times New Roman"/>
        </w:rPr>
        <w:t>est resté bas, de l’ordre de 65%</w:t>
      </w:r>
      <w:r>
        <w:rPr>
          <w:rFonts w:ascii="Times New Roman" w:hAnsi="Times New Roman"/>
        </w:rPr>
        <w:t>, surtout au détriment des filles avec un écart de 11 points; c</w:t>
      </w:r>
      <w:r w:rsidRPr="001C4592">
        <w:rPr>
          <w:rFonts w:ascii="Times New Roman" w:hAnsi="Times New Roman"/>
        </w:rPr>
        <w:t>e taux est de 44%</w:t>
      </w:r>
      <w:r>
        <w:rPr>
          <w:rFonts w:ascii="Times New Roman" w:hAnsi="Times New Roman"/>
        </w:rPr>
        <w:t>, pour</w:t>
      </w:r>
      <w:r w:rsidRPr="00E510C2">
        <w:rPr>
          <w:rFonts w:ascii="Times New Roman" w:hAnsi="Times New Roman"/>
        </w:rPr>
        <w:t xml:space="preserve"> </w:t>
      </w:r>
      <w:r>
        <w:rPr>
          <w:rFonts w:ascii="Times New Roman" w:hAnsi="Times New Roman"/>
        </w:rPr>
        <w:t xml:space="preserve">les </w:t>
      </w:r>
      <w:r w:rsidRPr="001C4592">
        <w:rPr>
          <w:rFonts w:ascii="Times New Roman" w:hAnsi="Times New Roman"/>
        </w:rPr>
        <w:t>réfugiés</w:t>
      </w:r>
      <w:r>
        <w:rPr>
          <w:rFonts w:ascii="Times New Roman" w:hAnsi="Times New Roman"/>
        </w:rPr>
        <w:t xml:space="preserve">, en 2015. </w:t>
      </w:r>
      <w:r w:rsidRPr="002D7E3B">
        <w:rPr>
          <w:rFonts w:ascii="Times New Roman" w:hAnsi="Times New Roman"/>
        </w:rPr>
        <w:t>La qualité de l’éducation constitue un défi de taille avec un faible taux d’achèvement (41,4% en 2013</w:t>
      </w:r>
      <w:r>
        <w:rPr>
          <w:rFonts w:ascii="Times New Roman" w:hAnsi="Times New Roman"/>
        </w:rPr>
        <w:t>)</w:t>
      </w:r>
      <w:r w:rsidRPr="002D7E3B">
        <w:rPr>
          <w:rFonts w:ascii="Times New Roman" w:hAnsi="Times New Roman"/>
        </w:rPr>
        <w:t xml:space="preserve">. </w:t>
      </w:r>
      <w:r>
        <w:rPr>
          <w:rFonts w:ascii="Times New Roman" w:hAnsi="Times New Roman"/>
        </w:rPr>
        <w:t>En outre, seulement 27</w:t>
      </w:r>
      <w:r w:rsidRPr="00864FAF">
        <w:rPr>
          <w:rFonts w:ascii="Times New Roman" w:hAnsi="Times New Roman"/>
        </w:rPr>
        <w:t>%</w:t>
      </w:r>
      <w:r w:rsidRPr="00754DAD">
        <w:rPr>
          <w:rFonts w:ascii="Times New Roman" w:hAnsi="Times New Roman"/>
        </w:rPr>
        <w:t xml:space="preserve"> des enseignant</w:t>
      </w:r>
      <w:r>
        <w:rPr>
          <w:rFonts w:ascii="Times New Roman" w:hAnsi="Times New Roman"/>
        </w:rPr>
        <w:t xml:space="preserve">s </w:t>
      </w:r>
      <w:r w:rsidRPr="000E745D">
        <w:rPr>
          <w:rFonts w:ascii="Times New Roman" w:hAnsi="Times New Roman"/>
        </w:rPr>
        <w:t xml:space="preserve">à tous les niveaux scolaires </w:t>
      </w:r>
      <w:r>
        <w:rPr>
          <w:rFonts w:ascii="Times New Roman" w:hAnsi="Times New Roman"/>
        </w:rPr>
        <w:t xml:space="preserve">sont </w:t>
      </w:r>
      <w:r w:rsidRPr="00F1222D">
        <w:rPr>
          <w:rFonts w:ascii="Times New Roman" w:hAnsi="Times New Roman"/>
        </w:rPr>
        <w:t>qualifiés</w:t>
      </w:r>
      <w:r>
        <w:rPr>
          <w:rFonts w:ascii="Times New Roman" w:hAnsi="Times New Roman"/>
        </w:rPr>
        <w:t xml:space="preserve">. </w:t>
      </w:r>
      <w:r w:rsidRPr="002D7E3B">
        <w:rPr>
          <w:rFonts w:ascii="Times New Roman" w:hAnsi="Times New Roman"/>
        </w:rPr>
        <w:t>L’impact des crises et des catastrophes sur les écoles au primaire est</w:t>
      </w:r>
      <w:r>
        <w:rPr>
          <w:rFonts w:ascii="Times New Roman" w:hAnsi="Times New Roman"/>
        </w:rPr>
        <w:t xml:space="preserve"> important et inclut :</w:t>
      </w:r>
      <w:r w:rsidRPr="002D7E3B">
        <w:rPr>
          <w:rFonts w:ascii="Times New Roman" w:hAnsi="Times New Roman"/>
        </w:rPr>
        <w:t xml:space="preserve"> les dommages d</w:t>
      </w:r>
      <w:r>
        <w:rPr>
          <w:rFonts w:ascii="Times New Roman" w:hAnsi="Times New Roman"/>
        </w:rPr>
        <w:t>û</w:t>
      </w:r>
      <w:r w:rsidRPr="002D7E3B">
        <w:rPr>
          <w:rFonts w:ascii="Times New Roman" w:hAnsi="Times New Roman"/>
        </w:rPr>
        <w:t xml:space="preserve">s aux </w:t>
      </w:r>
      <w:r>
        <w:rPr>
          <w:rFonts w:ascii="Times New Roman" w:hAnsi="Times New Roman"/>
        </w:rPr>
        <w:t>intempéries,</w:t>
      </w:r>
      <w:r w:rsidRPr="002D7E3B">
        <w:rPr>
          <w:rFonts w:ascii="Times New Roman" w:hAnsi="Times New Roman"/>
        </w:rPr>
        <w:t xml:space="preserve"> les retards lors de la rentrée scolaire</w:t>
      </w:r>
      <w:r>
        <w:rPr>
          <w:rFonts w:ascii="Times New Roman" w:hAnsi="Times New Roman"/>
        </w:rPr>
        <w:t>,</w:t>
      </w:r>
      <w:r w:rsidRPr="002D7E3B">
        <w:rPr>
          <w:rFonts w:ascii="Times New Roman" w:hAnsi="Times New Roman"/>
        </w:rPr>
        <w:t xml:space="preserve"> les pertes d’effectifs et</w:t>
      </w:r>
      <w:r>
        <w:rPr>
          <w:rFonts w:ascii="Times New Roman" w:hAnsi="Times New Roman"/>
        </w:rPr>
        <w:t>,</w:t>
      </w:r>
      <w:r w:rsidRPr="002D7E3B">
        <w:rPr>
          <w:rFonts w:ascii="Times New Roman" w:hAnsi="Times New Roman"/>
        </w:rPr>
        <w:t xml:space="preserve"> dans une moindre mesure, les déplacements de populations ainsi que l’occupation d’écoles par des populations sinistrées. </w:t>
      </w:r>
      <w:r>
        <w:rPr>
          <w:rFonts w:ascii="Times New Roman" w:hAnsi="Times New Roman"/>
        </w:rPr>
        <w:t>L’offre en éducation non formelle est très limitée</w:t>
      </w:r>
      <w:r w:rsidRPr="007218FC">
        <w:rPr>
          <w:rFonts w:ascii="Times New Roman" w:hAnsi="Times New Roman"/>
        </w:rPr>
        <w:t>. Il est recensé plus de 600 000 enfants et adolescents non scolarisés et ou déscolarisés âgés de 9 à 14 ans.</w:t>
      </w:r>
      <w:r>
        <w:rPr>
          <w:rFonts w:ascii="Times New Roman" w:hAnsi="Times New Roman"/>
        </w:rPr>
        <w:t xml:space="preserve"> Ce</w:t>
      </w:r>
      <w:r w:rsidRPr="00AB0268">
        <w:rPr>
          <w:rFonts w:ascii="Times New Roman" w:hAnsi="Times New Roman"/>
        </w:rPr>
        <w:t xml:space="preserve"> nombre </w:t>
      </w:r>
      <w:r>
        <w:rPr>
          <w:rFonts w:ascii="Times New Roman" w:hAnsi="Times New Roman"/>
        </w:rPr>
        <w:t xml:space="preserve">passe </w:t>
      </w:r>
      <w:r w:rsidRPr="00AB0268">
        <w:rPr>
          <w:rFonts w:ascii="Times New Roman" w:hAnsi="Times New Roman"/>
        </w:rPr>
        <w:t xml:space="preserve">à plus de 1 </w:t>
      </w:r>
      <w:r>
        <w:rPr>
          <w:rFonts w:ascii="Times New Roman" w:hAnsi="Times New Roman"/>
        </w:rPr>
        <w:t>1</w:t>
      </w:r>
      <w:r w:rsidRPr="00AB0268">
        <w:rPr>
          <w:rFonts w:ascii="Times New Roman" w:hAnsi="Times New Roman"/>
        </w:rPr>
        <w:t>00 000 si on élargit</w:t>
      </w:r>
      <w:r>
        <w:rPr>
          <w:rFonts w:ascii="Times New Roman" w:hAnsi="Times New Roman"/>
        </w:rPr>
        <w:t xml:space="preserve"> la tranche à</w:t>
      </w:r>
      <w:r w:rsidRPr="00AB0268">
        <w:rPr>
          <w:rFonts w:ascii="Times New Roman" w:hAnsi="Times New Roman"/>
        </w:rPr>
        <w:t xml:space="preserve"> 24 ans</w:t>
      </w:r>
      <w:r>
        <w:rPr>
          <w:rFonts w:ascii="Times New Roman" w:hAnsi="Times New Roman"/>
        </w:rPr>
        <w:t xml:space="preserve"> (RESEN, 2014)</w:t>
      </w:r>
      <w:r w:rsidRPr="00AB0268">
        <w:rPr>
          <w:rFonts w:ascii="Times New Roman" w:hAnsi="Times New Roman"/>
        </w:rPr>
        <w:t>.</w:t>
      </w:r>
      <w:r>
        <w:rPr>
          <w:rFonts w:ascii="Times New Roman" w:hAnsi="Times New Roman"/>
        </w:rPr>
        <w:t xml:space="preserve"> L</w:t>
      </w:r>
      <w:r w:rsidRPr="002D7E3B">
        <w:rPr>
          <w:rFonts w:ascii="Times New Roman" w:hAnsi="Times New Roman"/>
        </w:rPr>
        <w:t>es taux d’analphabétisme restent élevés au Tchad en d</w:t>
      </w:r>
      <w:r>
        <w:rPr>
          <w:rFonts w:ascii="Times New Roman" w:hAnsi="Times New Roman"/>
        </w:rPr>
        <w:t>épit des efforts consentis : 86</w:t>
      </w:r>
      <w:r w:rsidRPr="002D7E3B">
        <w:rPr>
          <w:rFonts w:ascii="Times New Roman" w:hAnsi="Times New Roman"/>
        </w:rPr>
        <w:t>% pour les femmes et 69% pour les hommes</w:t>
      </w:r>
      <w:r>
        <w:rPr>
          <w:rFonts w:ascii="Times New Roman" w:hAnsi="Times New Roman"/>
        </w:rPr>
        <w:t xml:space="preserve">. </w:t>
      </w:r>
      <w:r w:rsidRPr="00F1222D">
        <w:rPr>
          <w:rFonts w:ascii="Times New Roman" w:hAnsi="Times New Roman"/>
        </w:rPr>
        <w:t>Dans le cadre de la scolarisation des réfugiés, le manque d</w:t>
      </w:r>
      <w:r>
        <w:rPr>
          <w:rFonts w:ascii="Times New Roman" w:hAnsi="Times New Roman"/>
        </w:rPr>
        <w:t>’</w:t>
      </w:r>
      <w:r w:rsidRPr="00F1222D">
        <w:rPr>
          <w:rFonts w:ascii="Times New Roman" w:hAnsi="Times New Roman"/>
        </w:rPr>
        <w:t xml:space="preserve">enseignants spécialisés ne favorise pas l’inclusion à l’école des enfants réfugiés avec des besoins spéciaux. De plus, </w:t>
      </w:r>
      <w:r>
        <w:rPr>
          <w:rFonts w:ascii="Times New Roman" w:hAnsi="Times New Roman"/>
        </w:rPr>
        <w:t xml:space="preserve">très peu des adultes </w:t>
      </w:r>
      <w:r w:rsidRPr="00F1222D">
        <w:rPr>
          <w:rFonts w:ascii="Times New Roman" w:hAnsi="Times New Roman"/>
        </w:rPr>
        <w:t>réfugiés bénéficient de programmes d'alphabétisation ou de formations socio-professionnelles qui sont des éléments très utiles dans les efforts d'autonomisation des réfugiés en général et des femmes en particulier.</w:t>
      </w:r>
    </w:p>
    <w:p w14:paraId="7FE5C914" w14:textId="77777777" w:rsidR="00835A43" w:rsidRPr="00630FAD" w:rsidRDefault="00835A43" w:rsidP="00835A43">
      <w:pPr>
        <w:spacing w:after="120"/>
        <w:jc w:val="both"/>
        <w:rPr>
          <w:rFonts w:ascii="Times New Roman" w:hAnsi="Times New Roman"/>
        </w:rPr>
      </w:pPr>
      <w:r w:rsidRPr="00F521A2">
        <w:rPr>
          <w:rFonts w:ascii="Times New Roman" w:hAnsi="Times New Roman"/>
        </w:rPr>
        <w:t>Au plan sanitaire, la promotion du droit à la santé</w:t>
      </w:r>
      <w:r>
        <w:rPr>
          <w:rFonts w:ascii="Times New Roman" w:hAnsi="Times New Roman"/>
        </w:rPr>
        <w:t xml:space="preserve">, qui </w:t>
      </w:r>
      <w:r w:rsidRPr="00F521A2">
        <w:rPr>
          <w:rFonts w:ascii="Times New Roman" w:hAnsi="Times New Roman"/>
        </w:rPr>
        <w:t>repos</w:t>
      </w:r>
      <w:r>
        <w:rPr>
          <w:rFonts w:ascii="Times New Roman" w:hAnsi="Times New Roman"/>
        </w:rPr>
        <w:t>e</w:t>
      </w:r>
      <w:r w:rsidRPr="00F521A2">
        <w:rPr>
          <w:rFonts w:ascii="Times New Roman" w:hAnsi="Times New Roman"/>
        </w:rPr>
        <w:t xml:space="preserve"> sur les principes d’équité, de justice et d’égalité, constitue</w:t>
      </w:r>
      <w:r>
        <w:rPr>
          <w:rFonts w:ascii="Times New Roman" w:hAnsi="Times New Roman"/>
        </w:rPr>
        <w:t>,</w:t>
      </w:r>
      <w:r w:rsidRPr="00F07DF6">
        <w:rPr>
          <w:rFonts w:ascii="Times New Roman" w:hAnsi="Times New Roman"/>
        </w:rPr>
        <w:t xml:space="preserve"> </w:t>
      </w:r>
      <w:r w:rsidRPr="00F521A2">
        <w:rPr>
          <w:rFonts w:ascii="Times New Roman" w:hAnsi="Times New Roman"/>
        </w:rPr>
        <w:t xml:space="preserve">au vu du niveau de précarité des populations,  un défi majeur dans un contexte où le profil épidémiologique est marqué par la prévalence des maladies endémiques et épidémiques comme le VIH/sida, le paludisme, la tuberculose, les infections respiratoires aigües, les épisodes récurrents de méningite et de choléra, et la diarrhée. </w:t>
      </w:r>
      <w:r w:rsidRPr="00F521A2">
        <w:rPr>
          <w:rFonts w:ascii="Times New Roman" w:eastAsia="SimSun" w:hAnsi="Times New Roman"/>
          <w:spacing w:val="-3"/>
          <w:lang w:eastAsia="zh-CN"/>
        </w:rPr>
        <w:t xml:space="preserve">Le taux de prévalence du VIH est de </w:t>
      </w:r>
      <w:r>
        <w:rPr>
          <w:rFonts w:ascii="Times New Roman" w:eastAsia="SimSun" w:hAnsi="Times New Roman"/>
          <w:spacing w:val="-3"/>
          <w:lang w:eastAsia="zh-CN"/>
        </w:rPr>
        <w:t>1.6</w:t>
      </w:r>
      <w:r w:rsidRPr="00F521A2">
        <w:rPr>
          <w:rFonts w:ascii="Times New Roman" w:eastAsia="SimSun" w:hAnsi="Times New Roman"/>
          <w:spacing w:val="-3"/>
          <w:lang w:eastAsia="zh-CN"/>
        </w:rPr>
        <w:t>%</w:t>
      </w:r>
      <w:r w:rsidRPr="00F521A2">
        <w:rPr>
          <w:rStyle w:val="FootnoteReference"/>
          <w:rFonts w:ascii="Times New Roman" w:eastAsia="SimSun" w:hAnsi="Times New Roman"/>
          <w:spacing w:val="-3"/>
          <w:lang w:eastAsia="zh-CN"/>
        </w:rPr>
        <w:footnoteReference w:id="1"/>
      </w:r>
      <w:r w:rsidRPr="00F521A2">
        <w:rPr>
          <w:rFonts w:ascii="Times New Roman" w:eastAsia="SimSun" w:hAnsi="Times New Roman"/>
          <w:spacing w:val="-3"/>
          <w:lang w:eastAsia="zh-CN"/>
        </w:rPr>
        <w:t xml:space="preserve"> chez les personnes de 15 à 49 ans</w:t>
      </w:r>
      <w:r>
        <w:rPr>
          <w:rFonts w:ascii="Times New Roman" w:eastAsia="SimSun" w:hAnsi="Times New Roman"/>
          <w:spacing w:val="-3"/>
          <w:lang w:eastAsia="zh-CN"/>
        </w:rPr>
        <w:t xml:space="preserve"> avec un ratio de140 femmes pour 100 hommes</w:t>
      </w:r>
      <w:r w:rsidRPr="00F521A2">
        <w:rPr>
          <w:rFonts w:ascii="Times New Roman" w:eastAsia="SimSun" w:hAnsi="Times New Roman"/>
          <w:spacing w:val="-3"/>
          <w:lang w:eastAsia="zh-CN"/>
        </w:rPr>
        <w:t xml:space="preserve">. Ce taux reste élevé </w:t>
      </w:r>
      <w:r>
        <w:rPr>
          <w:rFonts w:ascii="Times New Roman" w:eastAsia="SimSun" w:hAnsi="Times New Roman"/>
          <w:spacing w:val="-3"/>
          <w:lang w:eastAsia="zh-CN"/>
        </w:rPr>
        <w:t xml:space="preserve">chez les adolescents et les jeunes </w:t>
      </w:r>
      <w:r w:rsidRPr="00F521A2">
        <w:rPr>
          <w:rFonts w:ascii="Times New Roman" w:eastAsia="SimSun" w:hAnsi="Times New Roman"/>
          <w:spacing w:val="-3"/>
          <w:lang w:eastAsia="zh-CN"/>
        </w:rPr>
        <w:t xml:space="preserve">et son impact peut s’accentuer si des mesures énergiques ne sont pas prises pour limiter le fléau. </w:t>
      </w:r>
      <w:r w:rsidRPr="00F521A2">
        <w:rPr>
          <w:rFonts w:ascii="Times New Roman" w:hAnsi="Times New Roman"/>
        </w:rPr>
        <w:t>La</w:t>
      </w:r>
      <w:r w:rsidRPr="00F521A2">
        <w:rPr>
          <w:rFonts w:ascii="Times New Roman" w:hAnsi="Times New Roman"/>
          <w:b/>
        </w:rPr>
        <w:t xml:space="preserve"> </w:t>
      </w:r>
      <w:r w:rsidRPr="00F521A2">
        <w:rPr>
          <w:rFonts w:ascii="Times New Roman" w:hAnsi="Times New Roman"/>
        </w:rPr>
        <w:t>prévalence du paludisme dans la population générale est de 29,8</w:t>
      </w:r>
      <w:r>
        <w:rPr>
          <w:rFonts w:ascii="Times New Roman" w:hAnsi="Times New Roman"/>
        </w:rPr>
        <w:t>%</w:t>
      </w:r>
      <w:r w:rsidRPr="00F521A2">
        <w:rPr>
          <w:rFonts w:ascii="Times New Roman" w:hAnsi="Times New Roman"/>
        </w:rPr>
        <w:t xml:space="preserve"> et varie selon les tranches d'âges : 35,8% chez les enfants de moins de cinq ans, 39,3% chez les enfants de 5-14 ans et tombe à 1</w:t>
      </w:r>
      <w:r>
        <w:rPr>
          <w:rFonts w:ascii="Times New Roman" w:hAnsi="Times New Roman"/>
        </w:rPr>
        <w:t>5,2% chez les plus de 15 ans (</w:t>
      </w:r>
      <w:r w:rsidRPr="00F521A2">
        <w:rPr>
          <w:rFonts w:ascii="Times New Roman" w:hAnsi="Times New Roman"/>
        </w:rPr>
        <w:t>ENIPT</w:t>
      </w:r>
      <w:r>
        <w:rPr>
          <w:rFonts w:ascii="Times New Roman" w:hAnsi="Times New Roman"/>
        </w:rPr>
        <w:t>,</w:t>
      </w:r>
      <w:r w:rsidRPr="00F521A2">
        <w:rPr>
          <w:rFonts w:ascii="Times New Roman" w:hAnsi="Times New Roman"/>
        </w:rPr>
        <w:t xml:space="preserve"> 2010-2011). Selon le milieu de résidence, la prévalence du paludisme est de 43,8% en zone soudanienne contre 6,1% en zone sahélo-saharienne. </w:t>
      </w:r>
      <w:r w:rsidRPr="002D7E3B">
        <w:rPr>
          <w:rFonts w:ascii="Times New Roman" w:hAnsi="Times New Roman"/>
        </w:rPr>
        <w:t xml:space="preserve">Le taux de mortalité maternelle, qui était de </w:t>
      </w:r>
      <w:r w:rsidRPr="00A326B0">
        <w:rPr>
          <w:rFonts w:ascii="Times New Roman" w:hAnsi="Times New Roman"/>
        </w:rPr>
        <w:t xml:space="preserve">1099 </w:t>
      </w:r>
      <w:r>
        <w:rPr>
          <w:rFonts w:ascii="Times New Roman" w:hAnsi="Times New Roman"/>
        </w:rPr>
        <w:t>pour 100,000 naissances vivantes</w:t>
      </w:r>
      <w:r w:rsidRPr="002D7E3B">
        <w:rPr>
          <w:rFonts w:ascii="Times New Roman" w:hAnsi="Times New Roman"/>
        </w:rPr>
        <w:t xml:space="preserve"> à l’EDST II de 2004 est actuellement de 86</w:t>
      </w:r>
      <w:r>
        <w:rPr>
          <w:rFonts w:ascii="Times New Roman" w:hAnsi="Times New Roman"/>
        </w:rPr>
        <w:t>0</w:t>
      </w:r>
      <w:r w:rsidRPr="002D7E3B">
        <w:rPr>
          <w:rFonts w:ascii="Times New Roman" w:hAnsi="Times New Roman"/>
        </w:rPr>
        <w:t xml:space="preserve"> (EDST3-MICS) en 2014. Nonobstant les baisses enregistrées ces dernières années, ces taux restent préoccupants</w:t>
      </w:r>
      <w:r w:rsidRPr="00603C89">
        <w:rPr>
          <w:rFonts w:ascii="Times New Roman" w:hAnsi="Times New Roman"/>
        </w:rPr>
        <w:t>. Les adolescentes (15-19 ans) représentent 50.8% des décès maternels. Les principaux facteurs favorisant ces décès sont</w:t>
      </w:r>
      <w:r>
        <w:rPr>
          <w:rFonts w:ascii="Times New Roman" w:hAnsi="Times New Roman"/>
        </w:rPr>
        <w:t xml:space="preserve"> </w:t>
      </w:r>
      <w:r w:rsidRPr="00603C89">
        <w:rPr>
          <w:rFonts w:ascii="Times New Roman" w:hAnsi="Times New Roman"/>
        </w:rPr>
        <w:t>le résultat d’une couverture sanitaire insuffisante, une production limitée et un déploiement insuffisant des ressources humaines qualifiées, une faible disponibilité et qualité des soins maternels qui ont abouti à un faible taux d’accouchement assisté (34%) et une morbidité maternelle sévère (fistules obstétricales). La pauvreté, le faible statut des femmes et le faible niveau d’éducation des filles constituent des facteurs sous-jacents de cette situation qui limitent la demande.</w:t>
      </w:r>
      <w:r>
        <w:rPr>
          <w:rFonts w:ascii="Times New Roman" w:hAnsi="Times New Roman"/>
        </w:rPr>
        <w:t xml:space="preserve"> </w:t>
      </w:r>
    </w:p>
    <w:p w14:paraId="2D5FEF44" w14:textId="77777777" w:rsidR="00835A43" w:rsidRDefault="00835A43" w:rsidP="00835A43">
      <w:pPr>
        <w:spacing w:after="120"/>
        <w:jc w:val="both"/>
        <w:rPr>
          <w:rFonts w:ascii="Times New Roman" w:hAnsi="Times New Roman"/>
        </w:rPr>
      </w:pPr>
      <w:r w:rsidRPr="004414B2">
        <w:rPr>
          <w:rFonts w:ascii="Times New Roman" w:hAnsi="Times New Roman"/>
        </w:rPr>
        <w:t>La fécondité stagne</w:t>
      </w:r>
      <w:r>
        <w:rPr>
          <w:rFonts w:ascii="Times New Roman" w:hAnsi="Times New Roman"/>
        </w:rPr>
        <w:t xml:space="preserve"> depuis une dizaine d’années: 6,3 en 2004 et 6,</w:t>
      </w:r>
      <w:r w:rsidRPr="004414B2">
        <w:rPr>
          <w:rFonts w:ascii="Times New Roman" w:hAnsi="Times New Roman"/>
        </w:rPr>
        <w:t>4 en 2015. Un tel niveau de fécondité est lié en grande partie à: i) une faible offre et utilisation de la contraception moderne (5% des femmes en union, et 2% des filles de moins de 20 ans contrastant avec une importante demande non satisfaite en planifica</w:t>
      </w:r>
      <w:r>
        <w:rPr>
          <w:rFonts w:ascii="Times New Roman" w:hAnsi="Times New Roman"/>
        </w:rPr>
        <w:t>tion familiale de 22,</w:t>
      </w:r>
      <w:r w:rsidRPr="004414B2">
        <w:rPr>
          <w:rFonts w:ascii="Times New Roman" w:hAnsi="Times New Roman"/>
        </w:rPr>
        <w:t>9% en 2015</w:t>
      </w:r>
      <w:r>
        <w:rPr>
          <w:rFonts w:ascii="Times New Roman" w:hAnsi="Times New Roman"/>
        </w:rPr>
        <w:t>)</w:t>
      </w:r>
      <w:r w:rsidRPr="004414B2">
        <w:rPr>
          <w:rFonts w:ascii="Times New Roman" w:hAnsi="Times New Roman"/>
        </w:rPr>
        <w:t>; ii) la précocité de la nuptialité et de l’entrée dans la vie féconde, 28</w:t>
      </w:r>
      <w:r>
        <w:rPr>
          <w:rFonts w:ascii="Times New Roman" w:hAnsi="Times New Roman"/>
        </w:rPr>
        <w:t>,</w:t>
      </w:r>
      <w:r w:rsidRPr="004414B2">
        <w:rPr>
          <w:rFonts w:ascii="Times New Roman" w:hAnsi="Times New Roman"/>
        </w:rPr>
        <w:t>4% des femmes sont mariées avant l’âge de 15 ans et 69% des femmes le sont avant l’âge de 18 ans; iii) la persistance de pratiques, croyances et perceptions socio culturelles néfastes</w:t>
      </w:r>
      <w:r w:rsidRPr="00484FBC">
        <w:rPr>
          <w:rFonts w:ascii="Times New Roman" w:hAnsi="Times New Roman"/>
        </w:rPr>
        <w:t>. S</w:t>
      </w:r>
      <w:r w:rsidRPr="002B27AF">
        <w:rPr>
          <w:rFonts w:ascii="Times New Roman" w:hAnsi="Times New Roman"/>
        </w:rPr>
        <w:t xml:space="preserve">elon l’étude de l’Association des Femmes Juristes faite en 2015, le pays fait aussi face à une prévalence élevée de </w:t>
      </w:r>
      <w:r>
        <w:rPr>
          <w:rFonts w:ascii="Times New Roman" w:hAnsi="Times New Roman"/>
        </w:rPr>
        <w:t>VBG</w:t>
      </w:r>
      <w:r w:rsidRPr="002B27AF">
        <w:rPr>
          <w:rFonts w:ascii="Times New Roman" w:hAnsi="Times New Roman"/>
        </w:rPr>
        <w:t xml:space="preserve"> avec un taux de violence physique de 18%, et violences sexuelles de 12%. Les </w:t>
      </w:r>
      <w:r>
        <w:rPr>
          <w:rFonts w:ascii="Times New Roman" w:hAnsi="Times New Roman"/>
        </w:rPr>
        <w:t>MGF</w:t>
      </w:r>
      <w:r w:rsidRPr="002B27AF">
        <w:rPr>
          <w:rFonts w:ascii="Times New Roman" w:hAnsi="Times New Roman"/>
        </w:rPr>
        <w:t xml:space="preserve"> pratiquées dans la majorité des régions du pays touchent 44 % des femmes tchadiennes. La persistance des us et coutumes ont pour conséquences la précocité à l’entrée dans la vie féconde et la nuptialité.  </w:t>
      </w:r>
    </w:p>
    <w:p w14:paraId="003C8C42" w14:textId="77777777" w:rsidR="00835A43" w:rsidRDefault="00835A43" w:rsidP="00835A43">
      <w:pPr>
        <w:spacing w:after="120"/>
        <w:jc w:val="both"/>
        <w:rPr>
          <w:rStyle w:val="Stylerapi01"/>
          <w:rFonts w:ascii="Times New Roman" w:hAnsi="Times New Roman"/>
        </w:rPr>
      </w:pPr>
      <w:r w:rsidRPr="002D7E3B">
        <w:rPr>
          <w:rFonts w:ascii="Times New Roman" w:hAnsi="Times New Roman"/>
        </w:rPr>
        <w:t>Selon les résultats de l’EDST-</w:t>
      </w:r>
      <w:r>
        <w:rPr>
          <w:rFonts w:ascii="Times New Roman" w:hAnsi="Times New Roman"/>
        </w:rPr>
        <w:t>MICS</w:t>
      </w:r>
      <w:r w:rsidRPr="002D7E3B">
        <w:rPr>
          <w:rFonts w:ascii="Times New Roman" w:hAnsi="Times New Roman"/>
        </w:rPr>
        <w:t xml:space="preserve"> (20</w:t>
      </w:r>
      <w:r>
        <w:rPr>
          <w:rFonts w:ascii="Times New Roman" w:hAnsi="Times New Roman"/>
        </w:rPr>
        <w:t>14</w:t>
      </w:r>
      <w:r w:rsidRPr="002D7E3B">
        <w:rPr>
          <w:rFonts w:ascii="Times New Roman" w:hAnsi="Times New Roman"/>
        </w:rPr>
        <w:t>), les indicateurs relatifs à la santé de l’enfant ne sont pas encourageants : le taux de mortalité infantile est de 72 ‰, le taux de mortalité néonatale de 34 ‰, et le taux de mortalité infanto juvénile de 191‰, c’est-à-dire qu’environ un enfant sur cinq n’atteint pas son cinquième anniversaire.</w:t>
      </w:r>
      <w:r w:rsidRPr="00CC4209">
        <w:rPr>
          <w:rFonts w:ascii="Times New Roman" w:hAnsi="Times New Roman"/>
        </w:rPr>
        <w:t xml:space="preserve"> </w:t>
      </w:r>
      <w:r w:rsidRPr="002D7E3B">
        <w:rPr>
          <w:rFonts w:ascii="Times New Roman" w:hAnsi="Times New Roman"/>
        </w:rPr>
        <w:t xml:space="preserve">La couverture vaccinale des enfants reste aussi très faible. Seul un enfant sur 4 est </w:t>
      </w:r>
      <w:r>
        <w:rPr>
          <w:rFonts w:ascii="Times New Roman" w:hAnsi="Times New Roman"/>
        </w:rPr>
        <w:t xml:space="preserve">complètement </w:t>
      </w:r>
      <w:r w:rsidRPr="002D7E3B">
        <w:rPr>
          <w:rFonts w:ascii="Times New Roman" w:hAnsi="Times New Roman"/>
        </w:rPr>
        <w:t>vacciné avant son premier anniversaire.</w:t>
      </w:r>
      <w:r w:rsidRPr="002D7E3B">
        <w:rPr>
          <w:rStyle w:val="Stylerapi01"/>
          <w:rFonts w:ascii="Times New Roman" w:hAnsi="Times New Roman"/>
        </w:rPr>
        <w:t xml:space="preserve"> </w:t>
      </w:r>
      <w:r>
        <w:rPr>
          <w:rStyle w:val="Stylerapi01"/>
          <w:rFonts w:ascii="Times New Roman" w:hAnsi="Times New Roman"/>
        </w:rPr>
        <w:t>Les f</w:t>
      </w:r>
      <w:r w:rsidRPr="002D7E3B">
        <w:rPr>
          <w:rStyle w:val="Stylerapi01"/>
          <w:rFonts w:ascii="Times New Roman" w:hAnsi="Times New Roman"/>
        </w:rPr>
        <w:t>aiblesses dans l’organisation et la gestion des formations sanitaires, de même que l’insuffisance des ressources et des médicaments limitent l’accès des femmes et des enfants aux services de santé et fragilisent l’efficacité et la qualité des activités de vaccination mises en œuvre au profit de ces groupes vulnérables. Cette situation alimente la létalité de la rougeole et du tétanos néonatal et les place parmi les</w:t>
      </w:r>
      <w:r>
        <w:rPr>
          <w:rStyle w:val="Stylerapi01"/>
          <w:rFonts w:ascii="Times New Roman" w:hAnsi="Times New Roman"/>
        </w:rPr>
        <w:t xml:space="preserve"> </w:t>
      </w:r>
      <w:r w:rsidRPr="002D7E3B">
        <w:rPr>
          <w:rStyle w:val="Stylerapi01"/>
          <w:rFonts w:ascii="Times New Roman" w:hAnsi="Times New Roman"/>
        </w:rPr>
        <w:t>maladies infantiles les plus meurtrières.</w:t>
      </w:r>
      <w:r>
        <w:rPr>
          <w:rStyle w:val="Stylerapi01"/>
          <w:rFonts w:ascii="Times New Roman" w:hAnsi="Times New Roman"/>
        </w:rPr>
        <w:t xml:space="preserve"> </w:t>
      </w:r>
      <w:r w:rsidRPr="0013097E">
        <w:rPr>
          <w:rStyle w:val="Stylerapi01"/>
          <w:rFonts w:ascii="Times New Roman" w:hAnsi="Times New Roman"/>
        </w:rPr>
        <w:t>Les indicateurs de santé tels que le</w:t>
      </w:r>
      <w:r>
        <w:rPr>
          <w:rStyle w:val="Stylerapi01"/>
          <w:rFonts w:ascii="Times New Roman" w:hAnsi="Times New Roman"/>
        </w:rPr>
        <w:t>s</w:t>
      </w:r>
      <w:r w:rsidRPr="0013097E">
        <w:rPr>
          <w:rStyle w:val="Stylerapi01"/>
          <w:rFonts w:ascii="Times New Roman" w:hAnsi="Times New Roman"/>
        </w:rPr>
        <w:t xml:space="preserve"> taux de  mortalité et </w:t>
      </w:r>
      <w:r>
        <w:rPr>
          <w:rStyle w:val="Stylerapi01"/>
          <w:rFonts w:ascii="Times New Roman" w:hAnsi="Times New Roman"/>
        </w:rPr>
        <w:t>de</w:t>
      </w:r>
      <w:r w:rsidRPr="0013097E">
        <w:rPr>
          <w:rStyle w:val="Stylerapi01"/>
          <w:rFonts w:ascii="Times New Roman" w:hAnsi="Times New Roman"/>
        </w:rPr>
        <w:t xml:space="preserve"> morbidité, restent acceptables parmi les réfugiés. Cependant, </w:t>
      </w:r>
      <w:r>
        <w:rPr>
          <w:rStyle w:val="Stylerapi01"/>
          <w:rFonts w:ascii="Times New Roman" w:hAnsi="Times New Roman"/>
        </w:rPr>
        <w:t>il est important d’avancer le processus d’</w:t>
      </w:r>
      <w:r w:rsidRPr="0013097E">
        <w:rPr>
          <w:rStyle w:val="Stylerapi01"/>
          <w:rFonts w:ascii="Times New Roman" w:hAnsi="Times New Roman"/>
        </w:rPr>
        <w:t>'intégration des réfugiés dans les services nationaux de santé</w:t>
      </w:r>
      <w:r>
        <w:rPr>
          <w:rStyle w:val="Stylerapi01"/>
          <w:rFonts w:ascii="Times New Roman" w:hAnsi="Times New Roman"/>
        </w:rPr>
        <w:t xml:space="preserve">. </w:t>
      </w:r>
    </w:p>
    <w:p w14:paraId="2238CB1C" w14:textId="77777777" w:rsidR="00835A43" w:rsidRPr="00B75B30" w:rsidRDefault="00835A43" w:rsidP="00835A43">
      <w:pPr>
        <w:tabs>
          <w:tab w:val="left" w:pos="0"/>
          <w:tab w:val="left" w:pos="708"/>
          <w:tab w:val="left" w:pos="1020"/>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right="-28"/>
        <w:jc w:val="both"/>
        <w:rPr>
          <w:rFonts w:ascii="Times New Roman" w:hAnsi="Times New Roman"/>
        </w:rPr>
      </w:pPr>
      <w:r w:rsidRPr="00B75B30">
        <w:rPr>
          <w:rFonts w:ascii="Times New Roman" w:hAnsi="Times New Roman"/>
        </w:rPr>
        <w:t>L’état nutritionnel des enfants de moins de 5 ans montre que 31,9 % des enfants de moins de 5 ans souffrent de malnutrition chronique (SMART 2015). La prévalence de la malnutrition chronique varie en fonction de l’âge : 10 % pour les moins de six mois; 33% pour les12-17 mois</w:t>
      </w:r>
      <w:r>
        <w:rPr>
          <w:rFonts w:ascii="Times New Roman" w:hAnsi="Times New Roman"/>
        </w:rPr>
        <w:t xml:space="preserve">, </w:t>
      </w:r>
      <w:r w:rsidRPr="00B75B30">
        <w:rPr>
          <w:rFonts w:ascii="Times New Roman" w:hAnsi="Times New Roman"/>
        </w:rPr>
        <w:t xml:space="preserve">et 55 % pour les 24-35 mois. Au plan humanitaire, la situation nutritionnelle dans la bande Sahélienne est restée alarmante et constitue un défi majeur pour les prochaines années, avec des taux de prévalence </w:t>
      </w:r>
      <w:r>
        <w:rPr>
          <w:rFonts w:ascii="Times New Roman" w:hAnsi="Times New Roman"/>
        </w:rPr>
        <w:t xml:space="preserve">de la malnutrition aigue globale </w:t>
      </w:r>
      <w:r w:rsidRPr="00B75B30">
        <w:rPr>
          <w:rFonts w:ascii="Times New Roman" w:hAnsi="Times New Roman"/>
        </w:rPr>
        <w:t>au delà du seuil critique de 15% dans plusieurs régions.</w:t>
      </w:r>
      <w:r w:rsidRPr="00B75B30">
        <w:t xml:space="preserve"> </w:t>
      </w:r>
      <w:r w:rsidRPr="00B75B30">
        <w:rPr>
          <w:rFonts w:ascii="Times New Roman" w:hAnsi="Times New Roman"/>
        </w:rPr>
        <w:t xml:space="preserve">Les taux de malnutrition </w:t>
      </w:r>
      <w:r>
        <w:rPr>
          <w:rFonts w:ascii="Times New Roman" w:hAnsi="Times New Roman"/>
        </w:rPr>
        <w:t xml:space="preserve">aigue </w:t>
      </w:r>
      <w:r w:rsidRPr="00B75B30">
        <w:rPr>
          <w:rFonts w:ascii="Times New Roman" w:hAnsi="Times New Roman"/>
        </w:rPr>
        <w:t xml:space="preserve">restent </w:t>
      </w:r>
      <w:r>
        <w:rPr>
          <w:rFonts w:ascii="Times New Roman" w:hAnsi="Times New Roman"/>
        </w:rPr>
        <w:t xml:space="preserve">aussi </w:t>
      </w:r>
      <w:r w:rsidRPr="00B75B30">
        <w:rPr>
          <w:rFonts w:ascii="Times New Roman" w:hAnsi="Times New Roman"/>
        </w:rPr>
        <w:t>élevés dans certains camps de réfugiés soudanais, dans la région du nord-est et dans le camp de réfugiés centrafricains de Dosseye (entre 10-</w:t>
      </w:r>
      <w:r>
        <w:rPr>
          <w:rFonts w:ascii="Times New Roman" w:hAnsi="Times New Roman"/>
        </w:rPr>
        <w:t>12,6</w:t>
      </w:r>
      <w:r w:rsidRPr="00B75B30">
        <w:rPr>
          <w:rFonts w:ascii="Times New Roman" w:hAnsi="Times New Roman"/>
        </w:rPr>
        <w:t>%</w:t>
      </w:r>
      <w:r>
        <w:rPr>
          <w:rFonts w:ascii="Times New Roman" w:hAnsi="Times New Roman"/>
        </w:rPr>
        <w:t>, SMART 2015</w:t>
      </w:r>
      <w:r w:rsidRPr="00B75B30">
        <w:rPr>
          <w:rFonts w:ascii="Times New Roman" w:hAnsi="Times New Roman"/>
        </w:rPr>
        <w:t xml:space="preserve">). </w:t>
      </w:r>
      <w:r>
        <w:rPr>
          <w:rFonts w:ascii="Times New Roman" w:hAnsi="Times New Roman"/>
        </w:rPr>
        <w:t>M</w:t>
      </w:r>
      <w:r>
        <w:rPr>
          <w:rFonts w:ascii="Times New Roman" w:hAnsi="Times New Roman" w:cs="Times New Roman"/>
        </w:rPr>
        <w:t>ê</w:t>
      </w:r>
      <w:r>
        <w:rPr>
          <w:rFonts w:ascii="Times New Roman" w:hAnsi="Times New Roman"/>
        </w:rPr>
        <w:t>me si les donn</w:t>
      </w:r>
      <w:r>
        <w:rPr>
          <w:rFonts w:ascii="Times New Roman" w:hAnsi="Times New Roman" w:cs="Times New Roman"/>
        </w:rPr>
        <w:t>é</w:t>
      </w:r>
      <w:r>
        <w:rPr>
          <w:rFonts w:ascii="Times New Roman" w:hAnsi="Times New Roman"/>
        </w:rPr>
        <w:t xml:space="preserve">es </w:t>
      </w:r>
      <w:r>
        <w:rPr>
          <w:rFonts w:ascii="Times New Roman" w:hAnsi="Times New Roman" w:cs="Times New Roman"/>
        </w:rPr>
        <w:t>é</w:t>
      </w:r>
      <w:r>
        <w:rPr>
          <w:rFonts w:ascii="Times New Roman" w:hAnsi="Times New Roman"/>
        </w:rPr>
        <w:t>pid</w:t>
      </w:r>
      <w:r>
        <w:rPr>
          <w:rFonts w:ascii="Times New Roman" w:hAnsi="Times New Roman" w:cs="Times New Roman"/>
        </w:rPr>
        <w:t>é</w:t>
      </w:r>
      <w:r>
        <w:rPr>
          <w:rFonts w:ascii="Times New Roman" w:hAnsi="Times New Roman"/>
        </w:rPr>
        <w:t>miologiques font d</w:t>
      </w:r>
      <w:r>
        <w:rPr>
          <w:rFonts w:ascii="Times New Roman" w:hAnsi="Times New Roman" w:cs="Times New Roman"/>
        </w:rPr>
        <w:t>é</w:t>
      </w:r>
      <w:r>
        <w:rPr>
          <w:rFonts w:ascii="Times New Roman" w:hAnsi="Times New Roman"/>
        </w:rPr>
        <w:t>faut, les carences en micronutriments en particuier, le fer, la vitamine A et l’iode consituent un veritable probl</w:t>
      </w:r>
      <w:r>
        <w:rPr>
          <w:rFonts w:ascii="Times New Roman" w:hAnsi="Times New Roman" w:cs="Times New Roman"/>
        </w:rPr>
        <w:t>è</w:t>
      </w:r>
      <w:r>
        <w:rPr>
          <w:rFonts w:ascii="Times New Roman" w:hAnsi="Times New Roman"/>
        </w:rPr>
        <w:t>me de sant</w:t>
      </w:r>
      <w:r>
        <w:rPr>
          <w:rFonts w:ascii="Times New Roman" w:hAnsi="Times New Roman" w:cs="Times New Roman"/>
        </w:rPr>
        <w:t>é</w:t>
      </w:r>
      <w:r>
        <w:rPr>
          <w:rFonts w:ascii="Times New Roman" w:hAnsi="Times New Roman"/>
        </w:rPr>
        <w:t xml:space="preserve"> publique. Les pratiques li</w:t>
      </w:r>
      <w:r>
        <w:rPr>
          <w:rFonts w:ascii="Times New Roman" w:hAnsi="Times New Roman" w:cs="Times New Roman"/>
        </w:rPr>
        <w:t>é</w:t>
      </w:r>
      <w:r>
        <w:rPr>
          <w:rFonts w:ascii="Times New Roman" w:hAnsi="Times New Roman"/>
        </w:rPr>
        <w:t xml:space="preserve">es </w:t>
      </w:r>
      <w:r>
        <w:rPr>
          <w:rFonts w:ascii="Times New Roman" w:hAnsi="Times New Roman" w:cs="Times New Roman"/>
        </w:rPr>
        <w:t>à</w:t>
      </w:r>
      <w:r>
        <w:rPr>
          <w:rFonts w:ascii="Times New Roman" w:hAnsi="Times New Roman"/>
        </w:rPr>
        <w:t xml:space="preserve"> l’alimentation du nourrisson et du jeune enfant restent aussi probl</w:t>
      </w:r>
      <w:r>
        <w:rPr>
          <w:rFonts w:ascii="Times New Roman" w:hAnsi="Times New Roman" w:cs="Times New Roman"/>
        </w:rPr>
        <w:t>é</w:t>
      </w:r>
      <w:r>
        <w:rPr>
          <w:rFonts w:ascii="Times New Roman" w:hAnsi="Times New Roman"/>
        </w:rPr>
        <w:t>matique et contribuent a la fragilisation des jeunes enfants. En effet, selon les resultats de la derni</w:t>
      </w:r>
      <w:r>
        <w:rPr>
          <w:rFonts w:ascii="Times New Roman" w:hAnsi="Times New Roman" w:cs="Times New Roman"/>
        </w:rPr>
        <w:t>è</w:t>
      </w:r>
      <w:r>
        <w:rPr>
          <w:rFonts w:ascii="Times New Roman" w:hAnsi="Times New Roman"/>
        </w:rPr>
        <w:t>re enqu</w:t>
      </w:r>
      <w:r>
        <w:rPr>
          <w:rFonts w:ascii="Times New Roman" w:hAnsi="Times New Roman" w:cs="Times New Roman"/>
        </w:rPr>
        <w:t>ê</w:t>
      </w:r>
      <w:r>
        <w:rPr>
          <w:rFonts w:ascii="Times New Roman" w:hAnsi="Times New Roman"/>
        </w:rPr>
        <w:t>te EDS-MICS, moins de 1% des enfants sont allait</w:t>
      </w:r>
      <w:r>
        <w:rPr>
          <w:rFonts w:ascii="Times New Roman" w:hAnsi="Times New Roman" w:cs="Times New Roman"/>
        </w:rPr>
        <w:t>é</w:t>
      </w:r>
      <w:r>
        <w:rPr>
          <w:rFonts w:ascii="Times New Roman" w:hAnsi="Times New Roman"/>
        </w:rPr>
        <w:t xml:space="preserve">s exclusivement au sein pendant les 6 premiers mois de la vie. </w:t>
      </w:r>
    </w:p>
    <w:p w14:paraId="2E26F23F" w14:textId="5990F5F9" w:rsidR="00835A43" w:rsidRDefault="00835A43" w:rsidP="00835A43">
      <w:pPr>
        <w:jc w:val="both"/>
        <w:rPr>
          <w:rFonts w:ascii="Times New Roman" w:hAnsi="Times New Roman"/>
        </w:rPr>
      </w:pPr>
      <w:r>
        <w:rPr>
          <w:rFonts w:ascii="Times New Roman" w:hAnsi="Times New Roman"/>
          <w:szCs w:val="28"/>
        </w:rPr>
        <w:t>Enfin, en matière d’hygiène, eau et assainissement, les principaux défis restent la consolidation des acquis et l’amélioration de la desserte en eau potable.</w:t>
      </w:r>
      <w:r w:rsidRPr="00A661C6">
        <w:rPr>
          <w:rFonts w:ascii="Times New Roman" w:hAnsi="Times New Roman"/>
        </w:rPr>
        <w:t xml:space="preserve"> </w:t>
      </w:r>
      <w:r>
        <w:rPr>
          <w:rFonts w:ascii="Times New Roman" w:hAnsi="Times New Roman"/>
        </w:rPr>
        <w:t>En effet, l</w:t>
      </w:r>
      <w:r w:rsidRPr="002D7E3B">
        <w:rPr>
          <w:rFonts w:ascii="Times New Roman" w:hAnsi="Times New Roman"/>
        </w:rPr>
        <w:t xml:space="preserve">e taux d’accès à l’eau potable est </w:t>
      </w:r>
      <w:r w:rsidRPr="00864FAF">
        <w:rPr>
          <w:rFonts w:ascii="Times New Roman" w:hAnsi="Times New Roman"/>
        </w:rPr>
        <w:t xml:space="preserve">estimé en 2015 à </w:t>
      </w:r>
      <w:r w:rsidRPr="00FF6D24">
        <w:rPr>
          <w:rFonts w:ascii="Times New Roman" w:hAnsi="Times New Roman"/>
        </w:rPr>
        <w:t>54%</w:t>
      </w:r>
      <w:r w:rsidRPr="00864FAF">
        <w:rPr>
          <w:rFonts w:ascii="Times New Roman" w:hAnsi="Times New Roman"/>
        </w:rPr>
        <w:t xml:space="preserve"> et celui de l’assainissement à seulement 16% alors qu’ils étaient</w:t>
      </w:r>
      <w:r>
        <w:rPr>
          <w:rFonts w:ascii="Times New Roman" w:hAnsi="Times New Roman"/>
        </w:rPr>
        <w:t xml:space="preserve"> respectivement de 21% et 7% en 2003 (Rapport National OMD 2015)</w:t>
      </w:r>
      <w:r w:rsidRPr="002D7E3B">
        <w:rPr>
          <w:rFonts w:ascii="Times New Roman" w:hAnsi="Times New Roman"/>
        </w:rPr>
        <w:t>.</w:t>
      </w:r>
      <w:r>
        <w:rPr>
          <w:rFonts w:ascii="Times New Roman" w:hAnsi="Times New Roman"/>
        </w:rPr>
        <w:t xml:space="preserve"> De plus, e</w:t>
      </w:r>
      <w:r w:rsidRPr="002D7E3B">
        <w:rPr>
          <w:rFonts w:ascii="Times New Roman" w:hAnsi="Times New Roman"/>
        </w:rPr>
        <w:t xml:space="preserve">nviron 19,000 personnes décèdent chaque année de maladies liées au  manque d’accès à l’eau potable, à l’hygiène et à l’assainissement et le pays perdrait chaque année près de 79 milliards de FCA du fait des mauvaises conditions d’hygiène, d’assainissement et d’accès à l’eau potable (WSP, 2012). </w:t>
      </w:r>
      <w:r>
        <w:rPr>
          <w:rFonts w:ascii="Times New Roman" w:hAnsi="Times New Roman"/>
        </w:rPr>
        <w:t>L</w:t>
      </w:r>
      <w:r w:rsidRPr="00555FB3">
        <w:rPr>
          <w:rFonts w:ascii="Times New Roman" w:hAnsi="Times New Roman"/>
        </w:rPr>
        <w:t xml:space="preserve">’accès à l’eau </w:t>
      </w:r>
      <w:r>
        <w:rPr>
          <w:rFonts w:ascii="Times New Roman" w:hAnsi="Times New Roman"/>
        </w:rPr>
        <w:t xml:space="preserve">et </w:t>
      </w:r>
      <w:r w:rsidR="00A744C4">
        <w:rPr>
          <w:rFonts w:ascii="Times New Roman" w:hAnsi="Times New Roman"/>
        </w:rPr>
        <w:t xml:space="preserve">à </w:t>
      </w:r>
      <w:r>
        <w:rPr>
          <w:rFonts w:ascii="Times New Roman" w:hAnsi="Times New Roman"/>
        </w:rPr>
        <w:t xml:space="preserve">l’assainissement </w:t>
      </w:r>
      <w:r w:rsidRPr="00555FB3">
        <w:rPr>
          <w:rFonts w:ascii="Times New Roman" w:hAnsi="Times New Roman"/>
        </w:rPr>
        <w:t xml:space="preserve">demeure problématique dans </w:t>
      </w:r>
      <w:r>
        <w:rPr>
          <w:rFonts w:ascii="Times New Roman" w:hAnsi="Times New Roman"/>
        </w:rPr>
        <w:t>plusieurs regions du pays et dans les camps de refugi</w:t>
      </w:r>
      <w:r w:rsidR="00A744C4">
        <w:rPr>
          <w:rFonts w:ascii="Times New Roman" w:hAnsi="Times New Roman"/>
        </w:rPr>
        <w:t>é</w:t>
      </w:r>
      <w:r>
        <w:rPr>
          <w:rFonts w:ascii="Times New Roman" w:hAnsi="Times New Roman"/>
        </w:rPr>
        <w:t xml:space="preserve">s. </w:t>
      </w:r>
      <w:r w:rsidRPr="00CB7071">
        <w:rPr>
          <w:rFonts w:ascii="Times New Roman" w:hAnsi="Times New Roman"/>
        </w:rPr>
        <w:t>Dans le</w:t>
      </w:r>
      <w:r>
        <w:rPr>
          <w:rFonts w:ascii="Times New Roman" w:hAnsi="Times New Roman"/>
        </w:rPr>
        <w:t xml:space="preserve"> domaine de l’assainissement, </w:t>
      </w:r>
      <w:r w:rsidRPr="00CB7071">
        <w:rPr>
          <w:rFonts w:ascii="Times New Roman" w:hAnsi="Times New Roman"/>
        </w:rPr>
        <w:t xml:space="preserve">le taux de couverture en termes de ménages </w:t>
      </w:r>
      <w:r>
        <w:rPr>
          <w:rFonts w:ascii="Times New Roman" w:hAnsi="Times New Roman"/>
        </w:rPr>
        <w:t>ayant accès à des latrines est environ</w:t>
      </w:r>
      <w:r w:rsidRPr="00CB7071">
        <w:rPr>
          <w:rFonts w:ascii="Times New Roman" w:hAnsi="Times New Roman"/>
        </w:rPr>
        <w:t xml:space="preserve"> </w:t>
      </w:r>
      <w:r>
        <w:rPr>
          <w:rFonts w:ascii="Times New Roman" w:hAnsi="Times New Roman"/>
        </w:rPr>
        <w:t>50</w:t>
      </w:r>
      <w:r w:rsidRPr="00CB7071">
        <w:rPr>
          <w:rFonts w:ascii="Times New Roman" w:hAnsi="Times New Roman"/>
        </w:rPr>
        <w:t>%</w:t>
      </w:r>
      <w:r>
        <w:rPr>
          <w:rFonts w:ascii="Times New Roman" w:hAnsi="Times New Roman"/>
        </w:rPr>
        <w:t>.</w:t>
      </w:r>
    </w:p>
    <w:p w14:paraId="3E680ACC" w14:textId="29393FFB" w:rsidR="006324E0" w:rsidRPr="007B20B3" w:rsidRDefault="00616968" w:rsidP="006324E0">
      <w:pPr>
        <w:jc w:val="both"/>
        <w:rPr>
          <w:rFonts w:ascii="Times New Roman" w:hAnsi="Times New Roman"/>
        </w:rPr>
      </w:pPr>
      <w:r w:rsidRPr="007B20B3">
        <w:rPr>
          <w:rFonts w:ascii="Times New Roman" w:hAnsi="Times New Roman"/>
        </w:rPr>
        <w:t>En conlusion, il faille noter qu’eu égard à sa forte fécondité (6,4 enfants par femme) et à l’extrême jeunesse de la population (plus de deux Tchadiens sur trois ont moins de 25 ans), il est attendu dans les 20 ans à venir  un doublement de l’effectif total actuel de Tchadiens. Mais le premier pas vers la réalisation de la transition démographique, posé par le fléchissement de la mortalité, est loin d’être accompagné par une réduction significative et rapide de la fécondité. Le ratio de dépendance très élevé (115) et la grande jeunesse de la population générant une proportion importante d’inactifs compromet l’accroissement de l’épargne et des investissements productifs au profit des dépenses d’éducation et de santé en faveur des enfants.</w:t>
      </w:r>
    </w:p>
    <w:p w14:paraId="38730209" w14:textId="68F64ABB" w:rsidR="006324E0" w:rsidRPr="00607D5C" w:rsidRDefault="003F2A7A" w:rsidP="006324E0">
      <w:pPr>
        <w:pStyle w:val="Heading2"/>
        <w:jc w:val="left"/>
        <w:rPr>
          <w:color w:val="2E74B5"/>
          <w:sz w:val="24"/>
        </w:rPr>
      </w:pPr>
      <w:bookmarkStart w:id="46" w:name="_Toc454635272"/>
      <w:bookmarkStart w:id="47" w:name="_Toc455604606"/>
      <w:bookmarkStart w:id="48" w:name="_Toc456889046"/>
      <w:bookmarkStart w:id="49" w:name="_Toc459363409"/>
      <w:r>
        <w:rPr>
          <w:color w:val="2E74B5"/>
          <w:sz w:val="24"/>
        </w:rPr>
        <w:t>2</w:t>
      </w:r>
      <w:r w:rsidR="006324E0" w:rsidRPr="00607D5C">
        <w:rPr>
          <w:color w:val="2E74B5"/>
          <w:sz w:val="24"/>
        </w:rPr>
        <w:t>.2.2. Stratégies de coopération des Nations Unies</w:t>
      </w:r>
      <w:bookmarkEnd w:id="46"/>
      <w:bookmarkEnd w:id="47"/>
      <w:bookmarkEnd w:id="48"/>
      <w:bookmarkEnd w:id="49"/>
    </w:p>
    <w:p w14:paraId="64FB24BC" w14:textId="62CECD2F" w:rsidR="00457ED2" w:rsidRPr="00636A54" w:rsidRDefault="006324E0" w:rsidP="006324E0">
      <w:pPr>
        <w:jc w:val="both"/>
        <w:rPr>
          <w:rFonts w:ascii="Times New Roman" w:hAnsi="Times New Roman"/>
          <w:szCs w:val="28"/>
        </w:rPr>
      </w:pPr>
      <w:r w:rsidRPr="00636A54">
        <w:rPr>
          <w:rFonts w:ascii="Times New Roman" w:hAnsi="Times New Roman"/>
          <w:szCs w:val="28"/>
        </w:rPr>
        <w:t>Le Système des Nations Unies entend continuer à œuvrer dans les secteurs des services sociaux de base : éducation, santé-VIH/sida, nutrition, alimentation, eau, hygiène et assainissement pour lesquels il détient un avantage comparatif</w:t>
      </w:r>
      <w:r w:rsidR="00457ED2" w:rsidRPr="00636A54">
        <w:rPr>
          <w:rFonts w:ascii="Times New Roman" w:hAnsi="Times New Roman"/>
          <w:szCs w:val="28"/>
        </w:rPr>
        <w:t xml:space="preserve"> afin d’aider le pays à bénéficier du dividende démographique. En effet, le Tchad ambitionne </w:t>
      </w:r>
      <w:r w:rsidR="001C4C84" w:rsidRPr="00636A54">
        <w:rPr>
          <w:rFonts w:ascii="Times New Roman" w:hAnsi="Times New Roman"/>
          <w:szCs w:val="28"/>
        </w:rPr>
        <w:t>d’atteindre le statut de pays émergent à l’horizon 2030 en investissant dans les secteurs de la santé, de l’éducation et de la création de l’emploi afin de bénéficier des bonus du dividende démographique</w:t>
      </w:r>
      <w:r w:rsidR="00C26762" w:rsidRPr="00636A54">
        <w:rPr>
          <w:rFonts w:ascii="Times New Roman" w:hAnsi="Times New Roman"/>
          <w:szCs w:val="28"/>
        </w:rPr>
        <w:t xml:space="preserve"> qui</w:t>
      </w:r>
      <w:r w:rsidR="00457ED2" w:rsidRPr="00636A54">
        <w:rPr>
          <w:rFonts w:ascii="Times New Roman" w:hAnsi="Times New Roman"/>
          <w:szCs w:val="28"/>
        </w:rPr>
        <w:t xml:space="preserve"> est un coup de pouce que le changement dans la structure d’âge d’une population peut apporter au développement économique d’un pays. Ce coup de pouce est une opportunité limitée dans le temps. Il n’est possible que lorsque le rapport du nombre de personnes (jeunes et vieux) à charge ou dépendantes des adultes en âge de travailler diminue. </w:t>
      </w:r>
    </w:p>
    <w:p w14:paraId="2F21E983" w14:textId="65021EBC" w:rsidR="006324E0" w:rsidRPr="00936602" w:rsidRDefault="00C26762" w:rsidP="006324E0">
      <w:pPr>
        <w:jc w:val="both"/>
        <w:rPr>
          <w:rFonts w:ascii="Times New Roman" w:hAnsi="Times New Roman"/>
          <w:szCs w:val="28"/>
        </w:rPr>
      </w:pPr>
      <w:r>
        <w:rPr>
          <w:rFonts w:ascii="Times New Roman" w:hAnsi="Times New Roman"/>
          <w:szCs w:val="28"/>
        </w:rPr>
        <w:t>En vue de saisir cettte opportunité de transformation de la société, l</w:t>
      </w:r>
      <w:r w:rsidR="006324E0" w:rsidRPr="00936602">
        <w:rPr>
          <w:rFonts w:ascii="Times New Roman" w:hAnsi="Times New Roman"/>
          <w:szCs w:val="28"/>
        </w:rPr>
        <w:t>a stratégie du SNU dans le domaine du capital humain consistera à appuyer l’amélioration de l’environnement, conforter l’offre et assurer l’accès de toutes les populations notamment les plus vulnérables, aux actifs sociaux.</w:t>
      </w:r>
    </w:p>
    <w:p w14:paraId="4308230D" w14:textId="77777777" w:rsidR="006324E0" w:rsidRPr="00936602" w:rsidRDefault="006324E0" w:rsidP="006324E0">
      <w:pPr>
        <w:jc w:val="both"/>
        <w:rPr>
          <w:rFonts w:ascii="Times New Roman" w:hAnsi="Times New Roman"/>
          <w:szCs w:val="28"/>
        </w:rPr>
      </w:pPr>
      <w:r w:rsidRPr="00936602">
        <w:rPr>
          <w:rFonts w:ascii="Times New Roman" w:hAnsi="Times New Roman"/>
          <w:szCs w:val="28"/>
        </w:rPr>
        <w:t xml:space="preserve">Dans cette perspective, le SNU s’attèlera à renforcer les capacités des </w:t>
      </w:r>
      <w:r>
        <w:rPr>
          <w:rFonts w:ascii="Times New Roman" w:hAnsi="Times New Roman"/>
          <w:szCs w:val="28"/>
        </w:rPr>
        <w:t>m</w:t>
      </w:r>
      <w:r w:rsidRPr="00936602">
        <w:rPr>
          <w:rFonts w:ascii="Times New Roman" w:hAnsi="Times New Roman"/>
          <w:szCs w:val="28"/>
        </w:rPr>
        <w:t xml:space="preserve">inistères sectoriels à élaborer, mettre en œuvre, suivre et évaluer les politiques sectorielles, à dynamiser le cadre législatif, règlementaire et juridique incluant la planification stratégique y compris dans les situations humanitaires ou d’urgence. Le renforcement des capacités concernera également les organisations communautaires de base et de manière plus large les communautés </w:t>
      </w:r>
      <w:r>
        <w:rPr>
          <w:rFonts w:ascii="Times New Roman" w:hAnsi="Times New Roman"/>
          <w:szCs w:val="28"/>
        </w:rPr>
        <w:t>afin qu’elles s’approprient</w:t>
      </w:r>
      <w:r w:rsidRPr="00936602">
        <w:rPr>
          <w:rFonts w:ascii="Times New Roman" w:hAnsi="Times New Roman"/>
          <w:szCs w:val="28"/>
        </w:rPr>
        <w:t xml:space="preserve"> et g</w:t>
      </w:r>
      <w:r>
        <w:rPr>
          <w:rFonts w:ascii="Times New Roman" w:hAnsi="Times New Roman"/>
          <w:szCs w:val="28"/>
        </w:rPr>
        <w:t>èrent mieux</w:t>
      </w:r>
      <w:r w:rsidRPr="00936602">
        <w:rPr>
          <w:rFonts w:ascii="Times New Roman" w:hAnsi="Times New Roman"/>
          <w:szCs w:val="28"/>
        </w:rPr>
        <w:t xml:space="preserve"> les infrastructures et équipements mis en place, </w:t>
      </w:r>
      <w:r>
        <w:rPr>
          <w:rFonts w:ascii="Times New Roman" w:hAnsi="Times New Roman"/>
          <w:szCs w:val="28"/>
        </w:rPr>
        <w:t>et utilisent des</w:t>
      </w:r>
      <w:r w:rsidRPr="00936602">
        <w:rPr>
          <w:rFonts w:ascii="Times New Roman" w:hAnsi="Times New Roman"/>
          <w:szCs w:val="28"/>
        </w:rPr>
        <w:t xml:space="preserve"> services sociaux de qualité y compris en situation d’urgence.</w:t>
      </w:r>
    </w:p>
    <w:p w14:paraId="2A35891C" w14:textId="77777777" w:rsidR="006324E0" w:rsidRDefault="006324E0" w:rsidP="006324E0">
      <w:pPr>
        <w:jc w:val="both"/>
        <w:rPr>
          <w:rFonts w:ascii="Times New Roman" w:hAnsi="Times New Roman"/>
          <w:szCs w:val="28"/>
        </w:rPr>
      </w:pPr>
      <w:r w:rsidRPr="00936602">
        <w:rPr>
          <w:rFonts w:ascii="Times New Roman" w:hAnsi="Times New Roman"/>
          <w:szCs w:val="28"/>
        </w:rPr>
        <w:t xml:space="preserve">L’amélioration de l’offre en services sociaux de base passera par une augmentation substantielle des infrastructures, des intrants et des ressources humaines qualifiées pour une réponse adaptée aux besoins des populations les plus vulnérables des zones ciblées, </w:t>
      </w:r>
      <w:r>
        <w:rPr>
          <w:rFonts w:ascii="Times New Roman" w:hAnsi="Times New Roman"/>
          <w:szCs w:val="28"/>
        </w:rPr>
        <w:t xml:space="preserve">y compris les </w:t>
      </w:r>
      <w:r w:rsidRPr="00FB5A36">
        <w:rPr>
          <w:rFonts w:ascii="Times New Roman" w:hAnsi="Times New Roman"/>
          <w:szCs w:val="28"/>
        </w:rPr>
        <w:t>réfugiés</w:t>
      </w:r>
      <w:r>
        <w:rPr>
          <w:rFonts w:ascii="Times New Roman" w:hAnsi="Times New Roman"/>
          <w:szCs w:val="28"/>
        </w:rPr>
        <w:t xml:space="preserve"> </w:t>
      </w:r>
      <w:r w:rsidRPr="00936602">
        <w:rPr>
          <w:rFonts w:ascii="Times New Roman" w:hAnsi="Times New Roman"/>
          <w:szCs w:val="28"/>
        </w:rPr>
        <w:t xml:space="preserve">et en tenant compte des situations d’urgence. </w:t>
      </w:r>
    </w:p>
    <w:p w14:paraId="56415CA7" w14:textId="632CAA16" w:rsidR="00A744C4" w:rsidRPr="00936602" w:rsidRDefault="00A744C4" w:rsidP="00A744C4">
      <w:pPr>
        <w:jc w:val="both"/>
        <w:rPr>
          <w:rFonts w:ascii="Times New Roman" w:hAnsi="Times New Roman"/>
          <w:szCs w:val="28"/>
        </w:rPr>
      </w:pPr>
      <w:r w:rsidRPr="00936602">
        <w:rPr>
          <w:rFonts w:ascii="Times New Roman" w:hAnsi="Times New Roman"/>
          <w:szCs w:val="28"/>
        </w:rPr>
        <w:t xml:space="preserve">S’agissant de l’éducation </w:t>
      </w:r>
      <w:r>
        <w:rPr>
          <w:rFonts w:ascii="Times New Roman" w:hAnsi="Times New Roman"/>
          <w:szCs w:val="28"/>
        </w:rPr>
        <w:t>prescolaire et fondamentale</w:t>
      </w:r>
      <w:r w:rsidRPr="00936602">
        <w:rPr>
          <w:rFonts w:ascii="Times New Roman" w:hAnsi="Times New Roman"/>
          <w:szCs w:val="28"/>
        </w:rPr>
        <w:t>, l’accès et</w:t>
      </w:r>
      <w:r>
        <w:rPr>
          <w:rFonts w:ascii="Times New Roman" w:hAnsi="Times New Roman"/>
          <w:szCs w:val="28"/>
        </w:rPr>
        <w:t xml:space="preserve"> le</w:t>
      </w:r>
      <w:r w:rsidRPr="00936602">
        <w:rPr>
          <w:rFonts w:ascii="Times New Roman" w:hAnsi="Times New Roman"/>
          <w:szCs w:val="28"/>
        </w:rPr>
        <w:t xml:space="preserve"> maintien des enfants, particulièrement les jeunes filles à l’école sera promu à travers</w:t>
      </w:r>
      <w:r>
        <w:rPr>
          <w:rFonts w:ascii="Times New Roman" w:hAnsi="Times New Roman"/>
          <w:szCs w:val="28"/>
        </w:rPr>
        <w:t xml:space="preserve"> des plaidoyers au plus haut niveau, des sensibilisations au niveau communautaire,</w:t>
      </w:r>
      <w:r w:rsidRPr="00936602">
        <w:rPr>
          <w:rFonts w:ascii="Times New Roman" w:hAnsi="Times New Roman"/>
          <w:szCs w:val="28"/>
        </w:rPr>
        <w:t xml:space="preserve"> la mise en place </w:t>
      </w:r>
      <w:r>
        <w:rPr>
          <w:rFonts w:ascii="Times New Roman" w:hAnsi="Times New Roman"/>
          <w:szCs w:val="28"/>
        </w:rPr>
        <w:t>de mesures incitatives dont la construction d’infrastructures scolaires, le renforcement des capacit</w:t>
      </w:r>
      <w:r w:rsidR="002155EC">
        <w:rPr>
          <w:rFonts w:ascii="Times New Roman" w:hAnsi="Times New Roman"/>
          <w:szCs w:val="28"/>
        </w:rPr>
        <w:t>é</w:t>
      </w:r>
      <w:r>
        <w:rPr>
          <w:rFonts w:ascii="Times New Roman" w:hAnsi="Times New Roman"/>
          <w:szCs w:val="28"/>
        </w:rPr>
        <w:t xml:space="preserve">s des ressources humaines, la mise </w:t>
      </w:r>
      <w:r w:rsidR="002155EC">
        <w:rPr>
          <w:rFonts w:ascii="Times New Roman" w:hAnsi="Times New Roman"/>
          <w:szCs w:val="28"/>
        </w:rPr>
        <w:t>à</w:t>
      </w:r>
      <w:r>
        <w:rPr>
          <w:rFonts w:ascii="Times New Roman" w:hAnsi="Times New Roman"/>
          <w:szCs w:val="28"/>
        </w:rPr>
        <w:t xml:space="preserve"> disposition d’intrants pedagogiques,  et </w:t>
      </w:r>
      <w:r w:rsidR="002155EC">
        <w:rPr>
          <w:rFonts w:ascii="Times New Roman" w:hAnsi="Times New Roman"/>
          <w:szCs w:val="28"/>
        </w:rPr>
        <w:t>d</w:t>
      </w:r>
      <w:r w:rsidRPr="00936602">
        <w:rPr>
          <w:rFonts w:ascii="Times New Roman" w:hAnsi="Times New Roman"/>
          <w:szCs w:val="28"/>
        </w:rPr>
        <w:t xml:space="preserve">es cantines scolaires dans les zones ciblées les plus difficiles. </w:t>
      </w:r>
      <w:r>
        <w:rPr>
          <w:rFonts w:ascii="Times New Roman" w:hAnsi="Times New Roman"/>
          <w:szCs w:val="28"/>
        </w:rPr>
        <w:t>L</w:t>
      </w:r>
      <w:r w:rsidRPr="00936602">
        <w:rPr>
          <w:rFonts w:ascii="Times New Roman" w:hAnsi="Times New Roman"/>
          <w:szCs w:val="28"/>
        </w:rPr>
        <w:t>es capacités professionnelles et techniques des jeunes scolarisés, déscolarisés et non scolarisés et les adultes analphabètes seront accrues pour augmenter leurs potentiels d’accès à un emploi décent.</w:t>
      </w:r>
      <w:r>
        <w:rPr>
          <w:rFonts w:ascii="Times New Roman" w:hAnsi="Times New Roman"/>
          <w:szCs w:val="28"/>
        </w:rPr>
        <w:t xml:space="preserve"> </w:t>
      </w:r>
      <w:r w:rsidRPr="000A2C52">
        <w:rPr>
          <w:rFonts w:ascii="Times New Roman" w:hAnsi="Times New Roman"/>
          <w:szCs w:val="28"/>
        </w:rPr>
        <w:t xml:space="preserve">En ce qui concerne la santé de la reproduction, </w:t>
      </w:r>
      <w:r w:rsidRPr="008B65C8">
        <w:rPr>
          <w:rFonts w:ascii="Times New Roman" w:hAnsi="Times New Roman"/>
          <w:szCs w:val="28"/>
        </w:rPr>
        <w:t xml:space="preserve">la couverture adéquate en </w:t>
      </w:r>
      <w:r>
        <w:rPr>
          <w:rFonts w:ascii="Times New Roman" w:hAnsi="Times New Roman"/>
          <w:szCs w:val="28"/>
        </w:rPr>
        <w:t>S</w:t>
      </w:r>
      <w:r w:rsidRPr="008B65C8">
        <w:rPr>
          <w:rFonts w:ascii="Times New Roman" w:hAnsi="Times New Roman"/>
          <w:szCs w:val="28"/>
        </w:rPr>
        <w:t>oins Obstétricaux et</w:t>
      </w:r>
      <w:r w:rsidRPr="00B373AD">
        <w:rPr>
          <w:rFonts w:ascii="Times New Roman" w:hAnsi="Times New Roman"/>
          <w:szCs w:val="28"/>
        </w:rPr>
        <w:t xml:space="preserve"> Néonataux d’Urgence</w:t>
      </w:r>
      <w:r>
        <w:rPr>
          <w:rFonts w:ascii="Times New Roman" w:hAnsi="Times New Roman"/>
          <w:szCs w:val="28"/>
        </w:rPr>
        <w:t xml:space="preserve"> (SONU)</w:t>
      </w:r>
      <w:r w:rsidRPr="00B373AD">
        <w:rPr>
          <w:rFonts w:ascii="Times New Roman" w:hAnsi="Times New Roman"/>
          <w:szCs w:val="28"/>
        </w:rPr>
        <w:t xml:space="preserve"> et la promotion de leur utilisation seront inte</w:t>
      </w:r>
      <w:r>
        <w:rPr>
          <w:rFonts w:ascii="Times New Roman" w:hAnsi="Times New Roman"/>
          <w:szCs w:val="28"/>
        </w:rPr>
        <w:t>n</w:t>
      </w:r>
      <w:r w:rsidRPr="00B373AD">
        <w:rPr>
          <w:rFonts w:ascii="Times New Roman" w:hAnsi="Times New Roman"/>
          <w:szCs w:val="28"/>
        </w:rPr>
        <w:t xml:space="preserve">sifiées ainsi que </w:t>
      </w:r>
      <w:r w:rsidRPr="00864FAF">
        <w:rPr>
          <w:rFonts w:ascii="Times New Roman" w:hAnsi="Times New Roman"/>
          <w:szCs w:val="28"/>
        </w:rPr>
        <w:t xml:space="preserve">l’accès des adolescentes et filles marginalisées à l'information et aux services de santé sexuelle et reproductive à travers la sensibilisation </w:t>
      </w:r>
      <w:r>
        <w:rPr>
          <w:rFonts w:ascii="Times New Roman" w:hAnsi="Times New Roman"/>
          <w:szCs w:val="28"/>
        </w:rPr>
        <w:t>et</w:t>
      </w:r>
      <w:r w:rsidRPr="00864FAF">
        <w:rPr>
          <w:rFonts w:ascii="Times New Roman" w:hAnsi="Times New Roman"/>
          <w:szCs w:val="28"/>
        </w:rPr>
        <w:t xml:space="preserve"> l’aménagement de services conviviaux</w:t>
      </w:r>
      <w:r>
        <w:rPr>
          <w:rFonts w:ascii="Times New Roman" w:hAnsi="Times New Roman"/>
          <w:szCs w:val="28"/>
        </w:rPr>
        <w:t>, y compris à base communautaire,</w:t>
      </w:r>
      <w:r w:rsidRPr="00864FAF">
        <w:rPr>
          <w:rFonts w:ascii="Times New Roman" w:hAnsi="Times New Roman"/>
          <w:szCs w:val="28"/>
        </w:rPr>
        <w:t xml:space="preserve"> </w:t>
      </w:r>
      <w:r>
        <w:rPr>
          <w:rFonts w:ascii="Times New Roman" w:hAnsi="Times New Roman"/>
          <w:szCs w:val="28"/>
        </w:rPr>
        <w:t>fournissant des</w:t>
      </w:r>
      <w:r w:rsidRPr="00864FAF">
        <w:rPr>
          <w:rFonts w:ascii="Times New Roman" w:hAnsi="Times New Roman"/>
          <w:szCs w:val="28"/>
        </w:rPr>
        <w:t xml:space="preserve"> conseils de qualité.</w:t>
      </w:r>
      <w:r w:rsidRPr="000A2C52">
        <w:rPr>
          <w:rFonts w:ascii="Times New Roman" w:hAnsi="Times New Roman"/>
          <w:szCs w:val="28"/>
        </w:rPr>
        <w:t xml:space="preserve"> </w:t>
      </w:r>
    </w:p>
    <w:p w14:paraId="066FB470" w14:textId="77777777" w:rsidR="00B43345" w:rsidRPr="00907C65" w:rsidRDefault="00044E1F" w:rsidP="00044E1F">
      <w:pPr>
        <w:jc w:val="both"/>
        <w:rPr>
          <w:rFonts w:ascii="Times New Roman" w:hAnsi="Times New Roman"/>
          <w:szCs w:val="28"/>
        </w:rPr>
      </w:pPr>
      <w:r w:rsidRPr="00907C65">
        <w:rPr>
          <w:rFonts w:ascii="Times New Roman" w:hAnsi="Times New Roman"/>
          <w:szCs w:val="28"/>
        </w:rPr>
        <w:t>L’avancement de l’égalié des sexes reste une pièce maitr</w:t>
      </w:r>
      <w:r w:rsidR="00B43345" w:rsidRPr="00907C65">
        <w:rPr>
          <w:rFonts w:ascii="Times New Roman" w:hAnsi="Times New Roman"/>
          <w:szCs w:val="28"/>
        </w:rPr>
        <w:t>esse dans la realisation</w:t>
      </w:r>
      <w:r w:rsidRPr="00907C65">
        <w:rPr>
          <w:rFonts w:ascii="Times New Roman" w:hAnsi="Times New Roman"/>
          <w:szCs w:val="28"/>
        </w:rPr>
        <w:t xml:space="preserve"> des droits des populations. C’est pourquoi le SNU mettra un accent particulier sur les actions suivantes : la lutte contre le mariage des enfants, les violences basées sur le genre y compris dans les situations d’urgence, la promotion de l’éducation des filles jusqu’au niveau secondaire, et la promotion d’une santé de la Reproduction des adolescents adaptée. </w:t>
      </w:r>
    </w:p>
    <w:p w14:paraId="2595EAC5" w14:textId="4EDE3F30" w:rsidR="00B43345" w:rsidRPr="00907C65" w:rsidRDefault="00B43345" w:rsidP="00B43345">
      <w:pPr>
        <w:jc w:val="both"/>
        <w:rPr>
          <w:rFonts w:ascii="Times New Roman" w:hAnsi="Times New Roman"/>
          <w:szCs w:val="28"/>
        </w:rPr>
      </w:pPr>
      <w:r w:rsidRPr="00907C65">
        <w:rPr>
          <w:rFonts w:ascii="Times New Roman" w:hAnsi="Times New Roman"/>
          <w:szCs w:val="28"/>
        </w:rPr>
        <w:t>Pour ce qui concerne le mariage d’enfant, la mise en œuvre de la feuille de Gouvernement fera l’objet du cadre de collaboration du SNU, il convient de noter que malgré tous les efforts fournis par le Gouvernement du Tchad et ses partenaires, selon le dernier EDS-MICS, 68% des filles de moins 18 ans et 29% de celles de moins 15 ans sont mariées. Par ailleurs, une étude réalisée par le Ministère de la Femme de l’Action Sociale et de la Solidarité Nationale avec l’appui de l’UNICEF en 2014 a permis d’observer que le mariage est la première forme de Violences Basées sur le Genre subie par les enfants et exprimée par toutes les couches représentées dans les trois régions qui ont été évaluées (Ouaddai, Mandoul et Tandjile). Les conclusions et recommandations de cette étude ont servi de base pour faire le plaidoyer auprès des plus hautes autorités du Pays lors de la campagne nationale qui s’est tenue en mars 2015. Le résultat de ce plaidoyer a été la promulgation de la loi 029 du 21 juillet 2015 portant interdiction du mariage et l’adoption d’une feuille de route nationale de lutte contre le mariage. Mais à ce jour la Politique Nationale Genre et la Stratégie Nationale sur les Violences basées sur le Genre qui ont été techniquement validées attendent toujours une adoption officielle.</w:t>
      </w:r>
    </w:p>
    <w:p w14:paraId="035C4D8E" w14:textId="6FD28B21" w:rsidR="00B43345" w:rsidRPr="00907C65" w:rsidRDefault="00B43345" w:rsidP="00B43345">
      <w:pPr>
        <w:jc w:val="both"/>
        <w:rPr>
          <w:rFonts w:ascii="Times New Roman" w:hAnsi="Times New Roman"/>
          <w:szCs w:val="28"/>
        </w:rPr>
      </w:pPr>
      <w:r w:rsidRPr="00907C65">
        <w:rPr>
          <w:rFonts w:ascii="Times New Roman" w:hAnsi="Times New Roman"/>
          <w:szCs w:val="28"/>
        </w:rPr>
        <w:t>Les violences basées sur le genre et la mobilisation sociale contre elles se manifestent sous diverses formes et remontent certainement à des périodes historiques très anciennes. La fin du  20ème  siècle et le début du 21ème ont vu se développer une mobilisation internationale, sans précédent contre les violences basées sur le genre.</w:t>
      </w:r>
    </w:p>
    <w:p w14:paraId="3A51E668" w14:textId="04552643" w:rsidR="00B43345" w:rsidRPr="00907C65" w:rsidRDefault="00B43345" w:rsidP="00636A54">
      <w:pPr>
        <w:jc w:val="both"/>
        <w:rPr>
          <w:rFonts w:ascii="Times New Roman" w:hAnsi="Times New Roman"/>
          <w:szCs w:val="28"/>
        </w:rPr>
      </w:pPr>
      <w:r w:rsidRPr="00907C65">
        <w:rPr>
          <w:rFonts w:ascii="Times New Roman" w:hAnsi="Times New Roman"/>
          <w:szCs w:val="28"/>
        </w:rPr>
        <w:t xml:space="preserve">Ainsi la lutte contre la violence basée sur le genre fait l’objet de dispositions internationales prises par les Nations-Unies et </w:t>
      </w:r>
      <w:r w:rsidR="00636A54">
        <w:rPr>
          <w:rFonts w:ascii="Times New Roman" w:hAnsi="Times New Roman"/>
          <w:szCs w:val="28"/>
        </w:rPr>
        <w:t>les organismes inter Africains  dont : l</w:t>
      </w:r>
      <w:r w:rsidRPr="00636A54">
        <w:rPr>
          <w:rFonts w:ascii="Times New Roman" w:hAnsi="Times New Roman"/>
          <w:szCs w:val="28"/>
        </w:rPr>
        <w:t>a Convention et le Protocole Additionnel sur l’Elimination de toutes les formes de discrimination à l’égard des femmes,</w:t>
      </w:r>
      <w:r w:rsidR="00636A54">
        <w:rPr>
          <w:rFonts w:ascii="Times New Roman" w:hAnsi="Times New Roman"/>
          <w:szCs w:val="28"/>
        </w:rPr>
        <w:t xml:space="preserve"> l</w:t>
      </w:r>
      <w:r w:rsidRPr="00907C65">
        <w:rPr>
          <w:rFonts w:ascii="Times New Roman" w:hAnsi="Times New Roman"/>
          <w:szCs w:val="28"/>
        </w:rPr>
        <w:t xml:space="preserve">a  Déclaration des Nations-Unies sur l’Elimination de la violence contre les femmes, </w:t>
      </w:r>
      <w:r w:rsidR="00636A54">
        <w:rPr>
          <w:rFonts w:ascii="Times New Roman" w:hAnsi="Times New Roman"/>
          <w:szCs w:val="28"/>
        </w:rPr>
        <w:t>l</w:t>
      </w:r>
      <w:r w:rsidRPr="00907C65">
        <w:rPr>
          <w:rFonts w:ascii="Times New Roman" w:hAnsi="Times New Roman"/>
          <w:szCs w:val="28"/>
        </w:rPr>
        <w:t>a Plate-forme de la conférence de Beijing de 1995 sur les violences et sur la protection des femmes,</w:t>
      </w:r>
      <w:r w:rsidR="00636A54">
        <w:rPr>
          <w:rFonts w:ascii="Times New Roman" w:hAnsi="Times New Roman"/>
          <w:szCs w:val="28"/>
        </w:rPr>
        <w:t xml:space="preserve"> l</w:t>
      </w:r>
      <w:r w:rsidRPr="00907C65">
        <w:rPr>
          <w:rFonts w:ascii="Times New Roman" w:hAnsi="Times New Roman"/>
          <w:szCs w:val="28"/>
        </w:rPr>
        <w:t>a Déclaration du Millénaire sur les formes de violences à l’encontre des femmes,</w:t>
      </w:r>
      <w:r w:rsidR="00636A54">
        <w:rPr>
          <w:rFonts w:ascii="Times New Roman" w:hAnsi="Times New Roman"/>
          <w:szCs w:val="28"/>
        </w:rPr>
        <w:t xml:space="preserve"> l</w:t>
      </w:r>
      <w:r w:rsidR="0035290F" w:rsidRPr="00907C65">
        <w:rPr>
          <w:rFonts w:ascii="Times New Roman" w:hAnsi="Times New Roman"/>
          <w:szCs w:val="28"/>
        </w:rPr>
        <w:t>a r</w:t>
      </w:r>
      <w:r w:rsidRPr="00907C65">
        <w:rPr>
          <w:rFonts w:ascii="Times New Roman" w:hAnsi="Times New Roman"/>
          <w:szCs w:val="28"/>
        </w:rPr>
        <w:t>ésolution des Nations-Unies sur  « l’intensification des efforts pour Eliminer toutes les Formes de violences  à l’Egard des Femmes »,</w:t>
      </w:r>
      <w:r w:rsidR="00636A54">
        <w:rPr>
          <w:rFonts w:ascii="Times New Roman" w:hAnsi="Times New Roman"/>
          <w:szCs w:val="28"/>
        </w:rPr>
        <w:t xml:space="preserve"> l</w:t>
      </w:r>
      <w:r w:rsidRPr="00907C65">
        <w:rPr>
          <w:rFonts w:ascii="Times New Roman" w:hAnsi="Times New Roman"/>
          <w:szCs w:val="28"/>
        </w:rPr>
        <w:t>a Campagne du Secrétaire General des Nations Unies visant à l’éradication de la violence faite aux  femmes d’ici 2015</w:t>
      </w:r>
      <w:r w:rsidR="00636A54">
        <w:rPr>
          <w:rFonts w:ascii="Times New Roman" w:hAnsi="Times New Roman"/>
          <w:szCs w:val="28"/>
        </w:rPr>
        <w:t xml:space="preserve"> et l</w:t>
      </w:r>
      <w:r w:rsidRPr="00907C65">
        <w:rPr>
          <w:rFonts w:ascii="Times New Roman" w:hAnsi="Times New Roman"/>
          <w:szCs w:val="28"/>
        </w:rPr>
        <w:t>a D</w:t>
      </w:r>
      <w:r w:rsidR="0035290F" w:rsidRPr="00907C65">
        <w:rPr>
          <w:rFonts w:ascii="Times New Roman" w:hAnsi="Times New Roman"/>
          <w:szCs w:val="28"/>
        </w:rPr>
        <w:t>é</w:t>
      </w:r>
      <w:r w:rsidRPr="00907C65">
        <w:rPr>
          <w:rFonts w:ascii="Times New Roman" w:hAnsi="Times New Roman"/>
          <w:szCs w:val="28"/>
        </w:rPr>
        <w:t>claration Solennelle sur l’Egalite de Genre en Afrique.</w:t>
      </w:r>
    </w:p>
    <w:p w14:paraId="7300FA78" w14:textId="6F342A5A" w:rsidR="00B43345" w:rsidRPr="00907C65" w:rsidRDefault="00B43345" w:rsidP="00B43345">
      <w:pPr>
        <w:jc w:val="both"/>
        <w:rPr>
          <w:rFonts w:ascii="Times New Roman" w:hAnsi="Times New Roman"/>
          <w:szCs w:val="28"/>
        </w:rPr>
      </w:pPr>
      <w:r w:rsidRPr="00907C65">
        <w:rPr>
          <w:rFonts w:ascii="Times New Roman" w:hAnsi="Times New Roman"/>
          <w:szCs w:val="28"/>
        </w:rPr>
        <w:t>L’utilisation d’un tel cadre normatif pour me</w:t>
      </w:r>
      <w:r w:rsidR="0035290F" w:rsidRPr="00907C65">
        <w:rPr>
          <w:rFonts w:ascii="Times New Roman" w:hAnsi="Times New Roman"/>
          <w:szCs w:val="28"/>
        </w:rPr>
        <w:t>ttre en place une approche de ré</w:t>
      </w:r>
      <w:r w:rsidRPr="00907C65">
        <w:rPr>
          <w:rFonts w:ascii="Times New Roman" w:hAnsi="Times New Roman"/>
          <w:szCs w:val="28"/>
        </w:rPr>
        <w:t>ponse globale contre les violence</w:t>
      </w:r>
      <w:r w:rsidR="0035290F" w:rsidRPr="00907C65">
        <w:rPr>
          <w:rFonts w:ascii="Times New Roman" w:hAnsi="Times New Roman"/>
          <w:szCs w:val="28"/>
        </w:rPr>
        <w:t>s basé</w:t>
      </w:r>
      <w:r w:rsidRPr="00907C65">
        <w:rPr>
          <w:rFonts w:ascii="Times New Roman" w:hAnsi="Times New Roman"/>
          <w:szCs w:val="28"/>
        </w:rPr>
        <w:t>e</w:t>
      </w:r>
      <w:r w:rsidR="0035290F" w:rsidRPr="00907C65">
        <w:rPr>
          <w:rFonts w:ascii="Times New Roman" w:hAnsi="Times New Roman"/>
          <w:szCs w:val="28"/>
        </w:rPr>
        <w:t>s</w:t>
      </w:r>
      <w:r w:rsidRPr="00907C65">
        <w:rPr>
          <w:rFonts w:ascii="Times New Roman" w:hAnsi="Times New Roman"/>
          <w:szCs w:val="28"/>
        </w:rPr>
        <w:t xml:space="preserve"> sur le Genre va retenir l’attention du SNU en terme d’appui au Gouvernement du Tchad.</w:t>
      </w:r>
    </w:p>
    <w:p w14:paraId="0795D3DE" w14:textId="69134DDB" w:rsidR="00B43345" w:rsidRPr="00907C65" w:rsidRDefault="00B43345" w:rsidP="00B43345">
      <w:pPr>
        <w:jc w:val="both"/>
        <w:rPr>
          <w:rFonts w:ascii="Times New Roman" w:hAnsi="Times New Roman"/>
          <w:szCs w:val="28"/>
        </w:rPr>
      </w:pPr>
      <w:r w:rsidRPr="00907C65">
        <w:rPr>
          <w:rFonts w:ascii="Times New Roman" w:hAnsi="Times New Roman"/>
          <w:szCs w:val="28"/>
        </w:rPr>
        <w:t xml:space="preserve">Par rapport </w:t>
      </w:r>
      <w:r w:rsidR="0035290F" w:rsidRPr="00907C65">
        <w:rPr>
          <w:rFonts w:ascii="Times New Roman" w:hAnsi="Times New Roman"/>
          <w:szCs w:val="28"/>
        </w:rPr>
        <w:t>à l’accè</w:t>
      </w:r>
      <w:r w:rsidRPr="00907C65">
        <w:rPr>
          <w:rFonts w:ascii="Times New Roman" w:hAnsi="Times New Roman"/>
          <w:szCs w:val="28"/>
        </w:rPr>
        <w:t xml:space="preserve">s </w:t>
      </w:r>
      <w:r w:rsidR="0035290F" w:rsidRPr="00907C65">
        <w:rPr>
          <w:rFonts w:ascii="Times New Roman" w:hAnsi="Times New Roman"/>
          <w:szCs w:val="28"/>
        </w:rPr>
        <w:t>à</w:t>
      </w:r>
      <w:r w:rsidRPr="00907C65">
        <w:rPr>
          <w:rFonts w:ascii="Times New Roman" w:hAnsi="Times New Roman"/>
          <w:szCs w:val="28"/>
        </w:rPr>
        <w:t xml:space="preserve"> l’ecole et au maintien d</w:t>
      </w:r>
      <w:r w:rsidR="0035290F" w:rsidRPr="00907C65">
        <w:rPr>
          <w:rFonts w:ascii="Times New Roman" w:hAnsi="Times New Roman"/>
          <w:szCs w:val="28"/>
        </w:rPr>
        <w:t>es filles jusqu’au niveau secon</w:t>
      </w:r>
      <w:r w:rsidRPr="00907C65">
        <w:rPr>
          <w:rFonts w:ascii="Times New Roman" w:hAnsi="Times New Roman"/>
          <w:szCs w:val="28"/>
        </w:rPr>
        <w:t>daire</w:t>
      </w:r>
      <w:r w:rsidR="0035290F" w:rsidRPr="00907C65">
        <w:rPr>
          <w:rFonts w:ascii="Times New Roman" w:hAnsi="Times New Roman"/>
          <w:szCs w:val="28"/>
        </w:rPr>
        <w:t>, il convient de noter que</w:t>
      </w:r>
      <w:r w:rsidRPr="00907C65">
        <w:rPr>
          <w:rFonts w:ascii="Times New Roman" w:hAnsi="Times New Roman"/>
          <w:szCs w:val="28"/>
        </w:rPr>
        <w:t xml:space="preserve"> le faible statut de la fille lui donne un pouvoir presque nul de décision sur sa vie et son  futur : la majorité d’entre elles ne participe pas aux décisions sur  leur éducation, leur insertion professionnelle et de leur mariage et aussi sur leur santé. </w:t>
      </w:r>
    </w:p>
    <w:p w14:paraId="54C4C4D8" w14:textId="771DF751" w:rsidR="006324E0" w:rsidRPr="00936602" w:rsidRDefault="006324E0" w:rsidP="006324E0">
      <w:pPr>
        <w:jc w:val="both"/>
        <w:rPr>
          <w:rFonts w:ascii="Times New Roman" w:hAnsi="Times New Roman"/>
          <w:szCs w:val="28"/>
        </w:rPr>
      </w:pPr>
      <w:r w:rsidRPr="00936602">
        <w:rPr>
          <w:rFonts w:ascii="Times New Roman" w:hAnsi="Times New Roman"/>
          <w:szCs w:val="28"/>
        </w:rPr>
        <w:t>Un accent particulier</w:t>
      </w:r>
      <w:r w:rsidR="0035290F">
        <w:rPr>
          <w:rFonts w:ascii="Times New Roman" w:hAnsi="Times New Roman"/>
          <w:szCs w:val="28"/>
        </w:rPr>
        <w:t xml:space="preserve"> </w:t>
      </w:r>
      <w:r w:rsidRPr="00936602">
        <w:rPr>
          <w:rFonts w:ascii="Times New Roman" w:hAnsi="Times New Roman"/>
          <w:szCs w:val="28"/>
        </w:rPr>
        <w:t xml:space="preserve">sera mis sur </w:t>
      </w:r>
      <w:r>
        <w:rPr>
          <w:rFonts w:ascii="Times New Roman" w:hAnsi="Times New Roman"/>
          <w:szCs w:val="28"/>
        </w:rPr>
        <w:t xml:space="preserve">l’accès à l’information, </w:t>
      </w:r>
      <w:r w:rsidRPr="00936602">
        <w:rPr>
          <w:rFonts w:ascii="Times New Roman" w:hAnsi="Times New Roman"/>
          <w:szCs w:val="28"/>
        </w:rPr>
        <w:t>l’amélioration des connaissances, des aptitudes et des pratiques des populations les plus vulnérables, notamment les enfants, les adolescents</w:t>
      </w:r>
      <w:r>
        <w:rPr>
          <w:rFonts w:ascii="Times New Roman" w:hAnsi="Times New Roman"/>
          <w:szCs w:val="28"/>
        </w:rPr>
        <w:t>, les jeunes</w:t>
      </w:r>
      <w:r w:rsidRPr="00936602">
        <w:rPr>
          <w:rFonts w:ascii="Times New Roman" w:hAnsi="Times New Roman"/>
          <w:szCs w:val="28"/>
        </w:rPr>
        <w:t xml:space="preserve"> et les femmes,</w:t>
      </w:r>
      <w:r>
        <w:rPr>
          <w:rFonts w:ascii="Times New Roman" w:hAnsi="Times New Roman"/>
          <w:szCs w:val="28"/>
        </w:rPr>
        <w:t xml:space="preserve"> pour leur permettre de</w:t>
      </w:r>
      <w:r w:rsidRPr="00936602">
        <w:rPr>
          <w:rFonts w:ascii="Times New Roman" w:hAnsi="Times New Roman"/>
          <w:szCs w:val="28"/>
        </w:rPr>
        <w:t xml:space="preserve"> requérir les services sociaux de base, lutter contre les violences et contribuer à la consolidation de la paix. </w:t>
      </w:r>
    </w:p>
    <w:p w14:paraId="1BC07C6B" w14:textId="77777777" w:rsidR="006324E0" w:rsidRDefault="006324E0" w:rsidP="00B670F9">
      <w:pPr>
        <w:pStyle w:val="ListParagraph"/>
        <w:ind w:left="0"/>
        <w:jc w:val="both"/>
        <w:rPr>
          <w:rFonts w:ascii="Times New Roman" w:hAnsi="Times New Roman"/>
          <w:sz w:val="24"/>
          <w:szCs w:val="28"/>
        </w:rPr>
      </w:pPr>
    </w:p>
    <w:p w14:paraId="4271E891" w14:textId="7E7E7655" w:rsidR="006324E0" w:rsidRPr="00607D5C" w:rsidRDefault="003F2A7A" w:rsidP="006324E0">
      <w:pPr>
        <w:pStyle w:val="Heading2"/>
        <w:jc w:val="left"/>
        <w:rPr>
          <w:color w:val="2E74B5"/>
          <w:sz w:val="24"/>
        </w:rPr>
      </w:pPr>
      <w:bookmarkStart w:id="50" w:name="_Toc454635273"/>
      <w:bookmarkStart w:id="51" w:name="_Toc455604607"/>
      <w:bookmarkStart w:id="52" w:name="_Toc459363410"/>
      <w:bookmarkStart w:id="53" w:name="_Toc456889047"/>
      <w:r>
        <w:rPr>
          <w:color w:val="2E74B5"/>
          <w:sz w:val="24"/>
        </w:rPr>
        <w:t>2</w:t>
      </w:r>
      <w:r w:rsidR="006324E0" w:rsidRPr="00607D5C">
        <w:rPr>
          <w:color w:val="2E74B5"/>
          <w:sz w:val="24"/>
        </w:rPr>
        <w:t>.2.</w:t>
      </w:r>
      <w:r w:rsidR="00642757">
        <w:rPr>
          <w:color w:val="2E74B5"/>
          <w:sz w:val="24"/>
        </w:rPr>
        <w:t>3</w:t>
      </w:r>
      <w:r w:rsidR="006324E0" w:rsidRPr="00607D5C">
        <w:rPr>
          <w:color w:val="2E74B5"/>
          <w:sz w:val="24"/>
        </w:rPr>
        <w:t>. Résultats attendus</w:t>
      </w:r>
      <w:bookmarkEnd w:id="50"/>
      <w:bookmarkEnd w:id="51"/>
      <w:bookmarkEnd w:id="52"/>
      <w:r w:rsidR="006324E0" w:rsidRPr="00607D5C">
        <w:rPr>
          <w:color w:val="2E74B5"/>
          <w:sz w:val="24"/>
        </w:rPr>
        <w:t xml:space="preserve"> </w:t>
      </w:r>
      <w:bookmarkEnd w:id="53"/>
    </w:p>
    <w:p w14:paraId="36212D67" w14:textId="77777777" w:rsidR="001B4A4C" w:rsidRDefault="006324E0" w:rsidP="006324E0">
      <w:pPr>
        <w:jc w:val="both"/>
        <w:rPr>
          <w:b/>
          <w:sz w:val="24"/>
          <w:szCs w:val="24"/>
        </w:rPr>
      </w:pPr>
      <w:r>
        <w:rPr>
          <w:b/>
          <w:sz w:val="24"/>
          <w:szCs w:val="24"/>
        </w:rPr>
        <w:t xml:space="preserve"> </w:t>
      </w:r>
    </w:p>
    <w:p w14:paraId="26F3D865" w14:textId="098850BE" w:rsidR="006324E0" w:rsidRDefault="006324E0" w:rsidP="006324E0">
      <w:pPr>
        <w:jc w:val="both"/>
        <w:rPr>
          <w:rFonts w:ascii="Times New Roman" w:hAnsi="Times New Roman"/>
          <w:szCs w:val="28"/>
        </w:rPr>
      </w:pPr>
      <w:r w:rsidRPr="00936602">
        <w:rPr>
          <w:rFonts w:ascii="Times New Roman" w:hAnsi="Times New Roman"/>
          <w:szCs w:val="28"/>
        </w:rPr>
        <w:t>A travers</w:t>
      </w:r>
      <w:r w:rsidR="000A597D">
        <w:rPr>
          <w:rFonts w:ascii="Times New Roman" w:hAnsi="Times New Roman"/>
          <w:szCs w:val="28"/>
        </w:rPr>
        <w:t xml:space="preserve"> le résultat stratégique développement du capital humain</w:t>
      </w:r>
      <w:r w:rsidRPr="00936602">
        <w:rPr>
          <w:rFonts w:ascii="Times New Roman" w:hAnsi="Times New Roman"/>
          <w:szCs w:val="28"/>
        </w:rPr>
        <w:t xml:space="preserve">, le système des Nations Unies vise </w:t>
      </w:r>
      <w:r>
        <w:rPr>
          <w:rFonts w:ascii="Times New Roman" w:hAnsi="Times New Roman"/>
          <w:szCs w:val="28"/>
        </w:rPr>
        <w:t>une utilisation accrue des services sociaux de  base de qualité, intégrés et inclusifs à travers la réalisation des principaux effet</w:t>
      </w:r>
      <w:r w:rsidR="000A597D">
        <w:rPr>
          <w:rFonts w:ascii="Times New Roman" w:hAnsi="Times New Roman"/>
          <w:szCs w:val="28"/>
        </w:rPr>
        <w:t>s</w:t>
      </w:r>
      <w:r>
        <w:rPr>
          <w:rFonts w:ascii="Times New Roman" w:hAnsi="Times New Roman"/>
          <w:szCs w:val="28"/>
        </w:rPr>
        <w:t xml:space="preserve"> ci-dessous : </w:t>
      </w:r>
    </w:p>
    <w:p w14:paraId="73C16CBC" w14:textId="1FAED822" w:rsidR="006324E0" w:rsidRPr="00A05C3C" w:rsidRDefault="006324E0" w:rsidP="00FB6608">
      <w:pPr>
        <w:pStyle w:val="ListParagraph"/>
        <w:ind w:left="0"/>
        <w:jc w:val="both"/>
        <w:rPr>
          <w:rFonts w:ascii="Times New Roman" w:hAnsi="Times New Roman"/>
          <w:b/>
          <w:sz w:val="22"/>
          <w:szCs w:val="22"/>
        </w:rPr>
      </w:pPr>
      <w:r w:rsidRPr="000A597D">
        <w:rPr>
          <w:rFonts w:ascii="Times New Roman" w:hAnsi="Times New Roman"/>
          <w:b/>
          <w:sz w:val="22"/>
          <w:szCs w:val="22"/>
        </w:rPr>
        <w:t>Effet</w:t>
      </w:r>
      <w:r w:rsidR="00FB6608">
        <w:rPr>
          <w:rFonts w:ascii="Times New Roman" w:hAnsi="Times New Roman"/>
          <w:b/>
          <w:sz w:val="22"/>
          <w:szCs w:val="22"/>
        </w:rPr>
        <w:t xml:space="preserve"> </w:t>
      </w:r>
      <w:r w:rsidRPr="000A597D">
        <w:rPr>
          <w:rFonts w:ascii="Times New Roman" w:hAnsi="Times New Roman"/>
          <w:b/>
          <w:sz w:val="22"/>
          <w:szCs w:val="22"/>
        </w:rPr>
        <w:t>1.</w:t>
      </w:r>
      <w:r>
        <w:rPr>
          <w:rFonts w:ascii="Times New Roman" w:hAnsi="Times New Roman"/>
          <w:sz w:val="22"/>
          <w:szCs w:val="22"/>
        </w:rPr>
        <w:t xml:space="preserve"> </w:t>
      </w:r>
      <w:r w:rsidRPr="00707D1F">
        <w:rPr>
          <w:rFonts w:ascii="Times New Roman" w:hAnsi="Times New Roman"/>
          <w:sz w:val="22"/>
          <w:szCs w:val="22"/>
        </w:rPr>
        <w:t>D’ici à fin 2021, les enfants d’âge préscolaire et scolaire, les jeunes et les adultes non alphabétisés les plus vulnérables des deux sexes incluant les refugiés dans les zones ciblées, utilisent davantage des services de qualité d’éducation, de formation profess</w:t>
      </w:r>
      <w:r>
        <w:rPr>
          <w:rFonts w:ascii="Times New Roman" w:hAnsi="Times New Roman"/>
          <w:sz w:val="22"/>
          <w:szCs w:val="22"/>
        </w:rPr>
        <w:t>ionnelle et  d’alphabétisation;</w:t>
      </w:r>
      <w:r w:rsidRPr="00A05C3C">
        <w:rPr>
          <w:rFonts w:ascii="Times New Roman" w:hAnsi="Times New Roman"/>
          <w:b/>
          <w:sz w:val="22"/>
          <w:szCs w:val="22"/>
        </w:rPr>
        <w:t xml:space="preserve">  </w:t>
      </w:r>
    </w:p>
    <w:p w14:paraId="5E756487" w14:textId="77777777" w:rsidR="006324E0" w:rsidRDefault="006324E0" w:rsidP="00FB6608">
      <w:pPr>
        <w:pStyle w:val="ListParagraph"/>
        <w:ind w:left="0"/>
        <w:jc w:val="both"/>
        <w:rPr>
          <w:rFonts w:ascii="Times New Roman" w:hAnsi="Times New Roman"/>
          <w:sz w:val="22"/>
          <w:szCs w:val="22"/>
        </w:rPr>
      </w:pPr>
      <w:r w:rsidRPr="000A597D">
        <w:rPr>
          <w:rFonts w:ascii="Times New Roman" w:hAnsi="Times New Roman"/>
          <w:b/>
          <w:sz w:val="22"/>
          <w:szCs w:val="22"/>
        </w:rPr>
        <w:t>Effet 2.</w:t>
      </w:r>
      <w:r>
        <w:rPr>
          <w:rFonts w:ascii="Times New Roman" w:hAnsi="Times New Roman"/>
          <w:sz w:val="22"/>
          <w:szCs w:val="22"/>
        </w:rPr>
        <w:t xml:space="preserve"> </w:t>
      </w:r>
      <w:r w:rsidRPr="00A05C3C">
        <w:rPr>
          <w:rFonts w:ascii="Times New Roman" w:hAnsi="Times New Roman"/>
          <w:sz w:val="22"/>
          <w:szCs w:val="22"/>
        </w:rPr>
        <w:t>D’ici à fin 2021, les populations les plus vulnérables dont les femmes, adolescent(e)s et enfants de moins de cinq ans, incluant les refugiés dans les zones ciblées, utilisent davantage les services intégrés de qualité de santé, nutrition et de bonnes pratiques d’alimentation, de prévention et traitement des maladies prioritaires notamment le VIH et le paludisme</w:t>
      </w:r>
      <w:r>
        <w:rPr>
          <w:rFonts w:ascii="Times New Roman" w:hAnsi="Times New Roman"/>
          <w:sz w:val="22"/>
          <w:szCs w:val="22"/>
        </w:rPr>
        <w:t> ;</w:t>
      </w:r>
    </w:p>
    <w:p w14:paraId="589E6F2D" w14:textId="4D8E50E1" w:rsidR="006324E0" w:rsidRPr="0067677F" w:rsidRDefault="006324E0" w:rsidP="00FB6608">
      <w:pPr>
        <w:pStyle w:val="ListParagraph"/>
        <w:ind w:left="0"/>
        <w:jc w:val="both"/>
        <w:rPr>
          <w:rFonts w:ascii="Times New Roman" w:hAnsi="Times New Roman"/>
          <w:sz w:val="22"/>
          <w:szCs w:val="22"/>
        </w:rPr>
      </w:pPr>
      <w:r w:rsidRPr="000A597D">
        <w:rPr>
          <w:rFonts w:ascii="Times New Roman" w:hAnsi="Times New Roman"/>
          <w:b/>
          <w:sz w:val="22"/>
          <w:szCs w:val="22"/>
        </w:rPr>
        <w:t>Effet 3</w:t>
      </w:r>
      <w:r w:rsidR="000A597D">
        <w:rPr>
          <w:rFonts w:ascii="Times New Roman" w:hAnsi="Times New Roman"/>
          <w:b/>
          <w:sz w:val="22"/>
          <w:szCs w:val="22"/>
        </w:rPr>
        <w:t>.</w:t>
      </w:r>
      <w:r>
        <w:rPr>
          <w:rFonts w:ascii="Times New Roman" w:hAnsi="Times New Roman"/>
          <w:sz w:val="22"/>
          <w:szCs w:val="22"/>
        </w:rPr>
        <w:t xml:space="preserve"> </w:t>
      </w:r>
      <w:r w:rsidRPr="00707D1F">
        <w:rPr>
          <w:rFonts w:ascii="Times New Roman" w:hAnsi="Times New Roman"/>
          <w:sz w:val="22"/>
          <w:szCs w:val="22"/>
        </w:rPr>
        <w:t>D’ici à 2021, les populations vulnérables incluant les refugiés, dans les zones ciblées , utilisent de manière accrue et durable les services d’approvisionnement en eau potable, assurent un meilleur assainissement et adoptent des bonnes pratiques d’hygiène</w:t>
      </w:r>
      <w:r>
        <w:rPr>
          <w:rFonts w:ascii="Times New Roman" w:hAnsi="Times New Roman"/>
          <w:sz w:val="22"/>
          <w:szCs w:val="22"/>
        </w:rPr>
        <w:t>.</w:t>
      </w:r>
    </w:p>
    <w:p w14:paraId="511BECE9" w14:textId="77777777" w:rsidR="006324E0" w:rsidRDefault="006324E0" w:rsidP="006324E0">
      <w:pPr>
        <w:pStyle w:val="ListParagraph"/>
        <w:ind w:left="360"/>
        <w:jc w:val="both"/>
        <w:rPr>
          <w:rFonts w:ascii="Times New Roman" w:hAnsi="Times New Roman"/>
          <w:sz w:val="22"/>
          <w:szCs w:val="28"/>
        </w:rPr>
      </w:pPr>
    </w:p>
    <w:p w14:paraId="375C7F23" w14:textId="7AAD0B4E" w:rsidR="006324E0" w:rsidRPr="00607D5C" w:rsidRDefault="003F2A7A" w:rsidP="006324E0">
      <w:pPr>
        <w:pStyle w:val="Heading1"/>
        <w:rPr>
          <w:sz w:val="28"/>
        </w:rPr>
      </w:pPr>
      <w:bookmarkStart w:id="54" w:name="_Toc454635274"/>
      <w:bookmarkStart w:id="55" w:name="_Toc455604608"/>
      <w:bookmarkStart w:id="56" w:name="_Toc456889048"/>
      <w:bookmarkStart w:id="57" w:name="_Toc459363411"/>
      <w:r>
        <w:rPr>
          <w:sz w:val="28"/>
        </w:rPr>
        <w:t>2</w:t>
      </w:r>
      <w:r w:rsidR="006324E0" w:rsidRPr="00607D5C">
        <w:rPr>
          <w:sz w:val="28"/>
        </w:rPr>
        <w:t xml:space="preserve">.3. </w:t>
      </w:r>
      <w:r w:rsidR="005B52F7">
        <w:rPr>
          <w:sz w:val="28"/>
        </w:rPr>
        <w:t>Résultat Stratégique</w:t>
      </w:r>
      <w:r w:rsidR="006324E0" w:rsidRPr="00607D5C">
        <w:rPr>
          <w:sz w:val="28"/>
        </w:rPr>
        <w:t xml:space="preserve"> 2. Protection sociale, gestion des crises et durabilité</w:t>
      </w:r>
      <w:bookmarkEnd w:id="54"/>
      <w:bookmarkEnd w:id="55"/>
      <w:bookmarkEnd w:id="56"/>
      <w:bookmarkEnd w:id="57"/>
    </w:p>
    <w:p w14:paraId="3EFC2604" w14:textId="77777777" w:rsidR="00B670F9" w:rsidRDefault="00B670F9" w:rsidP="006324E0">
      <w:pPr>
        <w:jc w:val="both"/>
        <w:rPr>
          <w:rFonts w:ascii="Times New Roman" w:hAnsi="Times New Roman"/>
          <w:szCs w:val="28"/>
        </w:rPr>
      </w:pPr>
    </w:p>
    <w:p w14:paraId="7286290B" w14:textId="6A4B3DFE" w:rsidR="006324E0" w:rsidRDefault="006324E0" w:rsidP="006324E0">
      <w:pPr>
        <w:jc w:val="both"/>
        <w:rPr>
          <w:rFonts w:ascii="Times New Roman" w:hAnsi="Times New Roman"/>
          <w:szCs w:val="28"/>
        </w:rPr>
      </w:pPr>
      <w:r w:rsidRPr="00177F1A">
        <w:rPr>
          <w:rFonts w:ascii="Times New Roman" w:hAnsi="Times New Roman"/>
          <w:szCs w:val="28"/>
        </w:rPr>
        <w:t xml:space="preserve">Les </w:t>
      </w:r>
      <w:r>
        <w:rPr>
          <w:rFonts w:ascii="Times New Roman" w:hAnsi="Times New Roman"/>
          <w:szCs w:val="28"/>
        </w:rPr>
        <w:t xml:space="preserve">priorités nationales ciblées sont déclinées par les orientations stratégiques du gouvernement relatives au pilier IV de la Vision 2030 visant </w:t>
      </w:r>
      <w:r w:rsidRPr="00D85A56">
        <w:rPr>
          <w:rFonts w:ascii="Times New Roman" w:hAnsi="Times New Roman"/>
          <w:szCs w:val="28"/>
        </w:rPr>
        <w:t xml:space="preserve">l’amélioration de </w:t>
      </w:r>
      <w:r>
        <w:rPr>
          <w:rFonts w:ascii="Times New Roman" w:hAnsi="Times New Roman"/>
          <w:szCs w:val="28"/>
        </w:rPr>
        <w:t>la qualité de vie des Tchadiens à travers les objectifs ci-après : r</w:t>
      </w:r>
      <w:r w:rsidRPr="00606C05">
        <w:rPr>
          <w:rFonts w:ascii="Times New Roman" w:hAnsi="Times New Roman"/>
          <w:szCs w:val="28"/>
        </w:rPr>
        <w:t>éactualiser et mettre en œuvre la stratégie nationale de la protection sociale</w:t>
      </w:r>
      <w:r>
        <w:rPr>
          <w:rFonts w:ascii="Times New Roman" w:hAnsi="Times New Roman"/>
          <w:szCs w:val="28"/>
        </w:rPr>
        <w:t> ; c</w:t>
      </w:r>
      <w:r w:rsidRPr="00606C05">
        <w:rPr>
          <w:rFonts w:ascii="Times New Roman" w:hAnsi="Times New Roman"/>
          <w:szCs w:val="28"/>
        </w:rPr>
        <w:t>oncev</w:t>
      </w:r>
      <w:r>
        <w:rPr>
          <w:rFonts w:ascii="Times New Roman" w:hAnsi="Times New Roman"/>
          <w:szCs w:val="28"/>
        </w:rPr>
        <w:t xml:space="preserve">oir un dispositif de prévention </w:t>
      </w:r>
      <w:r w:rsidRPr="00606C05">
        <w:rPr>
          <w:rFonts w:ascii="Times New Roman" w:hAnsi="Times New Roman"/>
          <w:szCs w:val="28"/>
        </w:rPr>
        <w:t>et de gestion des risques et catastrophes naturels</w:t>
      </w:r>
      <w:r>
        <w:rPr>
          <w:rFonts w:ascii="Times New Roman" w:hAnsi="Times New Roman"/>
          <w:szCs w:val="28"/>
        </w:rPr>
        <w:t> ; m</w:t>
      </w:r>
      <w:r w:rsidRPr="00606C05">
        <w:rPr>
          <w:rFonts w:ascii="Times New Roman" w:hAnsi="Times New Roman"/>
          <w:szCs w:val="28"/>
        </w:rPr>
        <w:t>ettre en place une politique adéquate pou</w:t>
      </w:r>
      <w:r>
        <w:rPr>
          <w:rFonts w:ascii="Times New Roman" w:hAnsi="Times New Roman"/>
          <w:szCs w:val="28"/>
        </w:rPr>
        <w:t>r l’atteinte des ODD 1, 10</w:t>
      </w:r>
      <w:r w:rsidRPr="00606C05">
        <w:rPr>
          <w:rFonts w:ascii="Times New Roman" w:hAnsi="Times New Roman"/>
          <w:szCs w:val="28"/>
        </w:rPr>
        <w:t xml:space="preserve"> et 1</w:t>
      </w:r>
      <w:r>
        <w:rPr>
          <w:rFonts w:ascii="Times New Roman" w:hAnsi="Times New Roman"/>
          <w:szCs w:val="28"/>
        </w:rPr>
        <w:t>3.</w:t>
      </w:r>
    </w:p>
    <w:p w14:paraId="1FE18834" w14:textId="77777777" w:rsidR="006324E0" w:rsidRPr="00FF5168" w:rsidRDefault="006324E0" w:rsidP="006324E0"/>
    <w:p w14:paraId="2A32FA73" w14:textId="65053527" w:rsidR="006324E0" w:rsidRPr="00607D5C" w:rsidRDefault="003F2A7A" w:rsidP="006324E0">
      <w:pPr>
        <w:pStyle w:val="Heading2"/>
        <w:jc w:val="left"/>
        <w:rPr>
          <w:color w:val="2E74B5"/>
          <w:sz w:val="24"/>
        </w:rPr>
      </w:pPr>
      <w:bookmarkStart w:id="58" w:name="_Toc454635275"/>
      <w:bookmarkStart w:id="59" w:name="_Toc455604609"/>
      <w:bookmarkStart w:id="60" w:name="_Toc456889049"/>
      <w:bookmarkStart w:id="61" w:name="_Toc459363412"/>
      <w:r>
        <w:rPr>
          <w:color w:val="2E74B5"/>
          <w:sz w:val="24"/>
        </w:rPr>
        <w:t>2</w:t>
      </w:r>
      <w:r w:rsidR="006324E0" w:rsidRPr="00607D5C">
        <w:rPr>
          <w:color w:val="2E74B5"/>
          <w:sz w:val="24"/>
        </w:rPr>
        <w:t>.3.1. Défis</w:t>
      </w:r>
      <w:bookmarkEnd w:id="58"/>
      <w:bookmarkEnd w:id="59"/>
      <w:bookmarkEnd w:id="60"/>
      <w:bookmarkEnd w:id="61"/>
    </w:p>
    <w:p w14:paraId="00BED32A" w14:textId="77777777" w:rsidR="006324E0" w:rsidRPr="00FF5168" w:rsidRDefault="006324E0" w:rsidP="006324E0">
      <w:pPr>
        <w:jc w:val="both"/>
        <w:rPr>
          <w:rFonts w:ascii="Times New Roman" w:hAnsi="Times New Roman"/>
          <w:szCs w:val="28"/>
        </w:rPr>
      </w:pPr>
      <w:r w:rsidRPr="00FF5168">
        <w:rPr>
          <w:rFonts w:ascii="Times New Roman" w:hAnsi="Times New Roman"/>
          <w:szCs w:val="28"/>
        </w:rPr>
        <w:t>Les principaux défis relevés lors du diagnostic stratégique sont afférents à </w:t>
      </w:r>
      <w:r>
        <w:rPr>
          <w:rFonts w:ascii="Times New Roman" w:hAnsi="Times New Roman"/>
          <w:szCs w:val="28"/>
        </w:rPr>
        <w:t>l’opérationalisation</w:t>
      </w:r>
      <w:r w:rsidRPr="00FF5168">
        <w:rPr>
          <w:rFonts w:ascii="Times New Roman" w:hAnsi="Times New Roman"/>
          <w:szCs w:val="28"/>
        </w:rPr>
        <w:t xml:space="preserve"> de la Stratégie Nationale de Protection Sociale (SNPS) ; la promotion d’une sécurité alimentaire pour un développement durable via notamment la mise en place de systèmes de production durables, la réduction des risques de catastrophes et la gestion durable de l’environnement.</w:t>
      </w:r>
    </w:p>
    <w:p w14:paraId="33B7AD61" w14:textId="6396319B" w:rsidR="006324E0" w:rsidRDefault="006324E0" w:rsidP="006324E0">
      <w:pPr>
        <w:jc w:val="both"/>
        <w:rPr>
          <w:rFonts w:ascii="Times New Roman" w:hAnsi="Times New Roman"/>
          <w:szCs w:val="28"/>
        </w:rPr>
      </w:pPr>
      <w:r>
        <w:rPr>
          <w:rFonts w:ascii="Times New Roman" w:hAnsi="Times New Roman"/>
          <w:szCs w:val="28"/>
        </w:rPr>
        <w:t>La protection sociale constitue une aspiration pour les populations tchadiennes largement éprouvées dans un contexte où près d’une personne sur deux vit avec moins d’un dollar par jour</w:t>
      </w:r>
      <w:r w:rsidRPr="005571A5">
        <w:rPr>
          <w:rFonts w:ascii="Times New Roman" w:hAnsi="Times New Roman"/>
          <w:szCs w:val="28"/>
        </w:rPr>
        <w:t>. Selon l’étude sur les aspirations nationales, 87% des experts et leaders estiment que celle-ci est inexistante au Tchad. Ceci est d’autant plus vrai que</w:t>
      </w:r>
      <w:r>
        <w:rPr>
          <w:rFonts w:ascii="Times New Roman" w:hAnsi="Times New Roman"/>
          <w:szCs w:val="28"/>
        </w:rPr>
        <w:t xml:space="preserve"> </w:t>
      </w:r>
      <w:r w:rsidRPr="00431A7C">
        <w:rPr>
          <w:rFonts w:ascii="Times New Roman" w:hAnsi="Times New Roman"/>
          <w:szCs w:val="28"/>
        </w:rPr>
        <w:t>la majeure partie de la population active ne bénéficie pas d’assurance sociale. En effet, en milieu</w:t>
      </w:r>
      <w:r>
        <w:rPr>
          <w:rFonts w:ascii="Times New Roman" w:hAnsi="Times New Roman"/>
          <w:szCs w:val="28"/>
        </w:rPr>
        <w:t xml:space="preserve"> urbain, les emplois occupés relèvent en majorité du</w:t>
      </w:r>
      <w:r w:rsidRPr="00431A7C">
        <w:rPr>
          <w:rFonts w:ascii="Times New Roman" w:hAnsi="Times New Roman"/>
          <w:szCs w:val="28"/>
        </w:rPr>
        <w:t xml:space="preserve"> secteur informel, où aucun système de protection sociale n’existe. Dans les zones rurales, plus de 80 % de la population est occupée aux travaux des champs et l’élevage. </w:t>
      </w:r>
    </w:p>
    <w:p w14:paraId="288321C8" w14:textId="3F0821AD" w:rsidR="006324E0" w:rsidRPr="00FF5168" w:rsidRDefault="006324E0" w:rsidP="006324E0">
      <w:pPr>
        <w:spacing w:line="276" w:lineRule="auto"/>
        <w:jc w:val="both"/>
        <w:rPr>
          <w:rFonts w:ascii="Times New Roman" w:hAnsi="Times New Roman"/>
          <w:szCs w:val="28"/>
        </w:rPr>
      </w:pPr>
      <w:r>
        <w:rPr>
          <w:rFonts w:ascii="Times New Roman" w:hAnsi="Times New Roman"/>
          <w:szCs w:val="28"/>
        </w:rPr>
        <w:t>Les catastrophes naturelles récurrentes restent également un défi majeur. Au cours des trentes dernières années, le pays a subi plus de 44 catastrophes naturelles affectant plus de 5 millions de personnes. Il s’agit principalement des innondations</w:t>
      </w:r>
      <w:r w:rsidR="006D5C34">
        <w:rPr>
          <w:rFonts w:ascii="Times New Roman" w:hAnsi="Times New Roman"/>
          <w:szCs w:val="28"/>
        </w:rPr>
        <w:t xml:space="preserve"> et</w:t>
      </w:r>
      <w:r>
        <w:rPr>
          <w:rFonts w:ascii="Times New Roman" w:hAnsi="Times New Roman"/>
          <w:szCs w:val="28"/>
        </w:rPr>
        <w:t xml:space="preserve"> des sècheresses (INFORM, Index for Risk Management). En 2014, 39</w:t>
      </w:r>
      <w:r w:rsidRPr="00872EED">
        <w:rPr>
          <w:rFonts w:ascii="Times New Roman" w:hAnsi="Times New Roman"/>
          <w:szCs w:val="28"/>
        </w:rPr>
        <w:t>%</w:t>
      </w:r>
      <w:r>
        <w:rPr>
          <w:rFonts w:ascii="Times New Roman" w:hAnsi="Times New Roman"/>
          <w:szCs w:val="28"/>
        </w:rPr>
        <w:t xml:space="preserve"> de la population s’est déclarée victime d'un choc. </w:t>
      </w:r>
      <w:r w:rsidRPr="00EF0012">
        <w:rPr>
          <w:rFonts w:ascii="Times New Roman" w:hAnsi="Times New Roman"/>
          <w:szCs w:val="28"/>
        </w:rPr>
        <w:t>La sè</w:t>
      </w:r>
      <w:r w:rsidRPr="00FF5168">
        <w:rPr>
          <w:rFonts w:ascii="Times New Roman" w:hAnsi="Times New Roman"/>
          <w:szCs w:val="28"/>
        </w:rPr>
        <w:t>cheresse affecte principalement les</w:t>
      </w:r>
      <w:r>
        <w:rPr>
          <w:rFonts w:ascii="Times New Roman" w:hAnsi="Times New Roman"/>
          <w:szCs w:val="28"/>
        </w:rPr>
        <w:t xml:space="preserve"> </w:t>
      </w:r>
      <w:r w:rsidRPr="00FF5168">
        <w:rPr>
          <w:rFonts w:ascii="Times New Roman" w:hAnsi="Times New Roman"/>
          <w:szCs w:val="28"/>
        </w:rPr>
        <w:t>populations rurales qui tirent leurs revenus de l</w:t>
      </w:r>
      <w:r>
        <w:rPr>
          <w:rFonts w:ascii="Times New Roman" w:hAnsi="Times New Roman"/>
          <w:szCs w:val="28"/>
        </w:rPr>
        <w:t>’</w:t>
      </w:r>
      <w:r w:rsidRPr="00FF5168">
        <w:rPr>
          <w:rFonts w:ascii="Times New Roman" w:hAnsi="Times New Roman"/>
          <w:szCs w:val="28"/>
        </w:rPr>
        <w:t>agriculture</w:t>
      </w:r>
      <w:r>
        <w:rPr>
          <w:rFonts w:ascii="Times New Roman" w:hAnsi="Times New Roman"/>
          <w:szCs w:val="28"/>
        </w:rPr>
        <w:t xml:space="preserve"> </w:t>
      </w:r>
      <w:r w:rsidRPr="00FF5168">
        <w:rPr>
          <w:rFonts w:ascii="Times New Roman" w:hAnsi="Times New Roman"/>
          <w:szCs w:val="28"/>
        </w:rPr>
        <w:t>et de l</w:t>
      </w:r>
      <w:r>
        <w:rPr>
          <w:rFonts w:ascii="Times New Roman" w:hAnsi="Times New Roman"/>
          <w:szCs w:val="28"/>
        </w:rPr>
        <w:t>’é</w:t>
      </w:r>
      <w:r w:rsidRPr="00FF5168">
        <w:rPr>
          <w:rFonts w:ascii="Times New Roman" w:hAnsi="Times New Roman"/>
          <w:szCs w:val="28"/>
        </w:rPr>
        <w:t>lev</w:t>
      </w:r>
      <w:r w:rsidRPr="004A1029">
        <w:rPr>
          <w:rFonts w:ascii="Times New Roman" w:hAnsi="Times New Roman"/>
          <w:szCs w:val="28"/>
        </w:rPr>
        <w:t>age. En 2016, environ 15% des m</w:t>
      </w:r>
      <w:r>
        <w:rPr>
          <w:rFonts w:ascii="Times New Roman" w:hAnsi="Times New Roman"/>
          <w:szCs w:val="28"/>
        </w:rPr>
        <w:t>é</w:t>
      </w:r>
      <w:r w:rsidRPr="00FF5168">
        <w:rPr>
          <w:rFonts w:ascii="Times New Roman" w:hAnsi="Times New Roman"/>
          <w:szCs w:val="28"/>
        </w:rPr>
        <w:t>nages pourraient</w:t>
      </w:r>
      <w:r>
        <w:rPr>
          <w:rFonts w:ascii="Times New Roman" w:hAnsi="Times New Roman"/>
          <w:szCs w:val="28"/>
        </w:rPr>
        <w:t xml:space="preserve"> être impacté</w:t>
      </w:r>
      <w:r w:rsidRPr="0009476B">
        <w:rPr>
          <w:rFonts w:ascii="Times New Roman" w:hAnsi="Times New Roman"/>
          <w:szCs w:val="28"/>
        </w:rPr>
        <w:t>s par les s</w:t>
      </w:r>
      <w:r>
        <w:rPr>
          <w:rFonts w:ascii="Times New Roman" w:hAnsi="Times New Roman"/>
          <w:szCs w:val="28"/>
        </w:rPr>
        <w:t>è</w:t>
      </w:r>
      <w:r w:rsidRPr="00FF5168">
        <w:rPr>
          <w:rFonts w:ascii="Times New Roman" w:hAnsi="Times New Roman"/>
          <w:szCs w:val="28"/>
        </w:rPr>
        <w:t>cheresses.</w:t>
      </w:r>
      <w:r>
        <w:rPr>
          <w:rFonts w:ascii="Times New Roman" w:hAnsi="Times New Roman"/>
          <w:szCs w:val="28"/>
        </w:rPr>
        <w:t xml:space="preserve"> </w:t>
      </w:r>
      <w:r w:rsidRPr="00FF5168">
        <w:rPr>
          <w:rFonts w:ascii="Times New Roman" w:hAnsi="Times New Roman"/>
          <w:szCs w:val="28"/>
        </w:rPr>
        <w:t>Les inondations ont notamment un impact sur l</w:t>
      </w:r>
      <w:r>
        <w:rPr>
          <w:rFonts w:ascii="Times New Roman" w:hAnsi="Times New Roman"/>
          <w:szCs w:val="28"/>
        </w:rPr>
        <w:t>’</w:t>
      </w:r>
      <w:r w:rsidRPr="009C5988">
        <w:rPr>
          <w:rFonts w:ascii="Times New Roman" w:hAnsi="Times New Roman"/>
          <w:szCs w:val="28"/>
        </w:rPr>
        <w:t>acc</w:t>
      </w:r>
      <w:r>
        <w:rPr>
          <w:rFonts w:ascii="Times New Roman" w:hAnsi="Times New Roman"/>
          <w:szCs w:val="28"/>
        </w:rPr>
        <w:t>è</w:t>
      </w:r>
      <w:r w:rsidRPr="00FF5168">
        <w:rPr>
          <w:rFonts w:ascii="Times New Roman" w:hAnsi="Times New Roman"/>
          <w:szCs w:val="28"/>
        </w:rPr>
        <w:t>s des</w:t>
      </w:r>
      <w:r>
        <w:rPr>
          <w:rFonts w:ascii="Times New Roman" w:hAnsi="Times New Roman"/>
          <w:szCs w:val="28"/>
        </w:rPr>
        <w:t xml:space="preserve"> </w:t>
      </w:r>
      <w:r w:rsidRPr="00FF5168">
        <w:rPr>
          <w:rFonts w:ascii="Times New Roman" w:hAnsi="Times New Roman"/>
          <w:szCs w:val="28"/>
        </w:rPr>
        <w:t xml:space="preserve">populations (y compris les femmes et les enfants) </w:t>
      </w:r>
      <w:r>
        <w:rPr>
          <w:rFonts w:ascii="Times New Roman" w:hAnsi="Times New Roman"/>
          <w:szCs w:val="28"/>
        </w:rPr>
        <w:t>à</w:t>
      </w:r>
      <w:r w:rsidRPr="00FF5168">
        <w:rPr>
          <w:rFonts w:ascii="Times New Roman" w:hAnsi="Times New Roman"/>
          <w:szCs w:val="28"/>
        </w:rPr>
        <w:t xml:space="preserve"> l</w:t>
      </w:r>
      <w:r>
        <w:rPr>
          <w:rFonts w:ascii="Times New Roman" w:hAnsi="Times New Roman"/>
          <w:szCs w:val="28"/>
        </w:rPr>
        <w:t>’</w:t>
      </w:r>
      <w:r w:rsidRPr="00FF5168">
        <w:rPr>
          <w:rFonts w:ascii="Times New Roman" w:hAnsi="Times New Roman"/>
          <w:szCs w:val="28"/>
        </w:rPr>
        <w:t>eau,</w:t>
      </w:r>
      <w:r>
        <w:rPr>
          <w:rFonts w:ascii="Times New Roman" w:hAnsi="Times New Roman"/>
          <w:szCs w:val="28"/>
        </w:rPr>
        <w:t xml:space="preserve"> </w:t>
      </w:r>
      <w:r w:rsidRPr="00FF5168">
        <w:rPr>
          <w:rFonts w:ascii="Times New Roman" w:hAnsi="Times New Roman"/>
          <w:szCs w:val="28"/>
        </w:rPr>
        <w:t>l</w:t>
      </w:r>
      <w:r>
        <w:rPr>
          <w:rFonts w:ascii="Times New Roman" w:hAnsi="Times New Roman"/>
          <w:szCs w:val="28"/>
        </w:rPr>
        <w:t>’</w:t>
      </w:r>
      <w:r w:rsidRPr="00FF5168">
        <w:rPr>
          <w:rFonts w:ascii="Times New Roman" w:hAnsi="Times New Roman"/>
          <w:szCs w:val="28"/>
        </w:rPr>
        <w:t>hygiene et l</w:t>
      </w:r>
      <w:r>
        <w:rPr>
          <w:rFonts w:ascii="Times New Roman" w:hAnsi="Times New Roman"/>
          <w:szCs w:val="28"/>
        </w:rPr>
        <w:t>’</w:t>
      </w:r>
      <w:r w:rsidRPr="009C5988">
        <w:rPr>
          <w:rFonts w:ascii="Times New Roman" w:hAnsi="Times New Roman"/>
          <w:szCs w:val="28"/>
        </w:rPr>
        <w:t>assainissement, et des cons</w:t>
      </w:r>
      <w:r>
        <w:rPr>
          <w:rFonts w:ascii="Times New Roman" w:hAnsi="Times New Roman"/>
          <w:szCs w:val="28"/>
        </w:rPr>
        <w:t>é</w:t>
      </w:r>
      <w:r w:rsidRPr="00FF5168">
        <w:rPr>
          <w:rFonts w:ascii="Times New Roman" w:hAnsi="Times New Roman"/>
          <w:szCs w:val="28"/>
        </w:rPr>
        <w:t>quences sur leur</w:t>
      </w:r>
      <w:r>
        <w:rPr>
          <w:rFonts w:ascii="Times New Roman" w:hAnsi="Times New Roman"/>
          <w:szCs w:val="28"/>
        </w:rPr>
        <w:t xml:space="preserve"> </w:t>
      </w:r>
      <w:r w:rsidRPr="009C5988">
        <w:rPr>
          <w:rFonts w:ascii="Times New Roman" w:hAnsi="Times New Roman"/>
          <w:szCs w:val="28"/>
        </w:rPr>
        <w:t>santé</w:t>
      </w:r>
      <w:r w:rsidRPr="00FF5168">
        <w:rPr>
          <w:rFonts w:ascii="Times New Roman" w:hAnsi="Times New Roman"/>
          <w:szCs w:val="28"/>
        </w:rPr>
        <w:t>. Les inondations affectent aussi la scolarit</w:t>
      </w:r>
      <w:r>
        <w:rPr>
          <w:rFonts w:ascii="Times New Roman" w:hAnsi="Times New Roman"/>
          <w:szCs w:val="28"/>
        </w:rPr>
        <w:t>é</w:t>
      </w:r>
      <w:r w:rsidRPr="00FF5168">
        <w:rPr>
          <w:rFonts w:ascii="Times New Roman" w:hAnsi="Times New Roman"/>
          <w:szCs w:val="28"/>
        </w:rPr>
        <w:t xml:space="preserve"> des enfants et</w:t>
      </w:r>
      <w:r>
        <w:rPr>
          <w:rFonts w:ascii="Times New Roman" w:hAnsi="Times New Roman"/>
          <w:szCs w:val="28"/>
        </w:rPr>
        <w:t xml:space="preserve"> </w:t>
      </w:r>
      <w:r w:rsidRPr="00FF5168">
        <w:rPr>
          <w:rFonts w:ascii="Times New Roman" w:hAnsi="Times New Roman"/>
          <w:szCs w:val="28"/>
        </w:rPr>
        <w:t>enge</w:t>
      </w:r>
      <w:r w:rsidRPr="004A1029">
        <w:rPr>
          <w:rFonts w:ascii="Times New Roman" w:hAnsi="Times New Roman"/>
          <w:szCs w:val="28"/>
        </w:rPr>
        <w:t xml:space="preserve">ndrent de nombreux abandons et </w:t>
      </w:r>
      <w:r>
        <w:rPr>
          <w:rFonts w:ascii="Times New Roman" w:hAnsi="Times New Roman"/>
          <w:szCs w:val="28"/>
        </w:rPr>
        <w:t>é</w:t>
      </w:r>
      <w:r w:rsidRPr="00FF5168">
        <w:rPr>
          <w:rFonts w:ascii="Times New Roman" w:hAnsi="Times New Roman"/>
          <w:szCs w:val="28"/>
        </w:rPr>
        <w:t>checs scolaires.</w:t>
      </w:r>
      <w:r>
        <w:rPr>
          <w:rFonts w:ascii="Times New Roman" w:hAnsi="Times New Roman"/>
          <w:szCs w:val="28"/>
        </w:rPr>
        <w:t xml:space="preserve"> </w:t>
      </w:r>
      <w:r w:rsidRPr="004A1029">
        <w:rPr>
          <w:rFonts w:ascii="Times New Roman" w:hAnsi="Times New Roman"/>
          <w:szCs w:val="28"/>
        </w:rPr>
        <w:t>Globalement, environ 9% des m</w:t>
      </w:r>
      <w:r>
        <w:rPr>
          <w:rFonts w:ascii="Times New Roman" w:hAnsi="Times New Roman"/>
          <w:szCs w:val="28"/>
        </w:rPr>
        <w:t>é</w:t>
      </w:r>
      <w:r w:rsidRPr="00FF5168">
        <w:rPr>
          <w:rFonts w:ascii="Times New Roman" w:hAnsi="Times New Roman"/>
          <w:szCs w:val="28"/>
        </w:rPr>
        <w:t>nages en 2014 disent</w:t>
      </w:r>
      <w:r>
        <w:rPr>
          <w:rFonts w:ascii="Times New Roman" w:hAnsi="Times New Roman"/>
          <w:szCs w:val="28"/>
        </w:rPr>
        <w:t xml:space="preserve"> avoir é</w:t>
      </w:r>
      <w:r w:rsidRPr="004A1029">
        <w:rPr>
          <w:rFonts w:ascii="Times New Roman" w:hAnsi="Times New Roman"/>
          <w:szCs w:val="28"/>
        </w:rPr>
        <w:t>t</w:t>
      </w:r>
      <w:r>
        <w:rPr>
          <w:rFonts w:ascii="Times New Roman" w:hAnsi="Times New Roman"/>
          <w:szCs w:val="28"/>
        </w:rPr>
        <w:t>é</w:t>
      </w:r>
      <w:r w:rsidRPr="004A1029">
        <w:rPr>
          <w:rFonts w:ascii="Times New Roman" w:hAnsi="Times New Roman"/>
          <w:szCs w:val="28"/>
        </w:rPr>
        <w:t xml:space="preserve"> impact</w:t>
      </w:r>
      <w:r>
        <w:rPr>
          <w:rFonts w:ascii="Times New Roman" w:hAnsi="Times New Roman"/>
          <w:szCs w:val="28"/>
        </w:rPr>
        <w:t>é</w:t>
      </w:r>
      <w:r w:rsidRPr="00FF5168">
        <w:rPr>
          <w:rFonts w:ascii="Times New Roman" w:hAnsi="Times New Roman"/>
          <w:szCs w:val="28"/>
        </w:rPr>
        <w:t xml:space="preserve">s par les inondations </w:t>
      </w:r>
      <w:r>
        <w:rPr>
          <w:rFonts w:ascii="Times New Roman" w:hAnsi="Times New Roman"/>
          <w:szCs w:val="28"/>
        </w:rPr>
        <w:t>(ENSA, 2014)</w:t>
      </w:r>
      <w:r w:rsidRPr="00FF5168">
        <w:rPr>
          <w:rFonts w:ascii="Times New Roman" w:hAnsi="Times New Roman"/>
          <w:szCs w:val="28"/>
        </w:rPr>
        <w:t>.</w:t>
      </w:r>
      <w:r w:rsidRPr="004A1029">
        <w:rPr>
          <w:rFonts w:ascii="Times New Roman" w:hAnsi="Times New Roman"/>
          <w:sz w:val="20"/>
          <w:szCs w:val="20"/>
        </w:rPr>
        <w:t xml:space="preserve"> </w:t>
      </w:r>
      <w:r w:rsidRPr="00FF5168">
        <w:rPr>
          <w:rFonts w:ascii="Times New Roman" w:hAnsi="Times New Roman"/>
          <w:szCs w:val="28"/>
        </w:rPr>
        <w:t xml:space="preserve">Dans le domaine de </w:t>
      </w:r>
      <w:r w:rsidR="006D5C34">
        <w:rPr>
          <w:rFonts w:ascii="Times New Roman" w:hAnsi="Times New Roman"/>
          <w:szCs w:val="28"/>
        </w:rPr>
        <w:t xml:space="preserve">la </w:t>
      </w:r>
      <w:r w:rsidRPr="00FF5168">
        <w:rPr>
          <w:rFonts w:ascii="Times New Roman" w:hAnsi="Times New Roman"/>
          <w:szCs w:val="28"/>
        </w:rPr>
        <w:t>prévention et gestion des risques de catastrophes, le défi sera de renforcer le cadre institutionnel et juridique</w:t>
      </w:r>
      <w:r>
        <w:rPr>
          <w:rFonts w:ascii="Times New Roman" w:hAnsi="Times New Roman"/>
          <w:szCs w:val="28"/>
        </w:rPr>
        <w:t>,</w:t>
      </w:r>
      <w:r w:rsidRPr="00FF5168">
        <w:rPr>
          <w:rFonts w:ascii="Times New Roman" w:hAnsi="Times New Roman"/>
          <w:szCs w:val="28"/>
        </w:rPr>
        <w:t xml:space="preserve"> </w:t>
      </w:r>
      <w:r>
        <w:rPr>
          <w:rFonts w:ascii="Times New Roman" w:hAnsi="Times New Roman"/>
          <w:szCs w:val="28"/>
        </w:rPr>
        <w:t>les mécanismes d’alerte précoce et de préparation à l’urgence, mais aussi la capacité des ménages à faire face aux chocs</w:t>
      </w:r>
      <w:r w:rsidRPr="004A1029">
        <w:rPr>
          <w:rFonts w:ascii="Times New Roman" w:hAnsi="Times New Roman"/>
          <w:szCs w:val="28"/>
        </w:rPr>
        <w:t>.</w:t>
      </w:r>
    </w:p>
    <w:p w14:paraId="49B3B5D5" w14:textId="0D40A9CF" w:rsidR="006324E0" w:rsidRDefault="006324E0" w:rsidP="006324E0">
      <w:pPr>
        <w:pStyle w:val="ListParagraph"/>
        <w:ind w:left="0"/>
        <w:jc w:val="both"/>
        <w:rPr>
          <w:rFonts w:ascii="Times New Roman" w:hAnsi="Times New Roman"/>
          <w:sz w:val="22"/>
          <w:szCs w:val="22"/>
        </w:rPr>
      </w:pPr>
      <w:r>
        <w:rPr>
          <w:rFonts w:ascii="Times New Roman" w:hAnsi="Times New Roman"/>
          <w:sz w:val="22"/>
          <w:szCs w:val="28"/>
        </w:rPr>
        <w:t>Les défis liés à l’environnement et à la gestion des ressources naturelles sont, entre autres, l</w:t>
      </w:r>
      <w:r w:rsidRPr="00D35ED4">
        <w:rPr>
          <w:rFonts w:ascii="Times New Roman" w:hAnsi="Times New Roman"/>
          <w:sz w:val="22"/>
          <w:szCs w:val="28"/>
        </w:rPr>
        <w:t>a baisse de la pluviométrie et</w:t>
      </w:r>
      <w:r>
        <w:rPr>
          <w:rFonts w:ascii="Times New Roman" w:hAnsi="Times New Roman"/>
          <w:sz w:val="22"/>
          <w:szCs w:val="28"/>
        </w:rPr>
        <w:t xml:space="preserve"> des ressources en eau, la dégradation des terres, la perte de la biodiversité, la faible </w:t>
      </w:r>
      <w:r w:rsidRPr="00D35ED4">
        <w:rPr>
          <w:rFonts w:ascii="Times New Roman" w:hAnsi="Times New Roman"/>
          <w:sz w:val="22"/>
          <w:szCs w:val="28"/>
        </w:rPr>
        <w:t>adaptation aux changements climatiques et l’ensablement des oasis.</w:t>
      </w:r>
      <w:r>
        <w:rPr>
          <w:rFonts w:ascii="Times New Roman" w:hAnsi="Times New Roman"/>
          <w:sz w:val="22"/>
          <w:szCs w:val="22"/>
        </w:rPr>
        <w:t xml:space="preserve"> En considérant la situation des personnes déplacées</w:t>
      </w:r>
      <w:r w:rsidR="006D5C34">
        <w:rPr>
          <w:rFonts w:ascii="Times New Roman" w:hAnsi="Times New Roman"/>
          <w:sz w:val="22"/>
          <w:szCs w:val="22"/>
        </w:rPr>
        <w:t xml:space="preserve"> et ou retournées</w:t>
      </w:r>
      <w:r>
        <w:rPr>
          <w:rFonts w:ascii="Times New Roman" w:hAnsi="Times New Roman"/>
          <w:sz w:val="22"/>
          <w:szCs w:val="22"/>
        </w:rPr>
        <w:t>, l</w:t>
      </w:r>
      <w:r w:rsidRPr="003908E2">
        <w:rPr>
          <w:rFonts w:ascii="Times New Roman" w:hAnsi="Times New Roman"/>
          <w:sz w:val="22"/>
          <w:szCs w:val="22"/>
        </w:rPr>
        <w:t xml:space="preserve">a question de la consommation du bois </w:t>
      </w:r>
      <w:r>
        <w:rPr>
          <w:rFonts w:ascii="Times New Roman" w:hAnsi="Times New Roman"/>
          <w:sz w:val="22"/>
          <w:szCs w:val="22"/>
        </w:rPr>
        <w:t>reste un défi crucial dans un contexte</w:t>
      </w:r>
      <w:r w:rsidRPr="003908E2">
        <w:rPr>
          <w:rFonts w:ascii="Times New Roman" w:hAnsi="Times New Roman"/>
          <w:sz w:val="22"/>
          <w:szCs w:val="22"/>
        </w:rPr>
        <w:t xml:space="preserve"> où le recouvrement vég</w:t>
      </w:r>
      <w:r>
        <w:rPr>
          <w:rFonts w:ascii="Times New Roman" w:hAnsi="Times New Roman"/>
          <w:sz w:val="22"/>
          <w:szCs w:val="22"/>
        </w:rPr>
        <w:t>étal est très faible, particulièrement à l</w:t>
      </w:r>
      <w:r w:rsidRPr="003908E2">
        <w:rPr>
          <w:rFonts w:ascii="Times New Roman" w:hAnsi="Times New Roman"/>
          <w:sz w:val="22"/>
          <w:szCs w:val="22"/>
        </w:rPr>
        <w:t>’Est</w:t>
      </w:r>
      <w:r>
        <w:rPr>
          <w:rFonts w:ascii="Times New Roman" w:hAnsi="Times New Roman"/>
          <w:sz w:val="22"/>
          <w:szCs w:val="22"/>
        </w:rPr>
        <w:t xml:space="preserve"> du pays, terre d’accueil des réfugiés</w:t>
      </w:r>
      <w:r w:rsidRPr="003908E2">
        <w:rPr>
          <w:rFonts w:ascii="Times New Roman" w:hAnsi="Times New Roman"/>
          <w:sz w:val="22"/>
          <w:szCs w:val="22"/>
        </w:rPr>
        <w:t>. Des sources d’énergies alternatives (cuiseurs solaires, briquettes, biogaz…) ont donc été introduites pour pal</w:t>
      </w:r>
      <w:r>
        <w:rPr>
          <w:rFonts w:ascii="Times New Roman" w:hAnsi="Times New Roman"/>
          <w:sz w:val="22"/>
          <w:szCs w:val="22"/>
        </w:rPr>
        <w:t>l</w:t>
      </w:r>
      <w:r w:rsidRPr="003908E2">
        <w:rPr>
          <w:rFonts w:ascii="Times New Roman" w:hAnsi="Times New Roman"/>
          <w:sz w:val="22"/>
          <w:szCs w:val="22"/>
        </w:rPr>
        <w:t>ier l’exploitation des ressources ligneuses. D</w:t>
      </w:r>
      <w:r>
        <w:rPr>
          <w:rFonts w:ascii="Times New Roman" w:hAnsi="Times New Roman"/>
          <w:sz w:val="22"/>
          <w:szCs w:val="22"/>
        </w:rPr>
        <w:t xml:space="preserve">’autres </w:t>
      </w:r>
      <w:r w:rsidRPr="003908E2">
        <w:rPr>
          <w:rFonts w:ascii="Times New Roman" w:hAnsi="Times New Roman"/>
          <w:sz w:val="22"/>
          <w:szCs w:val="22"/>
        </w:rPr>
        <w:t>efforts sont faits</w:t>
      </w:r>
      <w:r>
        <w:rPr>
          <w:rFonts w:ascii="Times New Roman" w:hAnsi="Times New Roman"/>
          <w:sz w:val="22"/>
          <w:szCs w:val="22"/>
        </w:rPr>
        <w:t xml:space="preserve"> en termes de</w:t>
      </w:r>
      <w:r w:rsidRPr="003908E2">
        <w:rPr>
          <w:rFonts w:ascii="Times New Roman" w:hAnsi="Times New Roman"/>
          <w:sz w:val="22"/>
          <w:szCs w:val="22"/>
        </w:rPr>
        <w:t xml:space="preserve"> reconstitution des écosystèmes dégradés par la présence de </w:t>
      </w:r>
      <w:r>
        <w:rPr>
          <w:rFonts w:ascii="Times New Roman" w:hAnsi="Times New Roman"/>
          <w:sz w:val="22"/>
          <w:szCs w:val="22"/>
        </w:rPr>
        <w:t>déplacés</w:t>
      </w:r>
      <w:r w:rsidRPr="00864FAF">
        <w:rPr>
          <w:rFonts w:ascii="Times New Roman" w:hAnsi="Times New Roman"/>
          <w:sz w:val="22"/>
          <w:szCs w:val="22"/>
        </w:rPr>
        <w:t xml:space="preserve"> ainsi que </w:t>
      </w:r>
      <w:r w:rsidRPr="000B4887">
        <w:rPr>
          <w:rFonts w:ascii="Times New Roman" w:hAnsi="Times New Roman"/>
          <w:sz w:val="22"/>
          <w:szCs w:val="22"/>
        </w:rPr>
        <w:t>la promotion de pratiques de construction d’abris</w:t>
      </w:r>
      <w:r>
        <w:rPr>
          <w:rFonts w:ascii="Times New Roman" w:hAnsi="Times New Roman"/>
          <w:sz w:val="22"/>
          <w:szCs w:val="22"/>
        </w:rPr>
        <w:t>,</w:t>
      </w:r>
      <w:r w:rsidRPr="000B4887">
        <w:rPr>
          <w:rFonts w:ascii="Times New Roman" w:hAnsi="Times New Roman"/>
          <w:sz w:val="22"/>
          <w:szCs w:val="22"/>
        </w:rPr>
        <w:t xml:space="preserve"> soucieuses de l’environnement</w:t>
      </w:r>
      <w:r>
        <w:rPr>
          <w:rFonts w:ascii="Times New Roman" w:hAnsi="Times New Roman"/>
          <w:sz w:val="22"/>
          <w:szCs w:val="22"/>
        </w:rPr>
        <w:t xml:space="preserve">. </w:t>
      </w:r>
      <w:r w:rsidRPr="000B4887">
        <w:rPr>
          <w:rFonts w:ascii="Times New Roman" w:hAnsi="Times New Roman"/>
          <w:sz w:val="22"/>
          <w:szCs w:val="22"/>
        </w:rPr>
        <w:t xml:space="preserve">Néanmoins, les problèmes liés à l’environnement </w:t>
      </w:r>
      <w:r>
        <w:rPr>
          <w:rFonts w:ascii="Times New Roman" w:hAnsi="Times New Roman"/>
          <w:sz w:val="22"/>
          <w:szCs w:val="22"/>
        </w:rPr>
        <w:t>dans les zones des</w:t>
      </w:r>
      <w:r w:rsidRPr="000B4887">
        <w:t xml:space="preserve"> </w:t>
      </w:r>
      <w:r w:rsidRPr="000B4887">
        <w:rPr>
          <w:rFonts w:ascii="Times New Roman" w:hAnsi="Times New Roman"/>
          <w:sz w:val="22"/>
          <w:szCs w:val="22"/>
        </w:rPr>
        <w:t>réfugiés</w:t>
      </w:r>
      <w:r>
        <w:rPr>
          <w:rFonts w:ascii="Times New Roman" w:hAnsi="Times New Roman"/>
          <w:sz w:val="22"/>
          <w:szCs w:val="22"/>
        </w:rPr>
        <w:t xml:space="preserve"> </w:t>
      </w:r>
      <w:r w:rsidRPr="000B4887">
        <w:rPr>
          <w:rFonts w:ascii="Times New Roman" w:hAnsi="Times New Roman"/>
          <w:sz w:val="22"/>
          <w:szCs w:val="22"/>
        </w:rPr>
        <w:t>demeurent inquiétant</w:t>
      </w:r>
      <w:r>
        <w:rPr>
          <w:rFonts w:ascii="Times New Roman" w:hAnsi="Times New Roman"/>
          <w:sz w:val="22"/>
          <w:szCs w:val="22"/>
        </w:rPr>
        <w:t>s</w:t>
      </w:r>
      <w:r w:rsidRPr="000B4887">
        <w:rPr>
          <w:rFonts w:ascii="Times New Roman" w:hAnsi="Times New Roman"/>
          <w:sz w:val="22"/>
          <w:szCs w:val="22"/>
        </w:rPr>
        <w:t xml:space="preserve"> car la situation demande encore des ressources  énormes</w:t>
      </w:r>
      <w:r>
        <w:rPr>
          <w:rFonts w:ascii="Times New Roman" w:hAnsi="Times New Roman"/>
          <w:sz w:val="22"/>
          <w:szCs w:val="22"/>
        </w:rPr>
        <w:t>.</w:t>
      </w:r>
      <w:r w:rsidRPr="004B10CB">
        <w:rPr>
          <w:rFonts w:ascii="Times New Roman" w:hAnsi="Times New Roman"/>
          <w:sz w:val="22"/>
          <w:szCs w:val="22"/>
        </w:rPr>
        <w:t xml:space="preserve"> </w:t>
      </w:r>
      <w:r>
        <w:rPr>
          <w:rFonts w:ascii="Times New Roman" w:hAnsi="Times New Roman"/>
          <w:sz w:val="22"/>
          <w:szCs w:val="22"/>
        </w:rPr>
        <w:t xml:space="preserve">Dans le domaine de la gouvernance environnementale, il existe un haut comité national de l’environnement mais qui n’est pas suffisamment opérationnel. L’absence de cadre institutionnel cohérent et d’une politique nationale de l’environnement pour un développement durable représentent un défi majeur en matière de gestion durable des ressources naturelles et de promotion de la biodiversité. </w:t>
      </w:r>
    </w:p>
    <w:p w14:paraId="0E53891B" w14:textId="699EA045" w:rsidR="006324E0" w:rsidRDefault="006324E0" w:rsidP="006324E0">
      <w:pPr>
        <w:spacing w:line="276" w:lineRule="auto"/>
        <w:jc w:val="both"/>
        <w:rPr>
          <w:rFonts w:ascii="Times New Roman" w:hAnsi="Times New Roman"/>
          <w:szCs w:val="28"/>
        </w:rPr>
      </w:pPr>
      <w:r>
        <w:rPr>
          <w:rFonts w:ascii="Times New Roman" w:hAnsi="Times New Roman"/>
          <w:szCs w:val="28"/>
        </w:rPr>
        <w:t xml:space="preserve">La réorientation des politiques nationales pour réduire la population en insécurité alimentaire est un enjeu pour le pays avec près de 3,4 millions de sa population en insécurité alimentaire en 2016 (Cadre Harmonisé). Ceci se confirme en considérant l’Index sur la Faim dans le monde (GHI) qui classe le pays parmi ceux à situation « alarmante » avec un index évalué à </w:t>
      </w:r>
      <w:r w:rsidRPr="00FF5168">
        <w:rPr>
          <w:rFonts w:ascii="Times New Roman" w:hAnsi="Times New Roman"/>
          <w:szCs w:val="28"/>
        </w:rPr>
        <w:t>46</w:t>
      </w:r>
      <w:r>
        <w:rPr>
          <w:rFonts w:ascii="Times New Roman" w:hAnsi="Times New Roman"/>
          <w:szCs w:val="28"/>
        </w:rPr>
        <w:t>,</w:t>
      </w:r>
      <w:r w:rsidRPr="00FF5168">
        <w:rPr>
          <w:rFonts w:ascii="Times New Roman" w:hAnsi="Times New Roman"/>
          <w:szCs w:val="28"/>
        </w:rPr>
        <w:t>4</w:t>
      </w:r>
      <w:r w:rsidR="00321704">
        <w:rPr>
          <w:rFonts w:ascii="Times New Roman" w:hAnsi="Times New Roman"/>
          <w:szCs w:val="28"/>
        </w:rPr>
        <w:t xml:space="preserve"> soit </w:t>
      </w:r>
      <w:r w:rsidRPr="00FF5168">
        <w:rPr>
          <w:rFonts w:ascii="Times New Roman" w:hAnsi="Times New Roman"/>
          <w:szCs w:val="28"/>
        </w:rPr>
        <w:t xml:space="preserve"> l’avant dernière place en 2015. </w:t>
      </w:r>
      <w:r w:rsidRPr="00861D40">
        <w:rPr>
          <w:rFonts w:ascii="Times New Roman" w:hAnsi="Times New Roman"/>
          <w:szCs w:val="28"/>
        </w:rPr>
        <w:t>Les populations les plus affect</w:t>
      </w:r>
      <w:r>
        <w:rPr>
          <w:rFonts w:ascii="Times New Roman" w:hAnsi="Times New Roman"/>
          <w:szCs w:val="28"/>
        </w:rPr>
        <w:t>é</w:t>
      </w:r>
      <w:r w:rsidRPr="00FF5168">
        <w:rPr>
          <w:rFonts w:ascii="Times New Roman" w:hAnsi="Times New Roman"/>
          <w:szCs w:val="28"/>
        </w:rPr>
        <w:t>es par l</w:t>
      </w:r>
      <w:r>
        <w:rPr>
          <w:rFonts w:ascii="Times New Roman" w:hAnsi="Times New Roman"/>
          <w:szCs w:val="28"/>
        </w:rPr>
        <w:t>’</w:t>
      </w:r>
      <w:r w:rsidRPr="00FF5168">
        <w:rPr>
          <w:rFonts w:ascii="Times New Roman" w:hAnsi="Times New Roman"/>
          <w:szCs w:val="28"/>
        </w:rPr>
        <w:t>insecurit</w:t>
      </w:r>
      <w:r>
        <w:rPr>
          <w:rFonts w:ascii="Times New Roman" w:hAnsi="Times New Roman"/>
          <w:szCs w:val="28"/>
        </w:rPr>
        <w:t>é</w:t>
      </w:r>
      <w:r w:rsidRPr="00FF5168">
        <w:rPr>
          <w:rFonts w:ascii="Times New Roman" w:hAnsi="Times New Roman"/>
          <w:szCs w:val="28"/>
        </w:rPr>
        <w:t xml:space="preserve"> alimentaire</w:t>
      </w:r>
      <w:r>
        <w:rPr>
          <w:rFonts w:ascii="Times New Roman" w:hAnsi="Times New Roman"/>
          <w:szCs w:val="28"/>
        </w:rPr>
        <w:t xml:space="preserve"> </w:t>
      </w:r>
      <w:r w:rsidRPr="00FF5168">
        <w:rPr>
          <w:rFonts w:ascii="Times New Roman" w:hAnsi="Times New Roman"/>
          <w:szCs w:val="28"/>
        </w:rPr>
        <w:t>et nutritionnell</w:t>
      </w:r>
      <w:r w:rsidRPr="00861D40">
        <w:rPr>
          <w:rFonts w:ascii="Times New Roman" w:hAnsi="Times New Roman"/>
          <w:szCs w:val="28"/>
        </w:rPr>
        <w:t>e se trouvent dans la bande sahé</w:t>
      </w:r>
      <w:r w:rsidRPr="00FF5168">
        <w:rPr>
          <w:rFonts w:ascii="Times New Roman" w:hAnsi="Times New Roman"/>
          <w:szCs w:val="28"/>
        </w:rPr>
        <w:t>lienne du</w:t>
      </w:r>
      <w:r>
        <w:rPr>
          <w:rFonts w:ascii="Times New Roman" w:hAnsi="Times New Roman"/>
          <w:szCs w:val="28"/>
        </w:rPr>
        <w:t xml:space="preserve"> </w:t>
      </w:r>
      <w:r w:rsidRPr="00FF5168">
        <w:rPr>
          <w:rFonts w:ascii="Times New Roman" w:hAnsi="Times New Roman"/>
          <w:szCs w:val="28"/>
        </w:rPr>
        <w:t>pay</w:t>
      </w:r>
      <w:r w:rsidR="00321704">
        <w:rPr>
          <w:rFonts w:ascii="Times New Roman" w:hAnsi="Times New Roman"/>
          <w:szCs w:val="28"/>
        </w:rPr>
        <w:t>s et dans les zones accueillant</w:t>
      </w:r>
      <w:r w:rsidRPr="00FF5168">
        <w:rPr>
          <w:rFonts w:ascii="Times New Roman" w:hAnsi="Times New Roman"/>
          <w:szCs w:val="28"/>
        </w:rPr>
        <w:t xml:space="preserve"> les r</w:t>
      </w:r>
      <w:r>
        <w:rPr>
          <w:rFonts w:ascii="Times New Roman" w:hAnsi="Times New Roman"/>
          <w:szCs w:val="28"/>
        </w:rPr>
        <w:t>é</w:t>
      </w:r>
      <w:r w:rsidRPr="00FF5168">
        <w:rPr>
          <w:rFonts w:ascii="Times New Roman" w:hAnsi="Times New Roman"/>
          <w:szCs w:val="28"/>
        </w:rPr>
        <w:t>fugi</w:t>
      </w:r>
      <w:r>
        <w:rPr>
          <w:rFonts w:ascii="Times New Roman" w:hAnsi="Times New Roman"/>
          <w:szCs w:val="28"/>
        </w:rPr>
        <w:t>é</w:t>
      </w:r>
      <w:r w:rsidRPr="00FF5168">
        <w:rPr>
          <w:rFonts w:ascii="Times New Roman" w:hAnsi="Times New Roman"/>
          <w:szCs w:val="28"/>
        </w:rPr>
        <w:t>s, retourn</w:t>
      </w:r>
      <w:r>
        <w:rPr>
          <w:rFonts w:ascii="Times New Roman" w:hAnsi="Times New Roman"/>
          <w:szCs w:val="28"/>
        </w:rPr>
        <w:t>é</w:t>
      </w:r>
      <w:r w:rsidRPr="00FF5168">
        <w:rPr>
          <w:rFonts w:ascii="Times New Roman" w:hAnsi="Times New Roman"/>
          <w:szCs w:val="28"/>
        </w:rPr>
        <w:t>s et</w:t>
      </w:r>
      <w:r>
        <w:rPr>
          <w:rFonts w:ascii="Times New Roman" w:hAnsi="Times New Roman"/>
          <w:szCs w:val="28"/>
        </w:rPr>
        <w:t xml:space="preserve"> </w:t>
      </w:r>
      <w:r w:rsidRPr="00FF5168">
        <w:rPr>
          <w:rFonts w:ascii="Times New Roman" w:hAnsi="Times New Roman"/>
          <w:szCs w:val="28"/>
        </w:rPr>
        <w:t>d</w:t>
      </w:r>
      <w:r>
        <w:rPr>
          <w:rFonts w:ascii="Times New Roman" w:hAnsi="Times New Roman"/>
          <w:szCs w:val="28"/>
        </w:rPr>
        <w:t>é</w:t>
      </w:r>
      <w:r w:rsidRPr="00FF5168">
        <w:rPr>
          <w:rFonts w:ascii="Times New Roman" w:hAnsi="Times New Roman"/>
          <w:szCs w:val="28"/>
        </w:rPr>
        <w:t>plac</w:t>
      </w:r>
      <w:r>
        <w:rPr>
          <w:rFonts w:ascii="Times New Roman" w:hAnsi="Times New Roman"/>
          <w:szCs w:val="28"/>
        </w:rPr>
        <w:t>é</w:t>
      </w:r>
      <w:r w:rsidRPr="00FF5168">
        <w:rPr>
          <w:rFonts w:ascii="Times New Roman" w:hAnsi="Times New Roman"/>
          <w:szCs w:val="28"/>
        </w:rPr>
        <w:t>s internes.</w:t>
      </w:r>
      <w:r>
        <w:rPr>
          <w:rFonts w:ascii="Times New Roman" w:hAnsi="Times New Roman"/>
          <w:szCs w:val="28"/>
        </w:rPr>
        <w:t xml:space="preserve"> D’autres défis sont </w:t>
      </w:r>
      <w:r w:rsidR="00321704">
        <w:rPr>
          <w:rFonts w:ascii="Times New Roman" w:hAnsi="Times New Roman"/>
          <w:szCs w:val="28"/>
        </w:rPr>
        <w:t xml:space="preserve">liés à </w:t>
      </w:r>
      <w:r>
        <w:rPr>
          <w:rFonts w:ascii="Times New Roman" w:hAnsi="Times New Roman"/>
          <w:szCs w:val="28"/>
        </w:rPr>
        <w:t xml:space="preserve">l’accès au foncier, la maîtrise de la gestion de l’eau pour augmenter les rendements, l’amélioration de l’accès des producteurs aux marchés et la distribution de la production, le renforcement des capacités techniques des producteurs et la mise à disposition d’intrants appropriés. </w:t>
      </w:r>
    </w:p>
    <w:p w14:paraId="35BF8F00" w14:textId="77777777" w:rsidR="006324E0" w:rsidRPr="00FF5168" w:rsidRDefault="006324E0" w:rsidP="006324E0">
      <w:pPr>
        <w:spacing w:line="276" w:lineRule="auto"/>
        <w:jc w:val="both"/>
        <w:rPr>
          <w:rFonts w:ascii="Times New Roman" w:hAnsi="Times New Roman"/>
          <w:szCs w:val="28"/>
        </w:rPr>
      </w:pPr>
    </w:p>
    <w:p w14:paraId="10DDC3B3" w14:textId="6C80F9A1" w:rsidR="006324E0" w:rsidRPr="00161A7A" w:rsidRDefault="003F2A7A" w:rsidP="006324E0">
      <w:pPr>
        <w:pStyle w:val="Heading2"/>
        <w:jc w:val="left"/>
        <w:rPr>
          <w:color w:val="2E74B5"/>
          <w:sz w:val="24"/>
        </w:rPr>
      </w:pPr>
      <w:bookmarkStart w:id="62" w:name="_Toc454635276"/>
      <w:bookmarkStart w:id="63" w:name="_Toc455604610"/>
      <w:bookmarkStart w:id="64" w:name="_Toc456889050"/>
      <w:bookmarkStart w:id="65" w:name="_Toc459363413"/>
      <w:r>
        <w:rPr>
          <w:color w:val="2E74B5"/>
          <w:sz w:val="24"/>
        </w:rPr>
        <w:t>2</w:t>
      </w:r>
      <w:r w:rsidR="006324E0" w:rsidRPr="00161A7A">
        <w:rPr>
          <w:color w:val="2E74B5"/>
          <w:sz w:val="24"/>
        </w:rPr>
        <w:t>.3.2. Stratégies de coopération des Nations Unies</w:t>
      </w:r>
      <w:bookmarkEnd w:id="62"/>
      <w:bookmarkEnd w:id="63"/>
      <w:bookmarkEnd w:id="64"/>
      <w:bookmarkEnd w:id="65"/>
    </w:p>
    <w:p w14:paraId="26A9758F" w14:textId="77777777" w:rsidR="006324E0" w:rsidRPr="00862219" w:rsidRDefault="006324E0" w:rsidP="006324E0">
      <w:pPr>
        <w:spacing w:line="276" w:lineRule="auto"/>
        <w:jc w:val="both"/>
        <w:rPr>
          <w:rFonts w:ascii="Times New Roman" w:hAnsi="Times New Roman"/>
          <w:color w:val="000000"/>
          <w:szCs w:val="28"/>
        </w:rPr>
      </w:pPr>
      <w:r>
        <w:rPr>
          <w:rFonts w:ascii="Times New Roman" w:hAnsi="Times New Roman"/>
          <w:szCs w:val="28"/>
        </w:rPr>
        <w:t>La protection sociale, la gestion des crises et la durabilité</w:t>
      </w:r>
      <w:r w:rsidRPr="00157332">
        <w:rPr>
          <w:rFonts w:ascii="Times New Roman" w:hAnsi="Times New Roman"/>
          <w:szCs w:val="28"/>
        </w:rPr>
        <w:t xml:space="preserve"> </w:t>
      </w:r>
      <w:r>
        <w:rPr>
          <w:rFonts w:ascii="Times New Roman" w:hAnsi="Times New Roman"/>
          <w:szCs w:val="28"/>
        </w:rPr>
        <w:t xml:space="preserve">constituent, pour le système des Nations Unies, tout ou parties des réponses aux </w:t>
      </w:r>
      <w:r w:rsidRPr="00957236">
        <w:rPr>
          <w:rFonts w:ascii="Times New Roman" w:hAnsi="Times New Roman"/>
          <w:szCs w:val="28"/>
        </w:rPr>
        <w:t xml:space="preserve">causes structurelles </w:t>
      </w:r>
      <w:r>
        <w:rPr>
          <w:rFonts w:ascii="Times New Roman" w:hAnsi="Times New Roman"/>
          <w:szCs w:val="28"/>
        </w:rPr>
        <w:t xml:space="preserve">des vulnérabilités des systèmes et des communautés. </w:t>
      </w:r>
      <w:r w:rsidRPr="00957236">
        <w:rPr>
          <w:rFonts w:ascii="Times New Roman" w:hAnsi="Times New Roman"/>
          <w:szCs w:val="28"/>
        </w:rPr>
        <w:t>Le SNU compte mettre en commun et démultiplier les efforts des agences dans l’appui à la mise en œuvre des politiques et stratégies nationales et inscrit ses interventions dans le cadre de la stratégie intégrée des Nations Unies pour le Sahel et les priorités pays AGIR</w:t>
      </w:r>
      <w:r w:rsidRPr="00862219">
        <w:rPr>
          <w:rFonts w:ascii="Times New Roman" w:hAnsi="Times New Roman"/>
          <w:color w:val="000000"/>
          <w:szCs w:val="28"/>
        </w:rPr>
        <w:t xml:space="preserve">. Pour ce domaine de coopération, les défis sont multiples et complexes en ce qu’il pose les fondements du renforcement de la résilience en mettant en évidence les enjeux de sécurité alimentaire et de gestion des risques des crises et catastrophes, environnementaux, climatiques et socio-économiques.  </w:t>
      </w:r>
    </w:p>
    <w:p w14:paraId="4E0FA605" w14:textId="458B7473" w:rsidR="006324E0" w:rsidRPr="006307D4" w:rsidRDefault="006324E0" w:rsidP="006324E0">
      <w:pPr>
        <w:spacing w:line="276" w:lineRule="auto"/>
        <w:jc w:val="both"/>
        <w:rPr>
          <w:rFonts w:ascii="Times New Roman" w:hAnsi="Times New Roman"/>
          <w:szCs w:val="28"/>
        </w:rPr>
      </w:pPr>
      <w:r w:rsidRPr="00B11DA1">
        <w:rPr>
          <w:rFonts w:ascii="Times New Roman" w:hAnsi="Times New Roman"/>
          <w:szCs w:val="28"/>
        </w:rPr>
        <w:t>Pour ce faire, le système des Nations Unies a pour cibles : les ménages</w:t>
      </w:r>
      <w:r>
        <w:rPr>
          <w:rFonts w:ascii="Times New Roman" w:hAnsi="Times New Roman"/>
          <w:szCs w:val="28"/>
        </w:rPr>
        <w:t xml:space="preserve"> y compris les m</w:t>
      </w:r>
      <w:r w:rsidRPr="00A87871">
        <w:rPr>
          <w:rFonts w:ascii="Times New Roman" w:hAnsi="Times New Roman"/>
          <w:szCs w:val="28"/>
        </w:rPr>
        <w:t>é</w:t>
      </w:r>
      <w:r>
        <w:rPr>
          <w:rFonts w:ascii="Times New Roman" w:hAnsi="Times New Roman"/>
          <w:szCs w:val="28"/>
        </w:rPr>
        <w:t>nages de r</w:t>
      </w:r>
      <w:r w:rsidRPr="008D169A">
        <w:rPr>
          <w:rFonts w:ascii="Times New Roman" w:hAnsi="Times New Roman"/>
          <w:szCs w:val="28"/>
        </w:rPr>
        <w:t>é</w:t>
      </w:r>
      <w:r>
        <w:rPr>
          <w:rFonts w:ascii="Times New Roman" w:hAnsi="Times New Roman"/>
          <w:szCs w:val="28"/>
        </w:rPr>
        <w:t>fugiés</w:t>
      </w:r>
      <w:r w:rsidRPr="00B11DA1">
        <w:rPr>
          <w:rFonts w:ascii="Times New Roman" w:hAnsi="Times New Roman"/>
          <w:szCs w:val="28"/>
        </w:rPr>
        <w:t>, la communauté, la société</w:t>
      </w:r>
      <w:r>
        <w:rPr>
          <w:rFonts w:ascii="Times New Roman" w:hAnsi="Times New Roman"/>
          <w:szCs w:val="28"/>
        </w:rPr>
        <w:t xml:space="preserve">, </w:t>
      </w:r>
      <w:r w:rsidR="00321704">
        <w:rPr>
          <w:rFonts w:ascii="Times New Roman" w:hAnsi="Times New Roman"/>
          <w:szCs w:val="28"/>
        </w:rPr>
        <w:t>les institutions nationales</w:t>
      </w:r>
      <w:r w:rsidRPr="00B11DA1">
        <w:rPr>
          <w:rFonts w:ascii="Times New Roman" w:hAnsi="Times New Roman"/>
          <w:szCs w:val="28"/>
        </w:rPr>
        <w:t xml:space="preserve"> et les systèmes. Cette démarche, multi-acteurs et multi-institutions permet </w:t>
      </w:r>
      <w:r>
        <w:rPr>
          <w:rFonts w:ascii="Times New Roman" w:hAnsi="Times New Roman"/>
          <w:szCs w:val="28"/>
        </w:rPr>
        <w:t>une approche</w:t>
      </w:r>
      <w:r w:rsidRPr="00B11DA1">
        <w:rPr>
          <w:rFonts w:ascii="Times New Roman" w:hAnsi="Times New Roman"/>
          <w:szCs w:val="28"/>
        </w:rPr>
        <w:t xml:space="preserve"> gl</w:t>
      </w:r>
      <w:r>
        <w:rPr>
          <w:rFonts w:ascii="Times New Roman" w:hAnsi="Times New Roman"/>
          <w:szCs w:val="28"/>
        </w:rPr>
        <w:t>obalisante. L</w:t>
      </w:r>
      <w:r w:rsidRPr="00B17BB2">
        <w:rPr>
          <w:rFonts w:ascii="Times New Roman" w:hAnsi="Times New Roman"/>
          <w:szCs w:val="28"/>
        </w:rPr>
        <w:t xml:space="preserve">e SNU privilégiera </w:t>
      </w:r>
      <w:r>
        <w:rPr>
          <w:rFonts w:ascii="Times New Roman" w:hAnsi="Times New Roman"/>
          <w:szCs w:val="28"/>
        </w:rPr>
        <w:t xml:space="preserve">quatre </w:t>
      </w:r>
      <w:r w:rsidRPr="00B17BB2">
        <w:rPr>
          <w:rFonts w:ascii="Times New Roman" w:hAnsi="Times New Roman"/>
          <w:szCs w:val="28"/>
        </w:rPr>
        <w:t>(</w:t>
      </w:r>
      <w:r>
        <w:rPr>
          <w:rFonts w:ascii="Times New Roman" w:hAnsi="Times New Roman"/>
          <w:szCs w:val="28"/>
        </w:rPr>
        <w:t>4</w:t>
      </w:r>
      <w:r w:rsidRPr="00B17BB2">
        <w:rPr>
          <w:rFonts w:ascii="Times New Roman" w:hAnsi="Times New Roman"/>
          <w:szCs w:val="28"/>
        </w:rPr>
        <w:t>) axes principaux : i) la protection sociale à travers la distribution alimentaire, les transferts monétaires et la promotion des filets sociaux</w:t>
      </w:r>
      <w:r>
        <w:rPr>
          <w:rFonts w:ascii="Times New Roman" w:hAnsi="Times New Roman"/>
          <w:szCs w:val="28"/>
        </w:rPr>
        <w:t xml:space="preserve"> d’une part et d’autre part, le renforcement des cadres juridiques et institutionnels de la protection sociale et de l’enfance</w:t>
      </w:r>
      <w:r w:rsidRPr="00B17BB2">
        <w:rPr>
          <w:rFonts w:ascii="Times New Roman" w:hAnsi="Times New Roman"/>
          <w:szCs w:val="28"/>
        </w:rPr>
        <w:t>; ii)</w:t>
      </w:r>
      <w:r w:rsidRPr="00F969BB">
        <w:rPr>
          <w:rFonts w:ascii="Times New Roman" w:hAnsi="Times New Roman"/>
          <w:szCs w:val="28"/>
        </w:rPr>
        <w:t xml:space="preserve"> </w:t>
      </w:r>
      <w:r w:rsidRPr="00B17BB2">
        <w:rPr>
          <w:rFonts w:ascii="Times New Roman" w:hAnsi="Times New Roman"/>
          <w:szCs w:val="28"/>
        </w:rPr>
        <w:t xml:space="preserve">la réduction des risques de catastrophes à travers la mise en place d’un système de gouvernance des risques et des crises, la préparation et l’apport de réponses conjoncturelle et structurelle aux </w:t>
      </w:r>
      <w:r>
        <w:rPr>
          <w:rFonts w:ascii="Times New Roman" w:hAnsi="Times New Roman"/>
          <w:szCs w:val="28"/>
        </w:rPr>
        <w:t>crises (urgence, développement)</w:t>
      </w:r>
      <w:r w:rsidR="002241CD">
        <w:rPr>
          <w:rFonts w:ascii="Times New Roman" w:hAnsi="Times New Roman"/>
          <w:szCs w:val="28"/>
        </w:rPr>
        <w:t xml:space="preserve"> </w:t>
      </w:r>
      <w:r w:rsidRPr="00B17BB2">
        <w:rPr>
          <w:rFonts w:ascii="Times New Roman" w:hAnsi="Times New Roman"/>
          <w:szCs w:val="28"/>
        </w:rPr>
        <w:t>;</w:t>
      </w:r>
      <w:r>
        <w:rPr>
          <w:rFonts w:ascii="Times New Roman" w:hAnsi="Times New Roman"/>
          <w:szCs w:val="28"/>
        </w:rPr>
        <w:t xml:space="preserve"> et iii) le renforcement des systèmes de production agro-pastoraux et de résilience aux changements climatiques et autres défis environnementaux.</w:t>
      </w:r>
    </w:p>
    <w:p w14:paraId="288C6836" w14:textId="25F60D18" w:rsidR="006324E0" w:rsidRPr="00161A7A" w:rsidRDefault="003F2A7A" w:rsidP="006324E0">
      <w:pPr>
        <w:pStyle w:val="Heading2"/>
        <w:jc w:val="left"/>
        <w:rPr>
          <w:color w:val="2E74B5"/>
          <w:sz w:val="24"/>
        </w:rPr>
      </w:pPr>
      <w:bookmarkStart w:id="66" w:name="_Toc454635277"/>
      <w:bookmarkStart w:id="67" w:name="_Toc455604611"/>
      <w:bookmarkStart w:id="68" w:name="_Toc459363414"/>
      <w:bookmarkStart w:id="69" w:name="_Toc456889051"/>
      <w:r>
        <w:rPr>
          <w:color w:val="2E74B5"/>
          <w:sz w:val="24"/>
        </w:rPr>
        <w:t>2</w:t>
      </w:r>
      <w:r w:rsidR="006324E0" w:rsidRPr="00161A7A">
        <w:rPr>
          <w:color w:val="2E74B5"/>
          <w:sz w:val="24"/>
        </w:rPr>
        <w:t>.3.</w:t>
      </w:r>
      <w:r w:rsidR="00642757">
        <w:rPr>
          <w:color w:val="2E74B5"/>
          <w:sz w:val="24"/>
        </w:rPr>
        <w:t>3</w:t>
      </w:r>
      <w:r w:rsidR="006324E0" w:rsidRPr="00161A7A">
        <w:rPr>
          <w:color w:val="2E74B5"/>
          <w:sz w:val="24"/>
        </w:rPr>
        <w:t>. Résultats attendus</w:t>
      </w:r>
      <w:bookmarkEnd w:id="66"/>
      <w:bookmarkEnd w:id="67"/>
      <w:bookmarkEnd w:id="68"/>
      <w:r w:rsidR="006324E0" w:rsidRPr="00161A7A">
        <w:rPr>
          <w:color w:val="2E74B5"/>
          <w:sz w:val="24"/>
        </w:rPr>
        <w:t xml:space="preserve"> </w:t>
      </w:r>
      <w:bookmarkEnd w:id="69"/>
    </w:p>
    <w:p w14:paraId="423DC556" w14:textId="77777777" w:rsidR="002241CD" w:rsidRDefault="002241CD" w:rsidP="006324E0">
      <w:pPr>
        <w:spacing w:line="276" w:lineRule="auto"/>
        <w:jc w:val="both"/>
        <w:rPr>
          <w:rFonts w:ascii="Times New Roman" w:hAnsi="Times New Roman"/>
          <w:szCs w:val="28"/>
        </w:rPr>
      </w:pPr>
    </w:p>
    <w:p w14:paraId="2D869977" w14:textId="2F5E262D" w:rsidR="006324E0" w:rsidRPr="00B11DA1" w:rsidRDefault="002241CD" w:rsidP="006324E0">
      <w:pPr>
        <w:spacing w:line="276" w:lineRule="auto"/>
        <w:jc w:val="both"/>
        <w:rPr>
          <w:rFonts w:ascii="Times New Roman" w:hAnsi="Times New Roman"/>
          <w:szCs w:val="28"/>
        </w:rPr>
      </w:pPr>
      <w:r>
        <w:rPr>
          <w:rFonts w:ascii="Times New Roman" w:hAnsi="Times New Roman"/>
          <w:szCs w:val="28"/>
        </w:rPr>
        <w:t>A travers le résultat stratégique</w:t>
      </w:r>
      <w:r w:rsidR="006324E0" w:rsidRPr="00B11DA1">
        <w:rPr>
          <w:rFonts w:ascii="Times New Roman" w:hAnsi="Times New Roman"/>
          <w:szCs w:val="28"/>
        </w:rPr>
        <w:t xml:space="preserve"> protection sociale, </w:t>
      </w:r>
      <w:r w:rsidR="006324E0">
        <w:rPr>
          <w:rFonts w:ascii="Times New Roman" w:hAnsi="Times New Roman"/>
          <w:szCs w:val="28"/>
        </w:rPr>
        <w:t>gestion des crises et durabilité,</w:t>
      </w:r>
      <w:r w:rsidR="006324E0" w:rsidRPr="00B11DA1">
        <w:rPr>
          <w:rFonts w:ascii="Times New Roman" w:hAnsi="Times New Roman"/>
          <w:szCs w:val="28"/>
        </w:rPr>
        <w:t xml:space="preserve"> le SNU vise, d’ici </w:t>
      </w:r>
      <w:r w:rsidR="006324E0">
        <w:rPr>
          <w:rFonts w:ascii="Times New Roman" w:hAnsi="Times New Roman"/>
          <w:szCs w:val="28"/>
        </w:rPr>
        <w:t xml:space="preserve">à </w:t>
      </w:r>
      <w:r w:rsidR="006324E0" w:rsidRPr="00B11DA1">
        <w:rPr>
          <w:rFonts w:ascii="Times New Roman" w:hAnsi="Times New Roman"/>
          <w:szCs w:val="28"/>
        </w:rPr>
        <w:t xml:space="preserve"> 2021, la réalisation des </w:t>
      </w:r>
      <w:r w:rsidR="00001A46">
        <w:rPr>
          <w:rFonts w:ascii="Times New Roman" w:hAnsi="Times New Roman"/>
          <w:szCs w:val="28"/>
        </w:rPr>
        <w:t>effet</w:t>
      </w:r>
      <w:r w:rsidR="006324E0" w:rsidRPr="00B11DA1">
        <w:rPr>
          <w:rFonts w:ascii="Times New Roman" w:hAnsi="Times New Roman"/>
          <w:szCs w:val="28"/>
        </w:rPr>
        <w:t xml:space="preserve">s suivants : </w:t>
      </w:r>
    </w:p>
    <w:p w14:paraId="1FBA2666" w14:textId="77777777" w:rsidR="006324E0" w:rsidRPr="00F02C1A" w:rsidRDefault="006324E0" w:rsidP="006324E0">
      <w:pPr>
        <w:jc w:val="both"/>
        <w:rPr>
          <w:rFonts w:ascii="Times New Roman" w:hAnsi="Times New Roman"/>
        </w:rPr>
      </w:pPr>
      <w:r w:rsidRPr="00F02C1A">
        <w:rPr>
          <w:rFonts w:ascii="Times New Roman" w:hAnsi="Times New Roman"/>
          <w:b/>
        </w:rPr>
        <w:t xml:space="preserve">Effet 4: </w:t>
      </w:r>
      <w:r w:rsidRPr="00F02C1A">
        <w:rPr>
          <w:rFonts w:ascii="Times New Roman" w:hAnsi="Times New Roman"/>
        </w:rPr>
        <w:t>D’ici à fin 2021, l’Etat adopte, met en œuvre et promeut l’utilisation des systèmes de protection sociale, de protection de l’enfance, de préparation et gestion des crises et catastrophes, et de relèvement rapide</w:t>
      </w:r>
    </w:p>
    <w:p w14:paraId="435FEB6D" w14:textId="77777777" w:rsidR="006324E0" w:rsidRPr="00F02C1A" w:rsidRDefault="006324E0" w:rsidP="006324E0">
      <w:pPr>
        <w:jc w:val="both"/>
        <w:rPr>
          <w:rFonts w:ascii="Times New Roman" w:hAnsi="Times New Roman"/>
        </w:rPr>
      </w:pPr>
      <w:r w:rsidRPr="00F02C1A">
        <w:rPr>
          <w:rFonts w:ascii="Times New Roman" w:hAnsi="Times New Roman"/>
          <w:b/>
        </w:rPr>
        <w:t xml:space="preserve">Effet 5. </w:t>
      </w:r>
      <w:r w:rsidRPr="00F02C1A">
        <w:rPr>
          <w:rFonts w:ascii="Times New Roman" w:hAnsi="Times New Roman"/>
        </w:rPr>
        <w:t>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w:t>
      </w:r>
    </w:p>
    <w:p w14:paraId="51D77C4E" w14:textId="6F8B2C6C" w:rsidR="006324E0" w:rsidRPr="00607D5C" w:rsidRDefault="003F2A7A" w:rsidP="006324E0">
      <w:pPr>
        <w:pStyle w:val="Heading1"/>
        <w:rPr>
          <w:sz w:val="28"/>
        </w:rPr>
      </w:pPr>
      <w:bookmarkStart w:id="70" w:name="_Toc454635278"/>
      <w:bookmarkStart w:id="71" w:name="_Toc455604612"/>
      <w:bookmarkStart w:id="72" w:name="_Toc456889052"/>
      <w:bookmarkStart w:id="73" w:name="_Toc459363415"/>
      <w:r>
        <w:rPr>
          <w:sz w:val="28"/>
        </w:rPr>
        <w:t>2</w:t>
      </w:r>
      <w:r w:rsidR="006324E0" w:rsidRPr="00607D5C">
        <w:rPr>
          <w:sz w:val="28"/>
        </w:rPr>
        <w:t xml:space="preserve">.4. </w:t>
      </w:r>
      <w:r w:rsidR="00A54203">
        <w:rPr>
          <w:sz w:val="28"/>
        </w:rPr>
        <w:t>Résultat Stratégique</w:t>
      </w:r>
      <w:r w:rsidR="00A54203" w:rsidRPr="00607D5C">
        <w:rPr>
          <w:sz w:val="28"/>
        </w:rPr>
        <w:t xml:space="preserve"> </w:t>
      </w:r>
      <w:r w:rsidR="00636A54">
        <w:rPr>
          <w:sz w:val="28"/>
        </w:rPr>
        <w:t>3. G</w:t>
      </w:r>
      <w:r w:rsidR="006324E0" w:rsidRPr="00607D5C">
        <w:rPr>
          <w:sz w:val="28"/>
        </w:rPr>
        <w:t>ouvernance-paix-sécurité</w:t>
      </w:r>
      <w:bookmarkEnd w:id="70"/>
      <w:bookmarkEnd w:id="71"/>
      <w:bookmarkEnd w:id="72"/>
      <w:bookmarkEnd w:id="73"/>
    </w:p>
    <w:p w14:paraId="52C88FA8" w14:textId="49EB630A" w:rsidR="006324E0" w:rsidRPr="00B21358" w:rsidRDefault="006324E0" w:rsidP="006324E0">
      <w:pPr>
        <w:spacing w:line="276" w:lineRule="auto"/>
        <w:jc w:val="both"/>
        <w:rPr>
          <w:rFonts w:ascii="Times New Roman" w:hAnsi="Times New Roman"/>
          <w:szCs w:val="28"/>
        </w:rPr>
      </w:pPr>
      <w:r w:rsidRPr="005519AF">
        <w:rPr>
          <w:rFonts w:ascii="Times New Roman" w:hAnsi="Times New Roman"/>
          <w:szCs w:val="28"/>
        </w:rPr>
        <w:t xml:space="preserve">Les priorités nationales ciblées sont relatives aux orientations stratégiques identifiées par le pilier I de </w:t>
      </w:r>
      <w:r w:rsidRPr="00B21358">
        <w:rPr>
          <w:rFonts w:ascii="Times New Roman" w:hAnsi="Times New Roman"/>
          <w:szCs w:val="28"/>
        </w:rPr>
        <w:t>la Vision 2030, visant la bonne gouvernance et le renforcement des capacités de l’Etat ; et la réalisation de l’ODD 16.</w:t>
      </w:r>
    </w:p>
    <w:p w14:paraId="733BF945" w14:textId="32FB1272" w:rsidR="006324E0" w:rsidRPr="00161A7A" w:rsidRDefault="003F2A7A" w:rsidP="00161A7A">
      <w:pPr>
        <w:pStyle w:val="Heading2"/>
        <w:jc w:val="left"/>
        <w:rPr>
          <w:color w:val="2E74B5"/>
          <w:sz w:val="24"/>
        </w:rPr>
      </w:pPr>
      <w:bookmarkStart w:id="74" w:name="_Toc454635279"/>
      <w:bookmarkStart w:id="75" w:name="_Toc455604613"/>
      <w:bookmarkStart w:id="76" w:name="_Toc456889053"/>
      <w:bookmarkStart w:id="77" w:name="_Toc459363416"/>
      <w:r>
        <w:rPr>
          <w:color w:val="2E74B5"/>
          <w:sz w:val="24"/>
        </w:rPr>
        <w:t>2</w:t>
      </w:r>
      <w:r w:rsidR="006324E0" w:rsidRPr="00161A7A">
        <w:rPr>
          <w:color w:val="2E74B5"/>
          <w:sz w:val="24"/>
        </w:rPr>
        <w:t>.4.1. Défis</w:t>
      </w:r>
      <w:bookmarkEnd w:id="74"/>
      <w:bookmarkEnd w:id="75"/>
      <w:bookmarkEnd w:id="76"/>
      <w:bookmarkEnd w:id="77"/>
    </w:p>
    <w:p w14:paraId="5ED6B2B7" w14:textId="6643568A" w:rsidR="006324E0" w:rsidRPr="00B21358" w:rsidRDefault="006324E0" w:rsidP="006324E0">
      <w:pPr>
        <w:spacing w:line="276" w:lineRule="auto"/>
        <w:jc w:val="both"/>
        <w:rPr>
          <w:rFonts w:ascii="Times New Roman" w:hAnsi="Times New Roman"/>
          <w:szCs w:val="28"/>
        </w:rPr>
      </w:pPr>
      <w:r w:rsidRPr="005519AF">
        <w:rPr>
          <w:rFonts w:ascii="Times New Roman" w:hAnsi="Times New Roman"/>
          <w:szCs w:val="28"/>
        </w:rPr>
        <w:t xml:space="preserve">Le diagnostic stratégique a relevé d’importants défis en matière de gouvernance économique, </w:t>
      </w:r>
      <w:r w:rsidRPr="00B21358">
        <w:rPr>
          <w:rFonts w:ascii="Times New Roman" w:hAnsi="Times New Roman"/>
          <w:szCs w:val="28"/>
        </w:rPr>
        <w:t>administrative, démocratique, locale et en termes de pilotage du processus de décentralisation</w:t>
      </w:r>
      <w:r>
        <w:rPr>
          <w:rFonts w:ascii="Times New Roman" w:hAnsi="Times New Roman"/>
          <w:szCs w:val="28"/>
        </w:rPr>
        <w:t xml:space="preserve"> </w:t>
      </w:r>
      <w:r w:rsidRPr="00B21358">
        <w:rPr>
          <w:rFonts w:ascii="Times New Roman" w:hAnsi="Times New Roman"/>
          <w:szCs w:val="28"/>
        </w:rPr>
        <w:t xml:space="preserve">. Il a aussi mis en évidence, les défis  au niveau des aspects sécuritaires et de préservation de la paix et de la cohésion sociale. </w:t>
      </w:r>
    </w:p>
    <w:p w14:paraId="6D9310FC" w14:textId="77777777" w:rsidR="006324E0" w:rsidRPr="00B21358" w:rsidRDefault="006324E0" w:rsidP="006324E0">
      <w:pPr>
        <w:spacing w:line="276" w:lineRule="auto"/>
        <w:jc w:val="both"/>
        <w:rPr>
          <w:rFonts w:ascii="Times New Roman" w:hAnsi="Times New Roman"/>
          <w:szCs w:val="28"/>
        </w:rPr>
      </w:pPr>
      <w:r w:rsidRPr="005519AF">
        <w:rPr>
          <w:rFonts w:ascii="Times New Roman" w:hAnsi="Times New Roman"/>
          <w:szCs w:val="28"/>
        </w:rPr>
        <w:t>Ainsi, dans le domaine de la gouvernance économique, le diagnostic a mis en lumière que le management des institutions publiques</w:t>
      </w:r>
      <w:r w:rsidRPr="00996DF2">
        <w:rPr>
          <w:rFonts w:ascii="Times New Roman" w:hAnsi="Times New Roman"/>
          <w:szCs w:val="28"/>
          <w:vertAlign w:val="superscript"/>
        </w:rPr>
        <w:footnoteReference w:id="2"/>
      </w:r>
      <w:r w:rsidRPr="00996DF2">
        <w:rPr>
          <w:rFonts w:ascii="Times New Roman" w:hAnsi="Times New Roman"/>
          <w:szCs w:val="28"/>
          <w:vertAlign w:val="superscript"/>
        </w:rPr>
        <w:t xml:space="preserve"> </w:t>
      </w:r>
      <w:r w:rsidRPr="005519AF">
        <w:rPr>
          <w:rFonts w:ascii="Times New Roman" w:hAnsi="Times New Roman"/>
          <w:szCs w:val="28"/>
        </w:rPr>
        <w:t>est faible, contribuant ainsi à l’inefficience de la mise en œuvre des programmes sectoriels, facteur aggravant de la pauvreté. La récen</w:t>
      </w:r>
      <w:r w:rsidRPr="00B21358">
        <w:rPr>
          <w:rFonts w:ascii="Times New Roman" w:hAnsi="Times New Roman"/>
          <w:szCs w:val="28"/>
        </w:rPr>
        <w:t>te baisse des recettes pétrolières</w:t>
      </w:r>
      <w:r>
        <w:rPr>
          <w:rFonts w:ascii="Times New Roman" w:hAnsi="Times New Roman"/>
          <w:szCs w:val="28"/>
        </w:rPr>
        <w:t>,</w:t>
      </w:r>
      <w:r w:rsidRPr="00B21358">
        <w:rPr>
          <w:rFonts w:ascii="Times New Roman" w:hAnsi="Times New Roman"/>
          <w:szCs w:val="28"/>
        </w:rPr>
        <w:t xml:space="preserve"> en 2015</w:t>
      </w:r>
      <w:r>
        <w:rPr>
          <w:rFonts w:ascii="Times New Roman" w:hAnsi="Times New Roman"/>
          <w:szCs w:val="28"/>
        </w:rPr>
        <w:t>,</w:t>
      </w:r>
      <w:r w:rsidRPr="00B21358">
        <w:rPr>
          <w:rFonts w:ascii="Times New Roman" w:hAnsi="Times New Roman"/>
          <w:szCs w:val="28"/>
        </w:rPr>
        <w:t xml:space="preserve"> a creusé le déficit budgétaire estimé à 400 milliards de FCFA</w:t>
      </w:r>
      <w:r w:rsidRPr="00996DF2">
        <w:rPr>
          <w:rFonts w:ascii="Times New Roman" w:hAnsi="Times New Roman"/>
          <w:szCs w:val="28"/>
          <w:vertAlign w:val="superscript"/>
        </w:rPr>
        <w:footnoteReference w:id="3"/>
      </w:r>
      <w:r w:rsidRPr="00996DF2">
        <w:rPr>
          <w:rFonts w:ascii="Times New Roman" w:hAnsi="Times New Roman"/>
          <w:szCs w:val="28"/>
          <w:vertAlign w:val="superscript"/>
        </w:rPr>
        <w:t xml:space="preserve"> </w:t>
      </w:r>
      <w:r w:rsidRPr="005519AF">
        <w:rPr>
          <w:rFonts w:ascii="Times New Roman" w:hAnsi="Times New Roman"/>
          <w:szCs w:val="28"/>
        </w:rPr>
        <w:t xml:space="preserve">entrainant un sous-financement des secteurs sociaux. Il faudrait </w:t>
      </w:r>
      <w:r w:rsidRPr="00B21358">
        <w:rPr>
          <w:rFonts w:ascii="Times New Roman" w:hAnsi="Times New Roman"/>
          <w:szCs w:val="28"/>
        </w:rPr>
        <w:t>alors une administration capable de transformer la structure de l’économie, mobiliser les ressources pour son financement et créer les conditions d’une répartition équitable des richesses.</w:t>
      </w:r>
    </w:p>
    <w:p w14:paraId="3DFF9313" w14:textId="26D784D9" w:rsidR="006324E0" w:rsidRPr="00B21358" w:rsidRDefault="006324E0" w:rsidP="006324E0">
      <w:pPr>
        <w:pStyle w:val="ListParagraph"/>
        <w:spacing w:line="276" w:lineRule="auto"/>
        <w:ind w:left="0"/>
        <w:jc w:val="both"/>
        <w:rPr>
          <w:rFonts w:ascii="Times New Roman" w:hAnsi="Times New Roman"/>
          <w:sz w:val="22"/>
          <w:szCs w:val="28"/>
        </w:rPr>
      </w:pPr>
      <w:r w:rsidRPr="005519AF">
        <w:rPr>
          <w:rFonts w:ascii="Times New Roman" w:hAnsi="Times New Roman"/>
          <w:sz w:val="22"/>
          <w:szCs w:val="28"/>
        </w:rPr>
        <w:t xml:space="preserve">Par ailleurs, la gouvernance administrative souffre </w:t>
      </w:r>
      <w:r w:rsidRPr="00B21358">
        <w:rPr>
          <w:rFonts w:ascii="Times New Roman" w:hAnsi="Times New Roman"/>
          <w:sz w:val="22"/>
          <w:szCs w:val="28"/>
        </w:rPr>
        <w:t xml:space="preserve">d’une politique inefficiente de gestion de ressources humaines, matérielles et financières, l’absence d’outils de gestion de l’administration et une faible culture de gestion axée sur les résultats. Au plan sécuritaire et de consolidation de la paix inter et intra-communautaire, les défis résident dans l’existence de conflits fréquents, tant en milieu urbain que rural qui fragilisent la sécurité des personnes et des biens. Aussi, la présence de mines et munitions non explosées dans certaines régions, ainsi que des armes de petit calibre en circulation dans le pays, du fait des multiples  conflits, constituent un </w:t>
      </w:r>
      <w:r>
        <w:rPr>
          <w:rFonts w:ascii="Times New Roman" w:hAnsi="Times New Roman"/>
          <w:sz w:val="22"/>
          <w:szCs w:val="28"/>
        </w:rPr>
        <w:t xml:space="preserve">autre </w:t>
      </w:r>
      <w:r w:rsidRPr="00B21358">
        <w:rPr>
          <w:rFonts w:ascii="Times New Roman" w:hAnsi="Times New Roman"/>
          <w:sz w:val="22"/>
          <w:szCs w:val="28"/>
        </w:rPr>
        <w:t>facteur aggravant. A cela s’ajoutent les menaces de la secte Boko-Haram sur le plan intérieur et sous régional ainsi que l’existence des foyers de tensions dans les pays voisins. Le développement du terrorisme international constitue également une autre forme de menace. En matière de gouvernance locale et de décentralisation, le diagnostic a relevé une incapacité des collectivités territoriales décentralisées (CTD) à délivrer des services publics de qualité, une mise en œuvre insuffisante de la politique de décentralisation notamment le transfert de compétences aux CTD et le partenariat avec l’administration décentralisée.</w:t>
      </w:r>
    </w:p>
    <w:p w14:paraId="7620C7B4" w14:textId="5C693459" w:rsidR="00101C6B" w:rsidRPr="00053CC0" w:rsidRDefault="006324E0" w:rsidP="00101C6B">
      <w:pPr>
        <w:spacing w:line="276" w:lineRule="auto"/>
        <w:jc w:val="both"/>
        <w:rPr>
          <w:rFonts w:ascii="Times New Roman" w:hAnsi="Times New Roman" w:cs="Times New Roman"/>
        </w:rPr>
      </w:pPr>
      <w:r w:rsidRPr="00B21358">
        <w:rPr>
          <w:rFonts w:ascii="Times New Roman" w:hAnsi="Times New Roman"/>
          <w:szCs w:val="28"/>
        </w:rPr>
        <w:t xml:space="preserve">Le gouvernement tchadien a besoin d'intensifier ses efforts dans la ratification d’autres conventions   internationales et régionales dont il n’est pas encore partie. </w:t>
      </w:r>
      <w:r w:rsidR="00101C6B">
        <w:rPr>
          <w:rFonts w:ascii="Times New Roman" w:hAnsi="Times New Roman"/>
          <w:szCs w:val="28"/>
        </w:rPr>
        <w:t xml:space="preserve">Ces conventions sont relatives aux droits civils et il peut être citer entre autres : </w:t>
      </w:r>
      <w:r w:rsidR="00101C6B">
        <w:rPr>
          <w:rFonts w:ascii="Times New Roman" w:hAnsi="Times New Roman" w:cs="Times New Roman"/>
        </w:rPr>
        <w:t>l</w:t>
      </w:r>
      <w:r w:rsidR="00101C6B" w:rsidRPr="00053CC0">
        <w:rPr>
          <w:rFonts w:ascii="Times New Roman" w:hAnsi="Times New Roman" w:cs="Times New Roman"/>
        </w:rPr>
        <w:t>e protocole facultatif se rapportant à la Convention contre la torture et autres peines ou traitements cruels, inhumains ou dégradants, la convention internationale pour la protection des personnes contre les disparitions forcées, la convention relative aux droits des personnes handicapées, le rotocole facultatif à la Convention relative aux droits des personnes handicapées, la convention internationale sur la protection des droits de tous les travailleurs migrants et des membres de leur famille(CTM),deuxième protocole facultatif se rapportant au Pacte international</w:t>
      </w:r>
      <w:r w:rsidR="00101C6B">
        <w:rPr>
          <w:rFonts w:ascii="Times New Roman" w:hAnsi="Times New Roman" w:cs="Times New Roman"/>
        </w:rPr>
        <w:t>.</w:t>
      </w:r>
      <w:r w:rsidR="00101C6B" w:rsidRPr="00053CC0">
        <w:rPr>
          <w:rFonts w:ascii="Times New Roman" w:hAnsi="Times New Roman" w:cs="Times New Roman"/>
        </w:rPr>
        <w:t xml:space="preserve"> </w:t>
      </w:r>
    </w:p>
    <w:p w14:paraId="10BA1FBD" w14:textId="57941AE5" w:rsidR="006324E0" w:rsidRPr="00B21358" w:rsidRDefault="006324E0" w:rsidP="006324E0">
      <w:pPr>
        <w:pStyle w:val="CommentText"/>
        <w:spacing w:line="276" w:lineRule="auto"/>
        <w:jc w:val="both"/>
        <w:rPr>
          <w:rFonts w:ascii="Times New Roman" w:hAnsi="Times New Roman"/>
          <w:sz w:val="22"/>
          <w:szCs w:val="28"/>
        </w:rPr>
      </w:pPr>
      <w:r w:rsidRPr="00B21358">
        <w:rPr>
          <w:rFonts w:ascii="Times New Roman" w:hAnsi="Times New Roman"/>
          <w:sz w:val="22"/>
          <w:szCs w:val="28"/>
        </w:rPr>
        <w:t>Pour ce qui est  des documents et politiques déjà élaborés comme la politique nationale Genre ou le plan national des droits de l'</w:t>
      </w:r>
      <w:r>
        <w:rPr>
          <w:rFonts w:ascii="Times New Roman" w:hAnsi="Times New Roman"/>
          <w:sz w:val="22"/>
          <w:szCs w:val="28"/>
        </w:rPr>
        <w:t>H</w:t>
      </w:r>
      <w:r w:rsidRPr="00B21358">
        <w:rPr>
          <w:rFonts w:ascii="Times New Roman" w:hAnsi="Times New Roman"/>
          <w:sz w:val="22"/>
          <w:szCs w:val="28"/>
        </w:rPr>
        <w:t xml:space="preserve">omme, </w:t>
      </w:r>
      <w:r>
        <w:rPr>
          <w:rFonts w:ascii="Times New Roman" w:hAnsi="Times New Roman"/>
          <w:sz w:val="22"/>
          <w:szCs w:val="28"/>
        </w:rPr>
        <w:t xml:space="preserve">le </w:t>
      </w:r>
      <w:r w:rsidRPr="00B21358">
        <w:rPr>
          <w:rFonts w:ascii="Times New Roman" w:hAnsi="Times New Roman"/>
          <w:sz w:val="22"/>
          <w:szCs w:val="28"/>
        </w:rPr>
        <w:t>plaidoyer doit être intensifié pour leur adoption</w:t>
      </w:r>
      <w:r>
        <w:rPr>
          <w:rFonts w:ascii="Times New Roman" w:hAnsi="Times New Roman"/>
          <w:sz w:val="22"/>
          <w:szCs w:val="28"/>
        </w:rPr>
        <w:t xml:space="preserve"> et leur mise en œuvre effective</w:t>
      </w:r>
      <w:r w:rsidRPr="00B21358">
        <w:rPr>
          <w:rFonts w:ascii="Times New Roman" w:hAnsi="Times New Roman"/>
          <w:sz w:val="22"/>
          <w:szCs w:val="28"/>
        </w:rPr>
        <w:t xml:space="preserve">. Les structures nationales mises sur pied pour la promotion et la protection des droits de l'homme et du Genre ont également besoin d'un accompagnement </w:t>
      </w:r>
      <w:r>
        <w:rPr>
          <w:rFonts w:ascii="Times New Roman" w:hAnsi="Times New Roman"/>
          <w:sz w:val="22"/>
          <w:szCs w:val="28"/>
        </w:rPr>
        <w:t>et d’un appui technique</w:t>
      </w:r>
      <w:r w:rsidRPr="00B21358">
        <w:rPr>
          <w:rFonts w:ascii="Times New Roman" w:hAnsi="Times New Roman"/>
          <w:sz w:val="22"/>
          <w:szCs w:val="28"/>
        </w:rPr>
        <w:t xml:space="preserve"> </w:t>
      </w:r>
      <w:r>
        <w:rPr>
          <w:rFonts w:ascii="Times New Roman" w:hAnsi="Times New Roman"/>
          <w:sz w:val="22"/>
          <w:szCs w:val="28"/>
        </w:rPr>
        <w:t>important</w:t>
      </w:r>
      <w:r w:rsidRPr="00B21358">
        <w:rPr>
          <w:rFonts w:ascii="Times New Roman" w:hAnsi="Times New Roman"/>
          <w:sz w:val="22"/>
          <w:szCs w:val="28"/>
        </w:rPr>
        <w:t xml:space="preserve"> dans leur organisation et </w:t>
      </w:r>
      <w:r>
        <w:rPr>
          <w:rFonts w:ascii="Times New Roman" w:hAnsi="Times New Roman"/>
          <w:sz w:val="22"/>
          <w:szCs w:val="28"/>
        </w:rPr>
        <w:t>l’application du cadre normatif qui les régit</w:t>
      </w:r>
      <w:r w:rsidRPr="00B21358">
        <w:rPr>
          <w:rFonts w:ascii="Times New Roman" w:hAnsi="Times New Roman"/>
          <w:sz w:val="22"/>
          <w:szCs w:val="28"/>
        </w:rPr>
        <w:t>. Les structures non gouvernementales comme les organisations de la société civile doivent aussi bénéficier des mêmes soutiens pour le renforcement de leurs capacités afin de mieux accomplir  leur mission.</w:t>
      </w:r>
    </w:p>
    <w:p w14:paraId="4F605559" w14:textId="41963322" w:rsidR="006324E0" w:rsidRPr="00B21358" w:rsidRDefault="006324E0" w:rsidP="006324E0">
      <w:pPr>
        <w:pStyle w:val="CommentText"/>
        <w:spacing w:line="276" w:lineRule="auto"/>
        <w:jc w:val="both"/>
        <w:rPr>
          <w:rFonts w:ascii="Times New Roman" w:hAnsi="Times New Roman"/>
          <w:sz w:val="22"/>
          <w:szCs w:val="28"/>
        </w:rPr>
      </w:pPr>
      <w:r w:rsidRPr="00B21358">
        <w:rPr>
          <w:rFonts w:ascii="Times New Roman" w:hAnsi="Times New Roman"/>
          <w:sz w:val="22"/>
          <w:szCs w:val="28"/>
        </w:rPr>
        <w:t>Dans le contexte de l’accès universel à la justice, le non-respect des droits humains, notamment les droits de la femme et de l’enfant et</w:t>
      </w:r>
      <w:r>
        <w:rPr>
          <w:rFonts w:ascii="Times New Roman" w:hAnsi="Times New Roman"/>
          <w:sz w:val="22"/>
          <w:szCs w:val="28"/>
        </w:rPr>
        <w:t xml:space="preserve"> </w:t>
      </w:r>
      <w:r w:rsidRPr="00B21358">
        <w:rPr>
          <w:rFonts w:ascii="Times New Roman" w:hAnsi="Times New Roman"/>
          <w:sz w:val="22"/>
          <w:szCs w:val="28"/>
        </w:rPr>
        <w:t xml:space="preserve">ou l’ignorance des lois restent un défi majeur. La persistance de certaines pesanteurs socioculturelles et des pratiques culturelles néfastes exigent des efforts encore plus soutenus afin </w:t>
      </w:r>
      <w:r>
        <w:rPr>
          <w:rFonts w:ascii="Times New Roman" w:hAnsi="Times New Roman"/>
          <w:sz w:val="22"/>
          <w:szCs w:val="28"/>
        </w:rPr>
        <w:t>d’</w:t>
      </w:r>
      <w:r w:rsidRPr="00B21358">
        <w:rPr>
          <w:rFonts w:ascii="Times New Roman" w:hAnsi="Times New Roman"/>
          <w:sz w:val="22"/>
          <w:szCs w:val="28"/>
        </w:rPr>
        <w:t xml:space="preserve">aider progressivement </w:t>
      </w:r>
      <w:r>
        <w:rPr>
          <w:rFonts w:ascii="Times New Roman" w:hAnsi="Times New Roman"/>
          <w:sz w:val="22"/>
          <w:szCs w:val="28"/>
        </w:rPr>
        <w:t xml:space="preserve">à un </w:t>
      </w:r>
      <w:r w:rsidRPr="00B21358">
        <w:rPr>
          <w:rFonts w:ascii="Times New Roman" w:hAnsi="Times New Roman"/>
          <w:sz w:val="22"/>
          <w:szCs w:val="28"/>
        </w:rPr>
        <w:t>change</w:t>
      </w:r>
      <w:r>
        <w:rPr>
          <w:rFonts w:ascii="Times New Roman" w:hAnsi="Times New Roman"/>
          <w:sz w:val="22"/>
          <w:szCs w:val="28"/>
        </w:rPr>
        <w:t xml:space="preserve">ment </w:t>
      </w:r>
      <w:r w:rsidRPr="00B21358">
        <w:rPr>
          <w:rFonts w:ascii="Times New Roman" w:hAnsi="Times New Roman"/>
          <w:sz w:val="22"/>
          <w:szCs w:val="28"/>
        </w:rPr>
        <w:t xml:space="preserve"> </w:t>
      </w:r>
      <w:r>
        <w:rPr>
          <w:rFonts w:ascii="Times New Roman" w:hAnsi="Times New Roman"/>
          <w:sz w:val="22"/>
          <w:szCs w:val="28"/>
        </w:rPr>
        <w:t>de</w:t>
      </w:r>
      <w:r w:rsidRPr="00B21358">
        <w:rPr>
          <w:rFonts w:ascii="Times New Roman" w:hAnsi="Times New Roman"/>
          <w:sz w:val="22"/>
          <w:szCs w:val="28"/>
        </w:rPr>
        <w:t xml:space="preserve"> comportement</w:t>
      </w:r>
      <w:r>
        <w:rPr>
          <w:rFonts w:ascii="Times New Roman" w:hAnsi="Times New Roman"/>
          <w:sz w:val="22"/>
          <w:szCs w:val="28"/>
        </w:rPr>
        <w:t xml:space="preserve"> et social</w:t>
      </w:r>
      <w:r w:rsidRPr="00B21358">
        <w:rPr>
          <w:rFonts w:ascii="Times New Roman" w:hAnsi="Times New Roman"/>
          <w:sz w:val="22"/>
          <w:szCs w:val="28"/>
        </w:rPr>
        <w:t>. L’absence ou l’éloignement de structures judiciaires (en moyenne 25 à 120 kilomètres) pose un défi majeur à la protection des réfugiés. Ces défis amènent les réfugiés à recourir à des mécanismes communautaires et traditionnels pour régler des crimes tels que le viol</w:t>
      </w:r>
      <w:r>
        <w:rPr>
          <w:rFonts w:ascii="Times New Roman" w:hAnsi="Times New Roman"/>
          <w:sz w:val="22"/>
          <w:szCs w:val="28"/>
        </w:rPr>
        <w:t>. Or, de telles</w:t>
      </w:r>
      <w:r w:rsidRPr="00B21358">
        <w:rPr>
          <w:rFonts w:ascii="Times New Roman" w:hAnsi="Times New Roman"/>
          <w:sz w:val="22"/>
          <w:szCs w:val="28"/>
        </w:rPr>
        <w:t xml:space="preserve"> pratiques génèrent l’impunité des auteurs.  </w:t>
      </w:r>
    </w:p>
    <w:p w14:paraId="3DB7204F" w14:textId="34662C1E" w:rsidR="006324E0" w:rsidRPr="00161A7A" w:rsidRDefault="003F2A7A" w:rsidP="00161A7A">
      <w:pPr>
        <w:pStyle w:val="Heading2"/>
        <w:jc w:val="left"/>
        <w:rPr>
          <w:color w:val="2E74B5"/>
          <w:sz w:val="24"/>
        </w:rPr>
      </w:pPr>
      <w:bookmarkStart w:id="78" w:name="_Toc454635280"/>
      <w:bookmarkStart w:id="79" w:name="_Toc455604614"/>
      <w:bookmarkStart w:id="80" w:name="_Toc456889054"/>
      <w:bookmarkStart w:id="81" w:name="_Toc459363417"/>
      <w:r>
        <w:rPr>
          <w:color w:val="2E74B5"/>
          <w:sz w:val="24"/>
        </w:rPr>
        <w:t>2</w:t>
      </w:r>
      <w:r w:rsidR="006324E0" w:rsidRPr="00161A7A">
        <w:rPr>
          <w:color w:val="2E74B5"/>
          <w:sz w:val="24"/>
        </w:rPr>
        <w:t>.4.2. Stratégies de coopération des Nations Unies</w:t>
      </w:r>
      <w:bookmarkEnd w:id="78"/>
      <w:bookmarkEnd w:id="79"/>
      <w:bookmarkEnd w:id="80"/>
      <w:bookmarkEnd w:id="81"/>
    </w:p>
    <w:p w14:paraId="355F3C89" w14:textId="079EDB0F" w:rsidR="006324E0" w:rsidRDefault="006324E0" w:rsidP="006324E0">
      <w:pPr>
        <w:jc w:val="both"/>
        <w:rPr>
          <w:rFonts w:ascii="Times New Roman" w:hAnsi="Times New Roman"/>
          <w:szCs w:val="28"/>
        </w:rPr>
      </w:pPr>
      <w:r>
        <w:rPr>
          <w:rFonts w:ascii="Times New Roman" w:hAnsi="Times New Roman"/>
          <w:szCs w:val="28"/>
        </w:rPr>
        <w:t>La stratégie de coopération des Nations Unies pour améliorer la gouvernance sera axée autour de  l</w:t>
      </w:r>
      <w:r w:rsidRPr="00B11DA1">
        <w:rPr>
          <w:rFonts w:ascii="Times New Roman" w:hAnsi="Times New Roman"/>
          <w:szCs w:val="28"/>
        </w:rPr>
        <w:t xml:space="preserve">a réforme des cadres juridiques et institutionnels, le </w:t>
      </w:r>
      <w:r>
        <w:rPr>
          <w:rFonts w:ascii="Times New Roman" w:hAnsi="Times New Roman"/>
          <w:szCs w:val="28"/>
        </w:rPr>
        <w:t>plaidoyer pour l’adoption/la ratifcation de conventions internationales strategiques pour le developpement du Tchad,</w:t>
      </w:r>
      <w:r w:rsidRPr="00B11DA1">
        <w:rPr>
          <w:rFonts w:ascii="Times New Roman" w:hAnsi="Times New Roman"/>
          <w:szCs w:val="28"/>
        </w:rPr>
        <w:t xml:space="preserve"> le renforcement des capacités techniques, l’amélioration de la qualité de l’offre des services publics, le renforcement des capacités de la société civile pour l’exercice du contrôle citoyen, l’amélioration de la transparence des opérations publiques, </w:t>
      </w:r>
      <w:r>
        <w:rPr>
          <w:rFonts w:ascii="Times New Roman" w:hAnsi="Times New Roman"/>
          <w:szCs w:val="28"/>
        </w:rPr>
        <w:t>une réelle mise en œuvre transversale du genre dan</w:t>
      </w:r>
      <w:r w:rsidR="00D55D19">
        <w:rPr>
          <w:rFonts w:ascii="Times New Roman" w:hAnsi="Times New Roman"/>
          <w:szCs w:val="28"/>
        </w:rPr>
        <w:t xml:space="preserve">s les politiques publiques et </w:t>
      </w:r>
      <w:r>
        <w:rPr>
          <w:rFonts w:ascii="Times New Roman" w:hAnsi="Times New Roman"/>
          <w:szCs w:val="28"/>
        </w:rPr>
        <w:t xml:space="preserve">une attention particulière pour des actions ciblées pour renforcer l’égalité entre les hommes et les femmes, </w:t>
      </w:r>
      <w:r w:rsidRPr="00B11DA1">
        <w:rPr>
          <w:rFonts w:ascii="Times New Roman" w:hAnsi="Times New Roman"/>
          <w:szCs w:val="28"/>
        </w:rPr>
        <w:t>le ciblage spécifique des communes dans le cadre de la décentralisation et le renforcement du dialogue politique.</w:t>
      </w:r>
    </w:p>
    <w:p w14:paraId="21A21256" w14:textId="77777777" w:rsidR="006324E0" w:rsidRDefault="006324E0" w:rsidP="006324E0">
      <w:pPr>
        <w:jc w:val="both"/>
        <w:rPr>
          <w:rFonts w:ascii="Times New Roman" w:hAnsi="Times New Roman"/>
        </w:rPr>
      </w:pPr>
      <w:r>
        <w:rPr>
          <w:rFonts w:ascii="Times New Roman" w:hAnsi="Times New Roman"/>
        </w:rPr>
        <w:t>Dans le domaine de la gouvernance démocratique, les orientations sont relatives à la mis</w:t>
      </w:r>
      <w:r w:rsidRPr="00743621">
        <w:rPr>
          <w:rFonts w:ascii="Times New Roman" w:hAnsi="Times New Roman"/>
        </w:rPr>
        <w:t xml:space="preserve">e en place </w:t>
      </w:r>
      <w:r>
        <w:rPr>
          <w:rFonts w:ascii="Times New Roman" w:hAnsi="Times New Roman"/>
        </w:rPr>
        <w:t>d</w:t>
      </w:r>
      <w:r w:rsidRPr="00743621">
        <w:rPr>
          <w:rFonts w:ascii="Times New Roman" w:hAnsi="Times New Roman"/>
        </w:rPr>
        <w:t>es conditions d’alternance et de gestion transparente des pouvoirs ;</w:t>
      </w:r>
      <w:r>
        <w:rPr>
          <w:rFonts w:ascii="Times New Roman" w:hAnsi="Times New Roman"/>
        </w:rPr>
        <w:t xml:space="preserve"> le renforcement des</w:t>
      </w:r>
      <w:r w:rsidRPr="00743621">
        <w:rPr>
          <w:rFonts w:ascii="Times New Roman" w:hAnsi="Times New Roman"/>
        </w:rPr>
        <w:t xml:space="preserve"> capacité des organisations de la société civile pour un meilleur dialogue social ;</w:t>
      </w:r>
      <w:r>
        <w:rPr>
          <w:rFonts w:ascii="Times New Roman" w:hAnsi="Times New Roman"/>
        </w:rPr>
        <w:t xml:space="preserve"> l’effectivité de</w:t>
      </w:r>
      <w:r w:rsidRPr="00743621">
        <w:rPr>
          <w:rFonts w:ascii="Times New Roman" w:hAnsi="Times New Roman"/>
        </w:rPr>
        <w:t xml:space="preserve"> la séparation des pouvoirs et </w:t>
      </w:r>
      <w:r>
        <w:rPr>
          <w:rFonts w:ascii="Times New Roman" w:hAnsi="Times New Roman"/>
        </w:rPr>
        <w:t xml:space="preserve">la garantie des </w:t>
      </w:r>
      <w:r w:rsidRPr="00743621">
        <w:rPr>
          <w:rFonts w:ascii="Times New Roman" w:hAnsi="Times New Roman"/>
        </w:rPr>
        <w:t>possibilités d’une alternance réelle</w:t>
      </w:r>
      <w:r>
        <w:rPr>
          <w:rFonts w:ascii="Times New Roman" w:hAnsi="Times New Roman"/>
        </w:rPr>
        <w:t>, de</w:t>
      </w:r>
      <w:r w:rsidRPr="00743621">
        <w:rPr>
          <w:rFonts w:ascii="Times New Roman" w:hAnsi="Times New Roman"/>
        </w:rPr>
        <w:t xml:space="preserve"> liberté </w:t>
      </w:r>
      <w:r>
        <w:rPr>
          <w:rFonts w:ascii="Times New Roman" w:hAnsi="Times New Roman"/>
        </w:rPr>
        <w:t>de la presse publique et privée et</w:t>
      </w:r>
      <w:r w:rsidRPr="00743621">
        <w:rPr>
          <w:rFonts w:ascii="Times New Roman" w:hAnsi="Times New Roman"/>
        </w:rPr>
        <w:t xml:space="preserve"> le respect des libertés individuelles et collectives des populations</w:t>
      </w:r>
      <w:r>
        <w:rPr>
          <w:rFonts w:ascii="Times New Roman" w:hAnsi="Times New Roman"/>
        </w:rPr>
        <w:t xml:space="preserve">. </w:t>
      </w:r>
    </w:p>
    <w:p w14:paraId="61A63A6B" w14:textId="6744057E" w:rsidR="006324E0" w:rsidRDefault="006324E0" w:rsidP="006324E0">
      <w:pPr>
        <w:jc w:val="both"/>
        <w:rPr>
          <w:rFonts w:ascii="Times New Roman" w:hAnsi="Times New Roman"/>
          <w:b/>
          <w:color w:val="0070C0"/>
          <w:sz w:val="28"/>
          <w:szCs w:val="28"/>
        </w:rPr>
      </w:pPr>
      <w:r>
        <w:rPr>
          <w:rFonts w:ascii="Times New Roman" w:hAnsi="Times New Roman"/>
        </w:rPr>
        <w:t xml:space="preserve">Dans le domaine de la justice, la vulgarisation des lois majeures, telles que celle sur le mariage </w:t>
      </w:r>
      <w:r w:rsidR="00D55D19">
        <w:rPr>
          <w:rFonts w:ascii="Times New Roman" w:hAnsi="Times New Roman"/>
        </w:rPr>
        <w:t>des enfants</w:t>
      </w:r>
      <w:r>
        <w:rPr>
          <w:rFonts w:ascii="Times New Roman" w:hAnsi="Times New Roman"/>
        </w:rPr>
        <w:t>, represente un axe prioritaire.</w:t>
      </w:r>
      <w:r w:rsidR="00A91360" w:rsidRPr="00A91360">
        <w:t xml:space="preserve"> </w:t>
      </w:r>
      <w:r w:rsidR="0050784A">
        <w:rPr>
          <w:rFonts w:ascii="Times New Roman" w:hAnsi="Times New Roman"/>
        </w:rPr>
        <w:t>E</w:t>
      </w:r>
      <w:r w:rsidR="00A91360" w:rsidRPr="00A91360">
        <w:rPr>
          <w:rFonts w:ascii="Times New Roman" w:hAnsi="Times New Roman"/>
        </w:rPr>
        <w:t xml:space="preserve">n matière de lutte contre les VBG, la stratégie consistera : i) au renforcement de la communication pour le changement de comportement avec l’implication des leaders traditionnels et religieux pour la prévention, la protection et la réponse aux VBG et la promotion de l’initiation sans excision ; ii) à la  mobilisation sociale, et au dialogue communautaire pour l’abandon des MGF et le mariage des enfants et  iii) aux plaidoyers pour l’adoption des lois, politiques et conventions relatives au genre et à l’autonomisation des femmes et des filles et  </w:t>
      </w:r>
      <w:r w:rsidR="0050784A">
        <w:rPr>
          <w:rFonts w:ascii="Times New Roman" w:hAnsi="Times New Roman"/>
        </w:rPr>
        <w:t xml:space="preserve">iv) </w:t>
      </w:r>
      <w:r w:rsidR="00A91360" w:rsidRPr="00A91360">
        <w:rPr>
          <w:rFonts w:ascii="Times New Roman" w:hAnsi="Times New Roman"/>
        </w:rPr>
        <w:t>l’appui à la mise en œuvre du code pénal révisé.</w:t>
      </w:r>
      <w:r>
        <w:rPr>
          <w:rFonts w:ascii="Times New Roman" w:hAnsi="Times New Roman"/>
        </w:rPr>
        <w:t xml:space="preserve"> Des bureaux d’assistance juridiques </w:t>
      </w:r>
      <w:r w:rsidR="00D55D19">
        <w:rPr>
          <w:rFonts w:ascii="Times New Roman" w:hAnsi="Times New Roman"/>
        </w:rPr>
        <w:t>e</w:t>
      </w:r>
      <w:r w:rsidR="00D55D19" w:rsidRPr="00D55D19">
        <w:rPr>
          <w:rFonts w:ascii="Times New Roman" w:hAnsi="Times New Roman"/>
        </w:rPr>
        <w:t xml:space="preserve">t de conseils </w:t>
      </w:r>
      <w:r>
        <w:rPr>
          <w:rFonts w:ascii="Times New Roman" w:hAnsi="Times New Roman"/>
        </w:rPr>
        <w:t xml:space="preserve">seront mis en place à plus grande échelle pour améliorer l’accès des populations vulnérables à la justice. </w:t>
      </w:r>
    </w:p>
    <w:p w14:paraId="3B5C2328" w14:textId="6B9343F2" w:rsidR="000D12A0" w:rsidRPr="0087283E" w:rsidRDefault="000D12A0" w:rsidP="000D12A0">
      <w:pPr>
        <w:jc w:val="both"/>
        <w:rPr>
          <w:rFonts w:ascii="Times New Roman" w:hAnsi="Times New Roman"/>
        </w:rPr>
      </w:pPr>
      <w:r>
        <w:rPr>
          <w:rFonts w:ascii="Times New Roman" w:hAnsi="Times New Roman"/>
        </w:rPr>
        <w:t>En matière de sécurité, les priorités stratégiques sont axées sur l’</w:t>
      </w:r>
      <w:r>
        <w:rPr>
          <w:rFonts w:ascii="Times New Roman" w:hAnsi="Times New Roman"/>
          <w:szCs w:val="28"/>
        </w:rPr>
        <w:t>investissement</w:t>
      </w:r>
      <w:r w:rsidRPr="00B11DA1">
        <w:rPr>
          <w:rFonts w:ascii="Times New Roman" w:hAnsi="Times New Roman"/>
          <w:szCs w:val="28"/>
        </w:rPr>
        <w:t xml:space="preserve"> au niveau communautaire dans la promotion du dialogue interreligieux </w:t>
      </w:r>
      <w:r>
        <w:rPr>
          <w:rFonts w:ascii="Times New Roman" w:hAnsi="Times New Roman"/>
          <w:szCs w:val="28"/>
        </w:rPr>
        <w:t xml:space="preserve"> et de l’implication des leaders religieux dans la cohésion sociale et le renforcement de la paix, la </w:t>
      </w:r>
      <w:r>
        <w:rPr>
          <w:rFonts w:ascii="Times New Roman" w:hAnsi="Times New Roman"/>
        </w:rPr>
        <w:t>m</w:t>
      </w:r>
      <w:r w:rsidRPr="0017750A">
        <w:rPr>
          <w:rFonts w:ascii="Times New Roman" w:hAnsi="Times New Roman"/>
        </w:rPr>
        <w:t>aîtrise</w:t>
      </w:r>
      <w:r>
        <w:rPr>
          <w:rFonts w:ascii="Times New Roman" w:hAnsi="Times New Roman"/>
        </w:rPr>
        <w:t xml:space="preserve"> du</w:t>
      </w:r>
      <w:r w:rsidRPr="0017750A">
        <w:rPr>
          <w:rFonts w:ascii="Times New Roman" w:hAnsi="Times New Roman"/>
        </w:rPr>
        <w:t xml:space="preserve"> grand banditisme dans le</w:t>
      </w:r>
      <w:r>
        <w:rPr>
          <w:rFonts w:ascii="Times New Roman" w:hAnsi="Times New Roman"/>
        </w:rPr>
        <w:t xml:space="preserve">s villes et les campagnes, et la </w:t>
      </w:r>
      <w:r>
        <w:rPr>
          <w:rFonts w:ascii="Times New Roman" w:hAnsi="Times New Roman"/>
          <w:szCs w:val="28"/>
        </w:rPr>
        <w:t>mise</w:t>
      </w:r>
      <w:r w:rsidRPr="00B11DA1">
        <w:rPr>
          <w:rFonts w:ascii="Times New Roman" w:hAnsi="Times New Roman"/>
          <w:szCs w:val="28"/>
        </w:rPr>
        <w:t xml:space="preserve"> en place de</w:t>
      </w:r>
      <w:r>
        <w:rPr>
          <w:rFonts w:ascii="Times New Roman" w:hAnsi="Times New Roman"/>
          <w:szCs w:val="28"/>
        </w:rPr>
        <w:t>s</w:t>
      </w:r>
      <w:r w:rsidRPr="00B11DA1">
        <w:rPr>
          <w:rFonts w:ascii="Times New Roman" w:hAnsi="Times New Roman"/>
          <w:szCs w:val="28"/>
        </w:rPr>
        <w:t xml:space="preserve"> mécanismes de prévention et de réponse aux violations graves des droits des enfants et des femmes</w:t>
      </w:r>
      <w:r>
        <w:rPr>
          <w:rFonts w:ascii="Times New Roman" w:hAnsi="Times New Roman"/>
        </w:rPr>
        <w:t>. Par ailleurs, des actions seront nécessaires en matière de promotion de la jeunesse dans le contexte de lutte contre la radicalisation, pour contrecarrer le phénomène d’enrôlement massif des jeunes dans les sectes terroristes et éviter de fragiliser le climat de paix et de stabilité sociale. Il s’agira à un tel niveau de promouvoir la mise en place de plateformes de dialogue et d’échanges pour les jeunes, la redynamisation et l’extension à grande échelle des initiatives pilotes sur les comités locaux de paix facilitant les consultations entre les leaders communautaires, les dépositaires de la tradition, l’administration locale avec une forte représentativité des jeunes des deux sexes, pour leur donner la possibilité de s’exprimer librement sur leurs préoccupations du moment et leurs aspirations futures. Des partenariats intergénérationnels peuvent ainsi être noués et promus au niveau intra et inter communautaire pour la mise en place d’initiatives de développement encourageant une occupation massive des jeunes (centre de formation et de développement communautaire, travaux d’intérêt communautaire, petits métiers dans l’artisanat, mécanique, élevage, agriculture, collecteurs d’eau, etc.), dans l’optique de réduire les risques de radicalisation observée au niveau de certains jeunes de la région du Lac, enrôlés dans les groupes terroristes.</w:t>
      </w:r>
    </w:p>
    <w:p w14:paraId="690BF5D6" w14:textId="780033E5" w:rsidR="006324E0" w:rsidRPr="0087283E" w:rsidRDefault="006324E0" w:rsidP="006324E0">
      <w:pPr>
        <w:jc w:val="both"/>
        <w:rPr>
          <w:rFonts w:ascii="Times New Roman" w:hAnsi="Times New Roman"/>
        </w:rPr>
      </w:pPr>
      <w:r>
        <w:rPr>
          <w:rFonts w:ascii="Times New Roman" w:hAnsi="Times New Roman"/>
        </w:rPr>
        <w:t>S’agissant de la</w:t>
      </w:r>
      <w:r w:rsidDel="008C47C5">
        <w:rPr>
          <w:rFonts w:ascii="Times New Roman" w:hAnsi="Times New Roman"/>
        </w:rPr>
        <w:t xml:space="preserve"> </w:t>
      </w:r>
      <w:r>
        <w:rPr>
          <w:rFonts w:ascii="Times New Roman" w:hAnsi="Times New Roman"/>
        </w:rPr>
        <w:t>consolidation de la paix et de la cohésion sociale</w:t>
      </w:r>
      <w:r w:rsidR="000D12A0">
        <w:rPr>
          <w:rFonts w:ascii="Times New Roman" w:hAnsi="Times New Roman"/>
        </w:rPr>
        <w:t xml:space="preserve"> au niveau national</w:t>
      </w:r>
      <w:r>
        <w:rPr>
          <w:rFonts w:ascii="Times New Roman" w:hAnsi="Times New Roman"/>
        </w:rPr>
        <w:t xml:space="preserve">, il s’agit d’appuyer les institutions de la République et autres cadres nationaux mandatés à cet effet (Médiature, Cadre National du Dialogue Politique, etc.), pour mieux remplir leur mission de veille stratégique, d’appuis conseils, de sensibilisation et de promotion des dialogues intercommunautaires en mettant </w:t>
      </w:r>
      <w:r w:rsidR="00A2673E">
        <w:rPr>
          <w:rFonts w:ascii="Times New Roman" w:hAnsi="Times New Roman"/>
        </w:rPr>
        <w:t>à</w:t>
      </w:r>
      <w:r>
        <w:rPr>
          <w:rFonts w:ascii="Times New Roman" w:hAnsi="Times New Roman"/>
        </w:rPr>
        <w:t xml:space="preserve"> contribution les leaders traditionnels et religieux. Au niveau décentralisé, un accompagnement sera apporté pour la mise en place des comités locaux de paix dans le contexte des zones post-conflits ou à risques de conflits.  </w:t>
      </w:r>
    </w:p>
    <w:p w14:paraId="0AE314BF" w14:textId="002522C6" w:rsidR="006324E0" w:rsidRDefault="006324E0" w:rsidP="006324E0">
      <w:pPr>
        <w:jc w:val="both"/>
        <w:rPr>
          <w:rFonts w:ascii="Times New Roman" w:hAnsi="Times New Roman"/>
          <w:szCs w:val="28"/>
        </w:rPr>
      </w:pPr>
      <w:r>
        <w:rPr>
          <w:rFonts w:ascii="Times New Roman" w:hAnsi="Times New Roman"/>
        </w:rPr>
        <w:t>En matière de gouvernance économique</w:t>
      </w:r>
      <w:r>
        <w:rPr>
          <w:rStyle w:val="FootnoteReference"/>
          <w:rFonts w:ascii="Times New Roman" w:hAnsi="Times New Roman"/>
        </w:rPr>
        <w:footnoteReference w:id="4"/>
      </w:r>
      <w:r>
        <w:rPr>
          <w:rFonts w:ascii="Times New Roman" w:hAnsi="Times New Roman"/>
        </w:rPr>
        <w:t>, les actions prioritaires porteront sur </w:t>
      </w:r>
      <w:r>
        <w:rPr>
          <w:rFonts w:ascii="Times New Roman" w:hAnsi="Times New Roman"/>
          <w:szCs w:val="28"/>
        </w:rPr>
        <w:t xml:space="preserve">l’accompagnement dans la mise en place des outils et mécanismes en matière de planification stratégique, de mobilisation et de gestion rationnelle et </w:t>
      </w:r>
      <w:r w:rsidR="00A2673E">
        <w:rPr>
          <w:rFonts w:ascii="Times New Roman" w:hAnsi="Times New Roman"/>
          <w:szCs w:val="28"/>
        </w:rPr>
        <w:t>é</w:t>
      </w:r>
      <w:r>
        <w:rPr>
          <w:rFonts w:ascii="Times New Roman" w:hAnsi="Times New Roman"/>
          <w:szCs w:val="28"/>
        </w:rPr>
        <w:t xml:space="preserve">quitable des finances publiques, de suivi et d’évaluation des politiques publiques. </w:t>
      </w:r>
    </w:p>
    <w:p w14:paraId="449F9C7B" w14:textId="3F76BC75" w:rsidR="006324E0" w:rsidRDefault="006324E0" w:rsidP="006324E0">
      <w:pPr>
        <w:jc w:val="both"/>
        <w:rPr>
          <w:rFonts w:ascii="Times New Roman" w:hAnsi="Times New Roman"/>
        </w:rPr>
      </w:pPr>
      <w:r>
        <w:rPr>
          <w:rFonts w:ascii="Times New Roman" w:hAnsi="Times New Roman"/>
        </w:rPr>
        <w:t>Dans le cadre de la gouvernance administrative, le SNU appuiera le gouvernement dans la mise en place d’outils et d’instruments de gestion de l’administration</w:t>
      </w:r>
      <w:r w:rsidR="00A2673E">
        <w:rPr>
          <w:rFonts w:ascii="Times New Roman" w:hAnsi="Times New Roman"/>
        </w:rPr>
        <w:t>, de suivi et é</w:t>
      </w:r>
      <w:r>
        <w:rPr>
          <w:rFonts w:ascii="Times New Roman" w:hAnsi="Times New Roman"/>
        </w:rPr>
        <w:t>valuation d</w:t>
      </w:r>
      <w:r w:rsidR="00A2673E">
        <w:rPr>
          <w:rFonts w:ascii="Times New Roman" w:hAnsi="Times New Roman"/>
        </w:rPr>
        <w:t>e</w:t>
      </w:r>
      <w:r>
        <w:rPr>
          <w:rFonts w:ascii="Times New Roman" w:hAnsi="Times New Roman"/>
        </w:rPr>
        <w:t>s plans et programmes, avec un accent sur la gestion ax</w:t>
      </w:r>
      <w:r w:rsidR="00A2673E">
        <w:rPr>
          <w:rFonts w:ascii="Times New Roman" w:hAnsi="Times New Roman"/>
        </w:rPr>
        <w:t>é</w:t>
      </w:r>
      <w:r>
        <w:rPr>
          <w:rFonts w:ascii="Times New Roman" w:hAnsi="Times New Roman"/>
        </w:rPr>
        <w:t>e sur les resultats</w:t>
      </w:r>
      <w:r w:rsidR="00A2673E">
        <w:rPr>
          <w:rFonts w:ascii="Times New Roman" w:hAnsi="Times New Roman"/>
        </w:rPr>
        <w:t xml:space="preserve"> </w:t>
      </w:r>
      <w:r>
        <w:rPr>
          <w:rFonts w:ascii="Times New Roman" w:hAnsi="Times New Roman"/>
        </w:rPr>
        <w:t xml:space="preserve">et </w:t>
      </w:r>
      <w:r w:rsidR="00A2673E">
        <w:rPr>
          <w:rFonts w:ascii="Times New Roman" w:hAnsi="Times New Roman"/>
        </w:rPr>
        <w:t>la</w:t>
      </w:r>
      <w:r>
        <w:rPr>
          <w:rFonts w:ascii="Times New Roman" w:hAnsi="Times New Roman"/>
        </w:rPr>
        <w:t xml:space="preserve"> modernisation de l’état. </w:t>
      </w:r>
    </w:p>
    <w:p w14:paraId="3A430442" w14:textId="6AA7E36A" w:rsidR="006324E0" w:rsidRPr="00161A7A" w:rsidRDefault="003F2A7A" w:rsidP="00161A7A">
      <w:pPr>
        <w:pStyle w:val="Heading2"/>
        <w:jc w:val="left"/>
        <w:rPr>
          <w:color w:val="2E74B5"/>
          <w:sz w:val="24"/>
        </w:rPr>
      </w:pPr>
      <w:bookmarkStart w:id="82" w:name="_Toc454635281"/>
      <w:bookmarkStart w:id="83" w:name="_Toc455604615"/>
      <w:bookmarkStart w:id="84" w:name="_Toc459363418"/>
      <w:bookmarkStart w:id="85" w:name="_Toc456889055"/>
      <w:r>
        <w:rPr>
          <w:color w:val="2E74B5"/>
          <w:sz w:val="24"/>
        </w:rPr>
        <w:t>2</w:t>
      </w:r>
      <w:r w:rsidR="006324E0" w:rsidRPr="00161A7A">
        <w:rPr>
          <w:color w:val="2E74B5"/>
          <w:sz w:val="24"/>
        </w:rPr>
        <w:t>.4.</w:t>
      </w:r>
      <w:r w:rsidR="00642757">
        <w:rPr>
          <w:color w:val="2E74B5"/>
          <w:sz w:val="24"/>
        </w:rPr>
        <w:t>3</w:t>
      </w:r>
      <w:r w:rsidR="006324E0" w:rsidRPr="00161A7A">
        <w:rPr>
          <w:color w:val="2E74B5"/>
          <w:sz w:val="24"/>
        </w:rPr>
        <w:t>. Résultats attendus</w:t>
      </w:r>
      <w:bookmarkEnd w:id="82"/>
      <w:bookmarkEnd w:id="83"/>
      <w:bookmarkEnd w:id="84"/>
      <w:r w:rsidR="006324E0" w:rsidRPr="00161A7A">
        <w:rPr>
          <w:color w:val="2E74B5"/>
          <w:sz w:val="24"/>
        </w:rPr>
        <w:t xml:space="preserve"> </w:t>
      </w:r>
      <w:bookmarkEnd w:id="85"/>
    </w:p>
    <w:p w14:paraId="38072F32" w14:textId="77777777" w:rsidR="006324E0" w:rsidRDefault="006324E0" w:rsidP="006324E0">
      <w:pPr>
        <w:pStyle w:val="ListParagraph"/>
        <w:ind w:left="0"/>
        <w:jc w:val="both"/>
        <w:rPr>
          <w:rFonts w:ascii="Times New Roman" w:hAnsi="Times New Roman"/>
          <w:sz w:val="24"/>
          <w:szCs w:val="28"/>
        </w:rPr>
      </w:pPr>
    </w:p>
    <w:p w14:paraId="4D979A66" w14:textId="77777777" w:rsidR="00A2673E" w:rsidRPr="00B11DA1" w:rsidRDefault="00A2673E" w:rsidP="00A2673E">
      <w:pPr>
        <w:spacing w:line="276" w:lineRule="auto"/>
        <w:jc w:val="both"/>
        <w:rPr>
          <w:rFonts w:ascii="Times New Roman" w:hAnsi="Times New Roman"/>
          <w:szCs w:val="28"/>
        </w:rPr>
      </w:pPr>
      <w:r>
        <w:rPr>
          <w:rFonts w:ascii="Times New Roman" w:hAnsi="Times New Roman"/>
          <w:szCs w:val="28"/>
        </w:rPr>
        <w:t>A travers le résultat stratégique</w:t>
      </w:r>
      <w:r w:rsidRPr="00B11DA1">
        <w:rPr>
          <w:rFonts w:ascii="Times New Roman" w:hAnsi="Times New Roman"/>
          <w:szCs w:val="28"/>
        </w:rPr>
        <w:t xml:space="preserve"> protection sociale, </w:t>
      </w:r>
      <w:r>
        <w:rPr>
          <w:rFonts w:ascii="Times New Roman" w:hAnsi="Times New Roman"/>
          <w:szCs w:val="28"/>
        </w:rPr>
        <w:t>gestion des crises et durabilité,</w:t>
      </w:r>
      <w:r w:rsidRPr="00B11DA1">
        <w:rPr>
          <w:rFonts w:ascii="Times New Roman" w:hAnsi="Times New Roman"/>
          <w:szCs w:val="28"/>
        </w:rPr>
        <w:t xml:space="preserve"> le SNU vise, d’ici </w:t>
      </w:r>
      <w:r>
        <w:rPr>
          <w:rFonts w:ascii="Times New Roman" w:hAnsi="Times New Roman"/>
          <w:szCs w:val="28"/>
        </w:rPr>
        <w:t xml:space="preserve">à </w:t>
      </w:r>
      <w:r w:rsidRPr="00B11DA1">
        <w:rPr>
          <w:rFonts w:ascii="Times New Roman" w:hAnsi="Times New Roman"/>
          <w:szCs w:val="28"/>
        </w:rPr>
        <w:t xml:space="preserve"> 2021, la réalisation des </w:t>
      </w:r>
      <w:r>
        <w:rPr>
          <w:rFonts w:ascii="Times New Roman" w:hAnsi="Times New Roman"/>
          <w:szCs w:val="28"/>
        </w:rPr>
        <w:t>effet</w:t>
      </w:r>
      <w:r w:rsidRPr="00B11DA1">
        <w:rPr>
          <w:rFonts w:ascii="Times New Roman" w:hAnsi="Times New Roman"/>
          <w:szCs w:val="28"/>
        </w:rPr>
        <w:t xml:space="preserve">s suivants : </w:t>
      </w:r>
    </w:p>
    <w:p w14:paraId="4F907CCC" w14:textId="6A9A880A" w:rsidR="006324E0" w:rsidRPr="00267B8F" w:rsidRDefault="00A2673E" w:rsidP="00FB6608">
      <w:pPr>
        <w:pStyle w:val="ListParagraph"/>
        <w:ind w:left="0"/>
        <w:jc w:val="both"/>
        <w:rPr>
          <w:rFonts w:ascii="Times New Roman" w:hAnsi="Times New Roman"/>
          <w:sz w:val="22"/>
          <w:szCs w:val="22"/>
        </w:rPr>
      </w:pPr>
      <w:r>
        <w:rPr>
          <w:rFonts w:ascii="Times New Roman" w:hAnsi="Times New Roman"/>
          <w:b/>
          <w:sz w:val="22"/>
          <w:szCs w:val="22"/>
        </w:rPr>
        <w:t>Effet 6.</w:t>
      </w:r>
      <w:r w:rsidR="006324E0">
        <w:rPr>
          <w:rFonts w:ascii="Times New Roman" w:hAnsi="Times New Roman"/>
          <w:sz w:val="22"/>
          <w:szCs w:val="22"/>
        </w:rPr>
        <w:t xml:space="preserve"> </w:t>
      </w:r>
      <w:r w:rsidR="006324E0" w:rsidRPr="00267B8F">
        <w:rPr>
          <w:rFonts w:ascii="Times New Roman" w:hAnsi="Times New Roman"/>
          <w:sz w:val="22"/>
          <w:szCs w:val="22"/>
        </w:rPr>
        <w:t>D’ici à fin 2021, les institutions nationales et locales appliquent davantage les bonnes pratiques de gouvernance inclusive, promouvant la démocratie, l’Etat de droit, la cohésion sociale et l’utilisation équitable des services publics de qualité, y compris pour les réfugiés</w:t>
      </w:r>
    </w:p>
    <w:p w14:paraId="75108595" w14:textId="77777777" w:rsidR="006324E0" w:rsidRPr="00267B8F" w:rsidRDefault="006324E0" w:rsidP="00FB6608">
      <w:pPr>
        <w:pStyle w:val="ListParagraph"/>
        <w:ind w:left="0"/>
        <w:jc w:val="both"/>
        <w:rPr>
          <w:rFonts w:ascii="Times New Roman" w:hAnsi="Times New Roman"/>
          <w:sz w:val="22"/>
          <w:szCs w:val="22"/>
        </w:rPr>
      </w:pPr>
      <w:r>
        <w:rPr>
          <w:rFonts w:ascii="Times New Roman" w:hAnsi="Times New Roman"/>
          <w:b/>
          <w:sz w:val="22"/>
          <w:szCs w:val="22"/>
        </w:rPr>
        <w:t xml:space="preserve">Effet 7. </w:t>
      </w:r>
      <w:r w:rsidRPr="00267B8F">
        <w:rPr>
          <w:rFonts w:ascii="Times New Roman" w:hAnsi="Times New Roman"/>
          <w:sz w:val="22"/>
          <w:szCs w:val="22"/>
        </w:rPr>
        <w:t>D’ici à fin 2021, l’Etat met en œuvre une politique nationale de développement impulsant une croissance inclusive engendrant la création d'emplois et d'opportunités notamment en faveur des jeunes et des femmes y compris les réfugiés</w:t>
      </w:r>
      <w:r>
        <w:rPr>
          <w:rFonts w:ascii="Times New Roman" w:hAnsi="Times New Roman"/>
          <w:sz w:val="22"/>
          <w:szCs w:val="22"/>
        </w:rPr>
        <w:t>.</w:t>
      </w:r>
    </w:p>
    <w:p w14:paraId="15E19F6A" w14:textId="77777777" w:rsidR="006324E0" w:rsidRDefault="006324E0" w:rsidP="006324E0">
      <w:pPr>
        <w:jc w:val="both"/>
        <w:rPr>
          <w:rFonts w:ascii="Times New Roman" w:hAnsi="Times New Roman"/>
          <w:sz w:val="18"/>
          <w:szCs w:val="18"/>
        </w:rPr>
      </w:pPr>
    </w:p>
    <w:p w14:paraId="0BAD69C5" w14:textId="786E3F13" w:rsidR="006324E0" w:rsidRPr="00607D5C" w:rsidRDefault="00011519" w:rsidP="00607D5C">
      <w:pPr>
        <w:pStyle w:val="Heading1"/>
        <w:rPr>
          <w:sz w:val="28"/>
        </w:rPr>
      </w:pPr>
      <w:bookmarkStart w:id="86" w:name="_Toc454635282"/>
      <w:bookmarkStart w:id="87" w:name="_Toc455604616"/>
      <w:bookmarkStart w:id="88" w:name="_Toc456889056"/>
      <w:bookmarkStart w:id="89" w:name="_Toc459363419"/>
      <w:r>
        <w:rPr>
          <w:sz w:val="28"/>
        </w:rPr>
        <w:t>2</w:t>
      </w:r>
      <w:r w:rsidR="006324E0" w:rsidRPr="00607D5C">
        <w:rPr>
          <w:sz w:val="28"/>
        </w:rPr>
        <w:t>.5. Rôles des agences</w:t>
      </w:r>
      <w:bookmarkEnd w:id="86"/>
      <w:bookmarkEnd w:id="87"/>
      <w:bookmarkEnd w:id="88"/>
      <w:bookmarkEnd w:id="89"/>
    </w:p>
    <w:p w14:paraId="16BF7041" w14:textId="3AA8C843" w:rsidR="006324E0" w:rsidRDefault="006324E0" w:rsidP="000447EA">
      <w:pPr>
        <w:spacing w:line="276" w:lineRule="auto"/>
        <w:jc w:val="both"/>
        <w:rPr>
          <w:rFonts w:ascii="Times New Roman" w:hAnsi="Times New Roman"/>
          <w:szCs w:val="28"/>
        </w:rPr>
      </w:pPr>
      <w:r w:rsidRPr="00B11DA1">
        <w:rPr>
          <w:rFonts w:ascii="Times New Roman" w:hAnsi="Times New Roman"/>
          <w:szCs w:val="28"/>
        </w:rPr>
        <w:t>Les agences des Nations Unies</w:t>
      </w:r>
      <w:r>
        <w:rPr>
          <w:rFonts w:ascii="Times New Roman" w:hAnsi="Times New Roman"/>
          <w:szCs w:val="28"/>
        </w:rPr>
        <w:t>, participantes à la mise en oeuvre de l’UNDAF 2017-2021,</w:t>
      </w:r>
      <w:r w:rsidRPr="00B11DA1">
        <w:rPr>
          <w:rFonts w:ascii="Times New Roman" w:hAnsi="Times New Roman"/>
          <w:szCs w:val="28"/>
        </w:rPr>
        <w:t xml:space="preserve"> </w:t>
      </w:r>
      <w:r>
        <w:rPr>
          <w:rFonts w:ascii="Times New Roman" w:hAnsi="Times New Roman"/>
          <w:szCs w:val="28"/>
        </w:rPr>
        <w:t>ont pour rôles : i) l</w:t>
      </w:r>
      <w:r w:rsidRPr="00936602">
        <w:rPr>
          <w:rFonts w:ascii="Times New Roman" w:hAnsi="Times New Roman"/>
          <w:szCs w:val="28"/>
        </w:rPr>
        <w:t>’appui institutionnel au gouvernement pour le développement des poli</w:t>
      </w:r>
      <w:r>
        <w:rPr>
          <w:rFonts w:ascii="Times New Roman" w:hAnsi="Times New Roman"/>
          <w:szCs w:val="28"/>
        </w:rPr>
        <w:t>tiques et législations adaptées dans les secteurs d’interventions identifiés ; ii) la mobilisation des ressources financières, matérielles et techniques pour le fonctionnement des</w:t>
      </w:r>
      <w:r w:rsidR="00011519">
        <w:rPr>
          <w:rFonts w:ascii="Times New Roman" w:hAnsi="Times New Roman"/>
          <w:szCs w:val="28"/>
        </w:rPr>
        <w:t xml:space="preserve"> services ciblés</w:t>
      </w:r>
      <w:r>
        <w:rPr>
          <w:rFonts w:ascii="Times New Roman" w:hAnsi="Times New Roman"/>
          <w:szCs w:val="28"/>
        </w:rPr>
        <w:t xml:space="preserve">; iii) </w:t>
      </w:r>
      <w:r w:rsidRPr="00936602">
        <w:rPr>
          <w:rFonts w:ascii="Times New Roman" w:hAnsi="Times New Roman"/>
          <w:szCs w:val="28"/>
        </w:rPr>
        <w:t>la communication et le plaidoyer au profit des communautés</w:t>
      </w:r>
      <w:r>
        <w:rPr>
          <w:rFonts w:ascii="Times New Roman" w:hAnsi="Times New Roman"/>
          <w:szCs w:val="28"/>
        </w:rPr>
        <w:t> ; iv) le ciblage différencié pour la prise en compte des plus vulnérables : femmes, enfants,</w:t>
      </w:r>
      <w:r w:rsidRPr="008E206F">
        <w:rPr>
          <w:rFonts w:ascii="Times New Roman" w:hAnsi="Times New Roman"/>
          <w:szCs w:val="28"/>
        </w:rPr>
        <w:t xml:space="preserve"> </w:t>
      </w:r>
      <w:r>
        <w:rPr>
          <w:rFonts w:ascii="Times New Roman" w:hAnsi="Times New Roman"/>
          <w:szCs w:val="28"/>
        </w:rPr>
        <w:t xml:space="preserve">jeunes et adolescents y compris dans les situations d’urgence ; v) </w:t>
      </w:r>
      <w:r w:rsidRPr="00B11DA1">
        <w:rPr>
          <w:rFonts w:ascii="Times New Roman" w:hAnsi="Times New Roman"/>
          <w:szCs w:val="28"/>
        </w:rPr>
        <w:t>le développement de partenariats stratégiques en vue d’améliorer la gouvernance</w:t>
      </w:r>
      <w:r>
        <w:rPr>
          <w:rFonts w:ascii="Times New Roman" w:hAnsi="Times New Roman"/>
          <w:szCs w:val="28"/>
        </w:rPr>
        <w:t xml:space="preserve"> ; vi) </w:t>
      </w:r>
      <w:r w:rsidRPr="00B11DA1">
        <w:rPr>
          <w:rFonts w:ascii="Times New Roman" w:hAnsi="Times New Roman"/>
          <w:szCs w:val="28"/>
        </w:rPr>
        <w:t xml:space="preserve">l’appui-conseil au gouvernement et aux structures </w:t>
      </w:r>
      <w:r>
        <w:rPr>
          <w:rFonts w:ascii="Times New Roman" w:hAnsi="Times New Roman"/>
          <w:szCs w:val="28"/>
        </w:rPr>
        <w:t>déconcentrées et décentralisées et vii)</w:t>
      </w:r>
      <w:r w:rsidRPr="00B11DA1">
        <w:rPr>
          <w:rFonts w:ascii="Times New Roman" w:hAnsi="Times New Roman"/>
          <w:szCs w:val="28"/>
        </w:rPr>
        <w:t xml:space="preserve"> l’accompagnement de l’Etat dans l’exercice de ses fonctions régaliennes. </w:t>
      </w:r>
    </w:p>
    <w:p w14:paraId="0CD1074E" w14:textId="5347892B" w:rsidR="004067F1" w:rsidRDefault="00A207EF" w:rsidP="00B311F3">
      <w:pPr>
        <w:pStyle w:val="Heading2"/>
        <w:numPr>
          <w:ilvl w:val="0"/>
          <w:numId w:val="27"/>
        </w:numPr>
        <w:pBdr>
          <w:bottom w:val="single" w:sz="4" w:space="1" w:color="auto"/>
        </w:pBdr>
        <w:jc w:val="left"/>
      </w:pPr>
      <w:bookmarkStart w:id="90" w:name="_Toc459363420"/>
      <w:r>
        <w:t>H</w:t>
      </w:r>
      <w:r w:rsidR="004067F1">
        <w:t>ypothèses et risques</w:t>
      </w:r>
      <w:bookmarkEnd w:id="90"/>
    </w:p>
    <w:p w14:paraId="4A11EAEA" w14:textId="77777777" w:rsidR="004067F1" w:rsidRDefault="004067F1" w:rsidP="004067F1"/>
    <w:p w14:paraId="7F897192" w14:textId="05E37B28" w:rsidR="00541501" w:rsidRDefault="00541501" w:rsidP="00541501">
      <w:pPr>
        <w:spacing w:line="276" w:lineRule="auto"/>
        <w:jc w:val="both"/>
        <w:rPr>
          <w:rFonts w:ascii="Times New Roman" w:hAnsi="Times New Roman"/>
          <w:szCs w:val="28"/>
        </w:rPr>
      </w:pPr>
      <w:r>
        <w:rPr>
          <w:rFonts w:ascii="Times New Roman" w:hAnsi="Times New Roman"/>
          <w:szCs w:val="28"/>
        </w:rPr>
        <w:t xml:space="preserve">L’UNDAF 2017-2021 sera mis en œuvre dans un contexte </w:t>
      </w:r>
      <w:r w:rsidR="00636A54">
        <w:rPr>
          <w:rFonts w:ascii="Times New Roman" w:hAnsi="Times New Roman"/>
          <w:szCs w:val="28"/>
        </w:rPr>
        <w:t>de planification maîtrisée,</w:t>
      </w:r>
      <w:r w:rsidR="00FD2847">
        <w:rPr>
          <w:rFonts w:ascii="Times New Roman" w:hAnsi="Times New Roman"/>
          <w:szCs w:val="28"/>
        </w:rPr>
        <w:t xml:space="preserve"> dans la mesure où le Tchad a adopté une Vision de développement à long terme</w:t>
      </w:r>
      <w:r w:rsidR="008F16D5">
        <w:rPr>
          <w:rFonts w:ascii="Times New Roman" w:hAnsi="Times New Roman"/>
          <w:szCs w:val="28"/>
        </w:rPr>
        <w:t xml:space="preserve"> visant l’émergence du pays. De fait, la volonté politique pour amorcer ce processus constitue un momento à saisir par le SNU pour un partenariat stratégique </w:t>
      </w:r>
      <w:r w:rsidR="00C34556">
        <w:rPr>
          <w:rFonts w:ascii="Times New Roman" w:hAnsi="Times New Roman"/>
          <w:szCs w:val="28"/>
        </w:rPr>
        <w:t>et un dialogue prospère pour la mise en œuvre de l’UNDAF.</w:t>
      </w:r>
      <w:r w:rsidR="00FD2847">
        <w:rPr>
          <w:rFonts w:ascii="Times New Roman" w:hAnsi="Times New Roman"/>
          <w:szCs w:val="28"/>
        </w:rPr>
        <w:t xml:space="preserve"> </w:t>
      </w:r>
      <w:r w:rsidR="00C34556">
        <w:rPr>
          <w:rFonts w:ascii="Times New Roman" w:hAnsi="Times New Roman"/>
          <w:szCs w:val="28"/>
        </w:rPr>
        <w:t>Au niveau des communautés ciblées, le changement de comportement et la lutte contre les pratiques traditionnelles néfastes constituent des pré-</w:t>
      </w:r>
      <w:r w:rsidR="00785B8C">
        <w:rPr>
          <w:rFonts w:ascii="Times New Roman" w:hAnsi="Times New Roman"/>
          <w:szCs w:val="28"/>
        </w:rPr>
        <w:t>requis pour la réalisation des effets attendus de l’UNDAF. Une autre hypothèse de taille reste la question de la mobilisation conséquente des ressources pour le financement des actions de développement.</w:t>
      </w:r>
    </w:p>
    <w:p w14:paraId="1ADE0BF0" w14:textId="77777777" w:rsidR="00716B62" w:rsidRDefault="00716B62" w:rsidP="00716B62">
      <w:pPr>
        <w:autoSpaceDE w:val="0"/>
        <w:autoSpaceDN w:val="0"/>
        <w:adjustRightInd w:val="0"/>
        <w:spacing w:after="0" w:line="276" w:lineRule="auto"/>
        <w:jc w:val="both"/>
        <w:rPr>
          <w:rFonts w:ascii="Times New Roman" w:hAnsi="Times New Roman" w:cs="Times New Roman"/>
          <w:noProof w:val="0"/>
        </w:rPr>
      </w:pPr>
      <w:r w:rsidRPr="00A50670">
        <w:rPr>
          <w:rFonts w:ascii="Times New Roman" w:hAnsi="Times New Roman" w:cs="Times New Roman"/>
          <w:noProof w:val="0"/>
        </w:rPr>
        <w:t>Les principaux risques identifiés au Tchad sont relatifs aux aléas climatiques et catastrophes naturelles, à la sécurité, à l’économie et aux épidémies. Sur le plan des aléas climatiques et catastrophes naturelles, l</w:t>
      </w:r>
      <w:r w:rsidRPr="004221FD">
        <w:rPr>
          <w:rFonts w:ascii="Times New Roman" w:hAnsi="Times New Roman" w:cs="Times New Roman"/>
          <w:noProof w:val="0"/>
        </w:rPr>
        <w:t>e régime des précipitations est très instable d’une année à l’autre ai</w:t>
      </w:r>
      <w:r w:rsidRPr="00A50670">
        <w:rPr>
          <w:rFonts w:ascii="Times New Roman" w:hAnsi="Times New Roman" w:cs="Times New Roman"/>
          <w:noProof w:val="0"/>
        </w:rPr>
        <w:t xml:space="preserve">nsi que d’une région à l’autre entrainant soit des sécheresses, soit des inondations. Les unes et les autres ont un lourd impact sur les populations </w:t>
      </w:r>
      <w:r w:rsidRPr="004221FD">
        <w:rPr>
          <w:rFonts w:ascii="Times New Roman" w:hAnsi="Times New Roman" w:cs="Times New Roman"/>
          <w:noProof w:val="0"/>
        </w:rPr>
        <w:t>: perte de la production agricole et insécurité alimentaire,  augmentation de la malnutrition aigüe, augmentation des prix sur les marchés, endettement, exode rural, hausse de la mortalité (humaine et animal</w:t>
      </w:r>
      <w:r w:rsidRPr="00A50670">
        <w:rPr>
          <w:rFonts w:ascii="Times New Roman" w:hAnsi="Times New Roman" w:cs="Times New Roman"/>
          <w:noProof w:val="0"/>
        </w:rPr>
        <w:t xml:space="preserve">e), problème d’accès à l’eau, </w:t>
      </w:r>
      <w:r w:rsidRPr="004221FD">
        <w:rPr>
          <w:rFonts w:ascii="Times New Roman" w:hAnsi="Times New Roman" w:cs="Times New Roman"/>
          <w:noProof w:val="0"/>
        </w:rPr>
        <w:t>augmentation de la mortalité et de la morbidité), épizooties, perte des stocks alimentaires et biens et insécurité alimentaire et nutritionnelle, submersion des pâturages et terres arabl</w:t>
      </w:r>
      <w:r w:rsidRPr="00A50670">
        <w:rPr>
          <w:rFonts w:ascii="Times New Roman" w:hAnsi="Times New Roman" w:cs="Times New Roman"/>
          <w:noProof w:val="0"/>
        </w:rPr>
        <w:t>es, enclavement, hausse des prix ; etc.</w:t>
      </w:r>
      <w:r>
        <w:rPr>
          <w:rFonts w:ascii="Times New Roman" w:hAnsi="Times New Roman" w:cs="Times New Roman"/>
          <w:noProof w:val="0"/>
        </w:rPr>
        <w:t xml:space="preserve"> </w:t>
      </w:r>
    </w:p>
    <w:p w14:paraId="628D3EDF" w14:textId="77777777" w:rsidR="00716B62" w:rsidRDefault="00716B62" w:rsidP="00716B62">
      <w:pPr>
        <w:autoSpaceDE w:val="0"/>
        <w:autoSpaceDN w:val="0"/>
        <w:adjustRightInd w:val="0"/>
        <w:spacing w:after="0" w:line="276" w:lineRule="auto"/>
        <w:jc w:val="both"/>
        <w:rPr>
          <w:rFonts w:ascii="Times New Roman" w:hAnsi="Times New Roman" w:cs="Times New Roman"/>
          <w:noProof w:val="0"/>
        </w:rPr>
      </w:pPr>
    </w:p>
    <w:p w14:paraId="6C7441E3" w14:textId="5E8378D5" w:rsidR="00D30EAE" w:rsidRDefault="00D30EAE" w:rsidP="00D30EAE">
      <w:pPr>
        <w:autoSpaceDE w:val="0"/>
        <w:autoSpaceDN w:val="0"/>
        <w:adjustRightInd w:val="0"/>
        <w:spacing w:after="0" w:line="276" w:lineRule="auto"/>
        <w:jc w:val="both"/>
        <w:rPr>
          <w:rFonts w:ascii="Times New Roman" w:hAnsi="Times New Roman" w:cs="Times New Roman"/>
          <w:noProof w:val="0"/>
        </w:rPr>
      </w:pPr>
      <w:r>
        <w:rPr>
          <w:rFonts w:ascii="Times New Roman" w:hAnsi="Times New Roman" w:cs="Times New Roman"/>
          <w:noProof w:val="0"/>
        </w:rPr>
        <w:t>Au plan des épidémies, la population tchadienne reste très exposée et la réduction</w:t>
      </w:r>
      <w:r w:rsidRPr="009F6B2C">
        <w:t xml:space="preserve"> </w:t>
      </w:r>
      <w:r w:rsidRPr="009F6B2C">
        <w:rPr>
          <w:rFonts w:ascii="Times New Roman" w:hAnsi="Times New Roman" w:cs="Times New Roman"/>
          <w:noProof w:val="0"/>
        </w:rPr>
        <w:t>des risques sanitaires n’a pas encore atteint un niveau acceptab</w:t>
      </w:r>
      <w:r>
        <w:rPr>
          <w:rFonts w:ascii="Times New Roman" w:hAnsi="Times New Roman" w:cs="Times New Roman"/>
          <w:noProof w:val="0"/>
        </w:rPr>
        <w:t>le, avec la persistance de maladies transmissibles présentant un potentiel de</w:t>
      </w:r>
      <w:r w:rsidRPr="009F6B2C">
        <w:rPr>
          <w:rFonts w:ascii="Times New Roman" w:hAnsi="Times New Roman" w:cs="Times New Roman"/>
          <w:noProof w:val="0"/>
        </w:rPr>
        <w:t xml:space="preserve"> 74 % de charge de morbidité, un ratio supérieur à la moyenne africaine (71 %).</w:t>
      </w:r>
      <w:r>
        <w:rPr>
          <w:rFonts w:ascii="Times New Roman" w:hAnsi="Times New Roman" w:cs="Times New Roman"/>
          <w:noProof w:val="0"/>
        </w:rPr>
        <w:t xml:space="preserve"> Les épidémies de choléra et de méningite y </w:t>
      </w:r>
      <w:r w:rsidR="00101C6B">
        <w:rPr>
          <w:rFonts w:ascii="Times New Roman" w:hAnsi="Times New Roman" w:cs="Times New Roman"/>
          <w:noProof w:val="0"/>
        </w:rPr>
        <w:t>sont aussi</w:t>
      </w:r>
      <w:r>
        <w:rPr>
          <w:rFonts w:ascii="Times New Roman" w:hAnsi="Times New Roman" w:cs="Times New Roman"/>
          <w:noProof w:val="0"/>
        </w:rPr>
        <w:t xml:space="preserve"> récurrentes, et touchent en majorité les plus vulnérables.</w:t>
      </w:r>
    </w:p>
    <w:p w14:paraId="6DC109C4" w14:textId="77777777" w:rsidR="00D30EAE" w:rsidRDefault="00D30EAE" w:rsidP="00D30EAE">
      <w:pPr>
        <w:autoSpaceDE w:val="0"/>
        <w:autoSpaceDN w:val="0"/>
        <w:adjustRightInd w:val="0"/>
        <w:spacing w:after="0" w:line="276" w:lineRule="auto"/>
        <w:jc w:val="both"/>
        <w:rPr>
          <w:rFonts w:ascii="Times New Roman" w:hAnsi="Times New Roman" w:cs="Times New Roman"/>
          <w:noProof w:val="0"/>
        </w:rPr>
      </w:pPr>
    </w:p>
    <w:p w14:paraId="1A4E941F" w14:textId="25427E80" w:rsidR="00716B62" w:rsidRDefault="00716B62" w:rsidP="00716B62">
      <w:pPr>
        <w:autoSpaceDE w:val="0"/>
        <w:autoSpaceDN w:val="0"/>
        <w:adjustRightInd w:val="0"/>
        <w:spacing w:after="0" w:line="276" w:lineRule="auto"/>
        <w:jc w:val="both"/>
        <w:rPr>
          <w:rFonts w:ascii="Times New Roman" w:hAnsi="Times New Roman" w:cs="Times New Roman"/>
          <w:noProof w:val="0"/>
        </w:rPr>
      </w:pPr>
      <w:r>
        <w:rPr>
          <w:rFonts w:ascii="Times New Roman" w:hAnsi="Times New Roman" w:cs="Times New Roman"/>
          <w:noProof w:val="0"/>
        </w:rPr>
        <w:t>Sur le plan de la sécurité, l</w:t>
      </w:r>
      <w:r w:rsidRPr="004221FD">
        <w:rPr>
          <w:rFonts w:ascii="Times New Roman" w:hAnsi="Times New Roman" w:cs="Times New Roman"/>
          <w:noProof w:val="0"/>
        </w:rPr>
        <w:t xml:space="preserve">e Tchad </w:t>
      </w:r>
      <w:r>
        <w:rPr>
          <w:rFonts w:ascii="Times New Roman" w:hAnsi="Times New Roman" w:cs="Times New Roman"/>
          <w:noProof w:val="0"/>
        </w:rPr>
        <w:t xml:space="preserve">fait face à la montée du terrorisme exercé par Boko Haram qui a </w:t>
      </w:r>
      <w:r w:rsidR="00101C6B">
        <w:rPr>
          <w:rFonts w:ascii="Times New Roman" w:hAnsi="Times New Roman" w:cs="Times New Roman"/>
          <w:noProof w:val="0"/>
        </w:rPr>
        <w:t>occasionné des</w:t>
      </w:r>
      <w:r>
        <w:rPr>
          <w:rFonts w:ascii="Times New Roman" w:hAnsi="Times New Roman" w:cs="Times New Roman"/>
          <w:noProof w:val="0"/>
        </w:rPr>
        <w:t xml:space="preserve"> déplacements de milliers de personnes autour du bassin du Lac Tchad avec comme conséquences l’</w:t>
      </w:r>
      <w:r w:rsidRPr="004221FD">
        <w:rPr>
          <w:rFonts w:ascii="Times New Roman" w:hAnsi="Times New Roman" w:cs="Times New Roman"/>
          <w:noProof w:val="0"/>
        </w:rPr>
        <w:t xml:space="preserve">augmentation de la vulnérabilité des ménages, </w:t>
      </w:r>
      <w:r w:rsidR="000D6E3E">
        <w:rPr>
          <w:rFonts w:ascii="Times New Roman" w:hAnsi="Times New Roman" w:cs="Times New Roman"/>
          <w:noProof w:val="0"/>
        </w:rPr>
        <w:t>l</w:t>
      </w:r>
      <w:r w:rsidRPr="004221FD">
        <w:rPr>
          <w:rFonts w:ascii="Times New Roman" w:hAnsi="Times New Roman" w:cs="Times New Roman"/>
          <w:noProof w:val="0"/>
        </w:rPr>
        <w:t>e</w:t>
      </w:r>
      <w:r>
        <w:rPr>
          <w:rFonts w:ascii="Times New Roman" w:hAnsi="Times New Roman" w:cs="Times New Roman"/>
          <w:noProof w:val="0"/>
        </w:rPr>
        <w:t>s</w:t>
      </w:r>
      <w:r w:rsidRPr="004221FD">
        <w:rPr>
          <w:rFonts w:ascii="Times New Roman" w:hAnsi="Times New Roman" w:cs="Times New Roman"/>
          <w:noProof w:val="0"/>
        </w:rPr>
        <w:t xml:space="preserve"> tensions entre communautés</w:t>
      </w:r>
      <w:r>
        <w:rPr>
          <w:rFonts w:ascii="Times New Roman" w:hAnsi="Times New Roman" w:cs="Times New Roman"/>
          <w:noProof w:val="0"/>
        </w:rPr>
        <w:t xml:space="preserve"> liées essentiellement à la forte pression sur les ressources nationales. Çà et là, il est fréquemment relevé des actes de banditisme. Les risques sécuritaires présentent un impact certain sur la délivrance des services au profit des communautés notamment pour les activités impliquant les staffs UN. </w:t>
      </w:r>
    </w:p>
    <w:p w14:paraId="5FB1CBE6" w14:textId="77777777" w:rsidR="00716B62" w:rsidRDefault="00716B62" w:rsidP="00716B62">
      <w:pPr>
        <w:autoSpaceDE w:val="0"/>
        <w:autoSpaceDN w:val="0"/>
        <w:adjustRightInd w:val="0"/>
        <w:spacing w:after="0" w:line="276" w:lineRule="auto"/>
        <w:jc w:val="both"/>
        <w:rPr>
          <w:rFonts w:ascii="Times New Roman" w:hAnsi="Times New Roman" w:cs="Times New Roman"/>
          <w:noProof w:val="0"/>
        </w:rPr>
      </w:pPr>
    </w:p>
    <w:p w14:paraId="72741A2F" w14:textId="77777777" w:rsidR="00716B62" w:rsidRDefault="00716B62" w:rsidP="00716B62">
      <w:pPr>
        <w:autoSpaceDE w:val="0"/>
        <w:autoSpaceDN w:val="0"/>
        <w:adjustRightInd w:val="0"/>
        <w:spacing w:after="0" w:line="276" w:lineRule="auto"/>
        <w:jc w:val="both"/>
        <w:rPr>
          <w:rFonts w:ascii="Times New Roman" w:hAnsi="Times New Roman" w:cs="Times New Roman"/>
          <w:noProof w:val="0"/>
        </w:rPr>
      </w:pPr>
      <w:r>
        <w:rPr>
          <w:rFonts w:ascii="Times New Roman" w:hAnsi="Times New Roman" w:cs="Times New Roman"/>
          <w:noProof w:val="0"/>
        </w:rPr>
        <w:t xml:space="preserve">Au plan économique, la diminution des ressources tirées du pétrole, la très forte diminution du commerce transfrontalier, la pauvreté chronique de ménages constituent autant d’éléments aggravants dans un contexte où plus de la moitié de la population vit en deçà du seuil de pauvreté. </w:t>
      </w:r>
    </w:p>
    <w:p w14:paraId="42E81D0F" w14:textId="77777777" w:rsidR="00716B62" w:rsidRDefault="00716B62" w:rsidP="00716B62">
      <w:pPr>
        <w:autoSpaceDE w:val="0"/>
        <w:autoSpaceDN w:val="0"/>
        <w:adjustRightInd w:val="0"/>
        <w:spacing w:after="0" w:line="276" w:lineRule="auto"/>
        <w:jc w:val="both"/>
        <w:rPr>
          <w:rFonts w:ascii="Times New Roman" w:hAnsi="Times New Roman" w:cs="Times New Roman"/>
          <w:noProof w:val="0"/>
        </w:rPr>
      </w:pPr>
    </w:p>
    <w:p w14:paraId="6962D1E0" w14:textId="7256ABEE" w:rsidR="004A20FE" w:rsidRDefault="00D30EAE" w:rsidP="00541501">
      <w:pPr>
        <w:spacing w:line="276" w:lineRule="auto"/>
        <w:jc w:val="both"/>
        <w:rPr>
          <w:rFonts w:ascii="Times New Roman" w:hAnsi="Times New Roman"/>
          <w:szCs w:val="28"/>
        </w:rPr>
      </w:pPr>
      <w:r>
        <w:rPr>
          <w:rFonts w:ascii="Times New Roman" w:hAnsi="Times New Roman"/>
          <w:szCs w:val="28"/>
        </w:rPr>
        <w:t xml:space="preserve">L’analyse des risques montre que celles-ci par leur fréquence et leur impact ont des conséquences désastreuses sur la situation du pays. Dans le cadre de ce cycle UNDAF, des mesures de mitigation sont ainsi prises dont : i) la </w:t>
      </w:r>
      <w:r w:rsidR="001B4D87">
        <w:rPr>
          <w:rFonts w:ascii="Times New Roman" w:hAnsi="Times New Roman"/>
          <w:szCs w:val="28"/>
        </w:rPr>
        <w:t>mise en place d’une stratégie de réduction des risques de catastrophes ; ii) l’amélioration de l’accès à l’eau, l’hygiène et l’assainissement ainsi que les campagnes de vaccination ; iii) la conduite de l’analyse de criticité des programmes et la mise en œuvres des recommandations qui en sont issues</w:t>
      </w:r>
      <w:r w:rsidR="00286DD6">
        <w:rPr>
          <w:rFonts w:ascii="Times New Roman" w:hAnsi="Times New Roman"/>
          <w:szCs w:val="28"/>
        </w:rPr>
        <w:t xml:space="preserve"> dans la région du Lac</w:t>
      </w:r>
      <w:r w:rsidR="001B4D87">
        <w:rPr>
          <w:rFonts w:ascii="Times New Roman" w:hAnsi="Times New Roman"/>
          <w:szCs w:val="28"/>
        </w:rPr>
        <w:t>.</w:t>
      </w:r>
    </w:p>
    <w:p w14:paraId="56D6F2BC" w14:textId="4156F32C" w:rsidR="00541501" w:rsidRDefault="004A20FE" w:rsidP="00541501">
      <w:pPr>
        <w:spacing w:line="276" w:lineRule="auto"/>
        <w:jc w:val="both"/>
        <w:rPr>
          <w:rFonts w:ascii="Times New Roman" w:hAnsi="Times New Roman"/>
          <w:szCs w:val="28"/>
        </w:rPr>
      </w:pPr>
      <w:r>
        <w:rPr>
          <w:rFonts w:ascii="Times New Roman" w:hAnsi="Times New Roman"/>
          <w:szCs w:val="28"/>
        </w:rPr>
        <w:t xml:space="preserve">Ces mesures devront permettre d’atténuer les risques identifés en fonction de leur ampleur et de leur étendue sur le territoire national car, à grande échelle, ces risques sont </w:t>
      </w:r>
      <w:r w:rsidR="00811F90">
        <w:rPr>
          <w:rFonts w:ascii="Times New Roman" w:hAnsi="Times New Roman"/>
          <w:szCs w:val="28"/>
        </w:rPr>
        <w:t xml:space="preserve">difficilement maitrisables et commanderont </w:t>
      </w:r>
      <w:r w:rsidR="006F0789">
        <w:rPr>
          <w:rFonts w:ascii="Times New Roman" w:hAnsi="Times New Roman"/>
          <w:szCs w:val="28"/>
        </w:rPr>
        <w:t xml:space="preserve">indubitablement </w:t>
      </w:r>
      <w:r w:rsidR="00811F90">
        <w:rPr>
          <w:rFonts w:ascii="Times New Roman" w:hAnsi="Times New Roman"/>
          <w:szCs w:val="28"/>
        </w:rPr>
        <w:t>la mise en œuvre d’actions humanitaires et d’urgences.</w:t>
      </w:r>
    </w:p>
    <w:p w14:paraId="12CC8042" w14:textId="77777777" w:rsidR="00D96648" w:rsidRPr="00D96648" w:rsidRDefault="00D96648" w:rsidP="00D96648">
      <w:pPr>
        <w:spacing w:line="276" w:lineRule="auto"/>
        <w:jc w:val="both"/>
        <w:rPr>
          <w:rFonts w:ascii="Times New Roman" w:hAnsi="Times New Roman"/>
          <w:szCs w:val="28"/>
        </w:rPr>
      </w:pPr>
    </w:p>
    <w:p w14:paraId="4A611FC5" w14:textId="4FA9BDE1" w:rsidR="00D96648" w:rsidRPr="00D96648" w:rsidRDefault="00D96648" w:rsidP="00B311F3">
      <w:pPr>
        <w:pStyle w:val="Heading2"/>
        <w:numPr>
          <w:ilvl w:val="0"/>
          <w:numId w:val="27"/>
        </w:numPr>
        <w:pBdr>
          <w:bottom w:val="single" w:sz="4" w:space="1" w:color="auto"/>
        </w:pBdr>
        <w:jc w:val="left"/>
      </w:pPr>
      <w:bookmarkStart w:id="91" w:name="_Toc459363421"/>
      <w:r w:rsidRPr="00D96648">
        <w:t>Ressources</w:t>
      </w:r>
      <w:bookmarkEnd w:id="91"/>
      <w:r w:rsidRPr="00D96648">
        <w:t xml:space="preserve"> </w:t>
      </w:r>
    </w:p>
    <w:p w14:paraId="0B0CA076" w14:textId="77777777" w:rsidR="00D96648" w:rsidRPr="00D96648" w:rsidRDefault="00D96648" w:rsidP="00D96648">
      <w:pPr>
        <w:spacing w:line="276" w:lineRule="auto"/>
        <w:jc w:val="both"/>
        <w:rPr>
          <w:rFonts w:ascii="Times New Roman" w:hAnsi="Times New Roman"/>
          <w:szCs w:val="28"/>
        </w:rPr>
      </w:pPr>
    </w:p>
    <w:p w14:paraId="7E7484D0" w14:textId="2578B060" w:rsidR="00D96648" w:rsidRDefault="00D96648" w:rsidP="00D96648">
      <w:pPr>
        <w:spacing w:line="276" w:lineRule="auto"/>
        <w:jc w:val="both"/>
        <w:rPr>
          <w:rFonts w:ascii="Times New Roman" w:hAnsi="Times New Roman"/>
          <w:szCs w:val="28"/>
        </w:rPr>
      </w:pPr>
      <w:r>
        <w:rPr>
          <w:rFonts w:ascii="Times New Roman" w:hAnsi="Times New Roman"/>
          <w:szCs w:val="28"/>
        </w:rPr>
        <w:t xml:space="preserve">Les ressources financières indicatives ont été inscrites dans le cadre budgétaire commun (voir annexe 1). Il en ressort que l’Equipe de Pays compte financer l’UNDAF pour un montant de ressources programmables de </w:t>
      </w:r>
      <w:r w:rsidRPr="00D96648">
        <w:rPr>
          <w:rFonts w:ascii="Times New Roman" w:hAnsi="Times New Roman"/>
          <w:szCs w:val="28"/>
        </w:rPr>
        <w:t>1 315 689</w:t>
      </w:r>
      <w:r w:rsidR="00DF5B95">
        <w:rPr>
          <w:rFonts w:ascii="Times New Roman" w:hAnsi="Times New Roman"/>
          <w:szCs w:val="28"/>
        </w:rPr>
        <w:t> </w:t>
      </w:r>
      <w:r w:rsidRPr="00D96648">
        <w:rPr>
          <w:rFonts w:ascii="Times New Roman" w:hAnsi="Times New Roman"/>
          <w:szCs w:val="28"/>
        </w:rPr>
        <w:t>575</w:t>
      </w:r>
      <w:r w:rsidR="00DF5B95">
        <w:rPr>
          <w:rFonts w:ascii="Times New Roman" w:hAnsi="Times New Roman"/>
          <w:szCs w:val="28"/>
        </w:rPr>
        <w:t xml:space="preserve"> </w:t>
      </w:r>
      <w:r w:rsidR="004B5938">
        <w:rPr>
          <w:rFonts w:ascii="Times New Roman" w:hAnsi="Times New Roman"/>
          <w:szCs w:val="28"/>
        </w:rPr>
        <w:t xml:space="preserve">USD  dont </w:t>
      </w:r>
      <w:r w:rsidR="004B5938" w:rsidRPr="004B5938">
        <w:rPr>
          <w:rFonts w:ascii="Times New Roman" w:hAnsi="Times New Roman"/>
          <w:szCs w:val="28"/>
        </w:rPr>
        <w:t>166 718</w:t>
      </w:r>
      <w:r w:rsidR="004B5938">
        <w:rPr>
          <w:rFonts w:ascii="Times New Roman" w:hAnsi="Times New Roman"/>
          <w:szCs w:val="28"/>
        </w:rPr>
        <w:t> </w:t>
      </w:r>
      <w:r w:rsidR="004B5938" w:rsidRPr="004B5938">
        <w:rPr>
          <w:rFonts w:ascii="Times New Roman" w:hAnsi="Times New Roman"/>
          <w:szCs w:val="28"/>
        </w:rPr>
        <w:t>614</w:t>
      </w:r>
      <w:r w:rsidR="004B5938">
        <w:rPr>
          <w:rFonts w:ascii="Times New Roman" w:hAnsi="Times New Roman"/>
          <w:szCs w:val="28"/>
        </w:rPr>
        <w:t xml:space="preserve"> USD déjà disponibles.</w:t>
      </w:r>
    </w:p>
    <w:p w14:paraId="68ACC071" w14:textId="5349A35C" w:rsidR="002721FA" w:rsidRPr="002721FA" w:rsidRDefault="004B5938" w:rsidP="002721FA">
      <w:pPr>
        <w:jc w:val="both"/>
        <w:rPr>
          <w:rFonts w:ascii="Times New Roman" w:eastAsia="Times New Roman" w:hAnsi="Times New Roman" w:cs="Times New Roman"/>
          <w:noProof w:val="0"/>
          <w:color w:val="000000"/>
          <w:sz w:val="24"/>
          <w:szCs w:val="24"/>
          <w:lang w:eastAsia="fr-FR"/>
        </w:rPr>
      </w:pPr>
      <w:r>
        <w:rPr>
          <w:rFonts w:ascii="Times New Roman" w:hAnsi="Times New Roman"/>
          <w:szCs w:val="28"/>
        </w:rPr>
        <w:t>A l’horizon 20</w:t>
      </w:r>
      <w:r w:rsidR="00876C27">
        <w:rPr>
          <w:rFonts w:ascii="Times New Roman" w:hAnsi="Times New Roman"/>
          <w:szCs w:val="28"/>
        </w:rPr>
        <w:t>21</w:t>
      </w:r>
      <w:r>
        <w:rPr>
          <w:rFonts w:ascii="Times New Roman" w:hAnsi="Times New Roman"/>
          <w:szCs w:val="28"/>
        </w:rPr>
        <w:t xml:space="preserve">, </w:t>
      </w:r>
      <w:r w:rsidR="00876C27">
        <w:rPr>
          <w:rFonts w:ascii="Times New Roman" w:hAnsi="Times New Roman"/>
          <w:szCs w:val="28"/>
        </w:rPr>
        <w:t xml:space="preserve">le volume des ressources programmables est réparti comme suit, par résultat stratégique : i) </w:t>
      </w:r>
      <w:r>
        <w:rPr>
          <w:rFonts w:ascii="Times New Roman" w:hAnsi="Times New Roman"/>
          <w:szCs w:val="28"/>
        </w:rPr>
        <w:t xml:space="preserve">Développement du capital humain </w:t>
      </w:r>
      <w:r w:rsidR="00876C27" w:rsidRPr="004B5938">
        <w:rPr>
          <w:rFonts w:ascii="Times New Roman" w:hAnsi="Times New Roman"/>
          <w:szCs w:val="28"/>
        </w:rPr>
        <w:t>549 540</w:t>
      </w:r>
      <w:r w:rsidR="00876C27">
        <w:rPr>
          <w:rFonts w:ascii="Times New Roman" w:hAnsi="Times New Roman"/>
          <w:szCs w:val="28"/>
        </w:rPr>
        <w:t> </w:t>
      </w:r>
      <w:r w:rsidR="00876C27" w:rsidRPr="004B5938">
        <w:rPr>
          <w:rFonts w:ascii="Times New Roman" w:hAnsi="Times New Roman"/>
          <w:szCs w:val="28"/>
        </w:rPr>
        <w:t>428</w:t>
      </w:r>
      <w:r w:rsidR="00876C27">
        <w:rPr>
          <w:rFonts w:ascii="Times New Roman" w:hAnsi="Times New Roman"/>
          <w:szCs w:val="28"/>
        </w:rPr>
        <w:t xml:space="preserve"> USD soit </w:t>
      </w:r>
      <w:r w:rsidR="006E4852">
        <w:rPr>
          <w:rFonts w:ascii="Times New Roman" w:hAnsi="Times New Roman"/>
          <w:szCs w:val="28"/>
        </w:rPr>
        <w:t>42%</w:t>
      </w:r>
      <w:r w:rsidR="00876C27">
        <w:rPr>
          <w:rFonts w:ascii="Times New Roman" w:hAnsi="Times New Roman"/>
          <w:szCs w:val="28"/>
        </w:rPr>
        <w:t> ; ii) Protection, gestion des crises et durabilité</w:t>
      </w:r>
      <w:r w:rsidR="00876C27" w:rsidRPr="00876C27">
        <w:rPr>
          <w:color w:val="000000"/>
        </w:rPr>
        <w:t xml:space="preserve"> </w:t>
      </w:r>
      <w:r w:rsidR="00876C27" w:rsidRPr="00876C27">
        <w:rPr>
          <w:rFonts w:ascii="Times New Roman" w:eastAsia="Times New Roman" w:hAnsi="Times New Roman" w:cs="Times New Roman"/>
          <w:noProof w:val="0"/>
          <w:color w:val="000000"/>
          <w:sz w:val="24"/>
          <w:szCs w:val="24"/>
          <w:lang w:eastAsia="fr-FR"/>
        </w:rPr>
        <w:t>706 513</w:t>
      </w:r>
      <w:r w:rsidR="00876C27">
        <w:rPr>
          <w:rFonts w:ascii="Times New Roman" w:eastAsia="Times New Roman" w:hAnsi="Times New Roman" w:cs="Times New Roman"/>
          <w:noProof w:val="0"/>
          <w:color w:val="000000"/>
          <w:sz w:val="24"/>
          <w:szCs w:val="24"/>
          <w:lang w:eastAsia="fr-FR"/>
        </w:rPr>
        <w:t> </w:t>
      </w:r>
      <w:r w:rsidR="00876C27" w:rsidRPr="00876C27">
        <w:rPr>
          <w:rFonts w:ascii="Times New Roman" w:eastAsia="Times New Roman" w:hAnsi="Times New Roman" w:cs="Times New Roman"/>
          <w:noProof w:val="0"/>
          <w:color w:val="000000"/>
          <w:sz w:val="24"/>
          <w:szCs w:val="24"/>
          <w:lang w:eastAsia="fr-FR"/>
        </w:rPr>
        <w:t>306</w:t>
      </w:r>
      <w:r w:rsidR="00876C27">
        <w:rPr>
          <w:rFonts w:ascii="Times New Roman" w:eastAsia="Times New Roman" w:hAnsi="Times New Roman" w:cs="Times New Roman"/>
          <w:noProof w:val="0"/>
          <w:color w:val="000000"/>
          <w:sz w:val="24"/>
          <w:szCs w:val="24"/>
          <w:lang w:eastAsia="fr-FR"/>
        </w:rPr>
        <w:t xml:space="preserve"> USD soit 5</w:t>
      </w:r>
      <w:r w:rsidR="001621FE">
        <w:rPr>
          <w:rFonts w:ascii="Times New Roman" w:eastAsia="Times New Roman" w:hAnsi="Times New Roman" w:cs="Times New Roman"/>
          <w:noProof w:val="0"/>
          <w:color w:val="000000"/>
          <w:sz w:val="24"/>
          <w:szCs w:val="24"/>
          <w:lang w:eastAsia="fr-FR"/>
        </w:rPr>
        <w:t>4</w:t>
      </w:r>
      <w:r w:rsidR="00876C27">
        <w:rPr>
          <w:rFonts w:ascii="Times New Roman" w:eastAsia="Times New Roman" w:hAnsi="Times New Roman" w:cs="Times New Roman"/>
          <w:noProof w:val="0"/>
          <w:color w:val="000000"/>
          <w:sz w:val="24"/>
          <w:szCs w:val="24"/>
          <w:lang w:eastAsia="fr-FR"/>
        </w:rPr>
        <w:t xml:space="preserve">% et enfin, gouvernance, paix et sécurité </w:t>
      </w:r>
      <w:r w:rsidR="002721FA" w:rsidRPr="002721FA">
        <w:rPr>
          <w:rFonts w:ascii="Times New Roman" w:eastAsia="Times New Roman" w:hAnsi="Times New Roman" w:cs="Times New Roman"/>
          <w:noProof w:val="0"/>
          <w:color w:val="000000"/>
          <w:sz w:val="24"/>
          <w:szCs w:val="24"/>
          <w:lang w:eastAsia="fr-FR"/>
        </w:rPr>
        <w:t>59 635</w:t>
      </w:r>
      <w:r w:rsidR="002721FA">
        <w:rPr>
          <w:rFonts w:ascii="Times New Roman" w:eastAsia="Times New Roman" w:hAnsi="Times New Roman" w:cs="Times New Roman"/>
          <w:noProof w:val="0"/>
          <w:color w:val="000000"/>
          <w:sz w:val="24"/>
          <w:szCs w:val="24"/>
          <w:lang w:eastAsia="fr-FR"/>
        </w:rPr>
        <w:t> </w:t>
      </w:r>
      <w:r w:rsidR="002721FA" w:rsidRPr="002721FA">
        <w:rPr>
          <w:rFonts w:ascii="Times New Roman" w:eastAsia="Times New Roman" w:hAnsi="Times New Roman" w:cs="Times New Roman"/>
          <w:noProof w:val="0"/>
          <w:color w:val="000000"/>
          <w:sz w:val="24"/>
          <w:szCs w:val="24"/>
          <w:lang w:eastAsia="fr-FR"/>
        </w:rPr>
        <w:t>841</w:t>
      </w:r>
      <w:r w:rsidR="002721FA">
        <w:rPr>
          <w:rFonts w:ascii="Times New Roman" w:eastAsia="Times New Roman" w:hAnsi="Times New Roman" w:cs="Times New Roman"/>
          <w:noProof w:val="0"/>
          <w:color w:val="000000"/>
          <w:sz w:val="24"/>
          <w:szCs w:val="24"/>
          <w:lang w:eastAsia="fr-FR"/>
        </w:rPr>
        <w:t xml:space="preserve"> soit 4%.</w:t>
      </w:r>
    </w:p>
    <w:p w14:paraId="5245826F" w14:textId="70D4351E" w:rsidR="00D96648" w:rsidRPr="00D96648" w:rsidRDefault="006E4852" w:rsidP="002721FA">
      <w:pPr>
        <w:spacing w:line="276" w:lineRule="auto"/>
        <w:jc w:val="both"/>
      </w:pPr>
      <w:r>
        <w:rPr>
          <w:rFonts w:ascii="Times New Roman" w:hAnsi="Times New Roman"/>
          <w:szCs w:val="28"/>
        </w:rPr>
        <w:t xml:space="preserve"> </w:t>
      </w:r>
    </w:p>
    <w:p w14:paraId="0B4110A0" w14:textId="4B21CE9E" w:rsidR="004B2F67" w:rsidRDefault="00A207EF" w:rsidP="00B311F3">
      <w:pPr>
        <w:pStyle w:val="Heading2"/>
        <w:numPr>
          <w:ilvl w:val="0"/>
          <w:numId w:val="27"/>
        </w:numPr>
        <w:pBdr>
          <w:bottom w:val="single" w:sz="4" w:space="1" w:color="auto"/>
        </w:pBdr>
        <w:jc w:val="left"/>
      </w:pPr>
      <w:bookmarkStart w:id="92" w:name="_Toc459363422"/>
      <w:r>
        <w:t>Mécanismes de coordination</w:t>
      </w:r>
      <w:bookmarkEnd w:id="92"/>
    </w:p>
    <w:p w14:paraId="5A2771B0" w14:textId="77777777" w:rsidR="004B2F67" w:rsidRDefault="004B2F67" w:rsidP="004067F1"/>
    <w:p w14:paraId="5FE8D89B" w14:textId="730697B2" w:rsidR="000E72F1" w:rsidRDefault="00A207EF" w:rsidP="000429FF">
      <w:pPr>
        <w:spacing w:line="276" w:lineRule="auto"/>
        <w:jc w:val="both"/>
        <w:rPr>
          <w:rFonts w:ascii="Times New Roman" w:hAnsi="Times New Roman"/>
          <w:szCs w:val="28"/>
        </w:rPr>
      </w:pPr>
      <w:r w:rsidRPr="006307D4">
        <w:rPr>
          <w:rFonts w:ascii="Times New Roman" w:hAnsi="Times New Roman"/>
          <w:szCs w:val="28"/>
        </w:rPr>
        <w:t>S’inscrivant dans le « </w:t>
      </w:r>
      <w:r>
        <w:rPr>
          <w:rFonts w:ascii="Times New Roman" w:hAnsi="Times New Roman"/>
          <w:szCs w:val="28"/>
        </w:rPr>
        <w:t>D</w:t>
      </w:r>
      <w:r w:rsidRPr="006307D4">
        <w:rPr>
          <w:rFonts w:ascii="Times New Roman" w:hAnsi="Times New Roman"/>
          <w:szCs w:val="28"/>
        </w:rPr>
        <w:t>el</w:t>
      </w:r>
      <w:r>
        <w:rPr>
          <w:rFonts w:ascii="Times New Roman" w:hAnsi="Times New Roman"/>
          <w:szCs w:val="28"/>
        </w:rPr>
        <w:t>i</w:t>
      </w:r>
      <w:r w:rsidRPr="006307D4">
        <w:rPr>
          <w:rFonts w:ascii="Times New Roman" w:hAnsi="Times New Roman"/>
          <w:szCs w:val="28"/>
        </w:rPr>
        <w:t xml:space="preserve">vering as </w:t>
      </w:r>
      <w:r>
        <w:rPr>
          <w:rFonts w:ascii="Times New Roman" w:hAnsi="Times New Roman"/>
          <w:szCs w:val="28"/>
        </w:rPr>
        <w:t>O</w:t>
      </w:r>
      <w:r w:rsidRPr="006307D4">
        <w:rPr>
          <w:rFonts w:ascii="Times New Roman" w:hAnsi="Times New Roman"/>
          <w:szCs w:val="28"/>
        </w:rPr>
        <w:t xml:space="preserve">ne », le système des Nations Unies, en étroite collaboration avec le gouvernement, s’engage à appliquer les procédures opérationnelles standards en appui à la mise en œuvre de l’UNDAF. </w:t>
      </w:r>
      <w:r w:rsidR="000E72F1">
        <w:rPr>
          <w:rFonts w:ascii="Times New Roman" w:hAnsi="Times New Roman"/>
          <w:szCs w:val="28"/>
        </w:rPr>
        <w:t xml:space="preserve">Le SNU entend ainsi mettre en œuvre : i) un programme commun ; ii) un cadre budgétaire commun de programmation sans toutefois souscrire à un fonds commun ; iii) une stratégie conjointe des opérations ; iv) une stratégie </w:t>
      </w:r>
      <w:r w:rsidR="00A84BA4">
        <w:rPr>
          <w:rFonts w:ascii="Times New Roman" w:hAnsi="Times New Roman"/>
          <w:szCs w:val="28"/>
        </w:rPr>
        <w:t>conjointe de communication et v) un cadre de leadership partagé.</w:t>
      </w:r>
    </w:p>
    <w:p w14:paraId="4720B23C" w14:textId="3FBBA69E" w:rsidR="008D4A83" w:rsidRDefault="00BA0D1C" w:rsidP="000429FF">
      <w:pPr>
        <w:spacing w:line="276" w:lineRule="auto"/>
        <w:jc w:val="both"/>
        <w:rPr>
          <w:rFonts w:ascii="Times New Roman" w:hAnsi="Times New Roman"/>
          <w:szCs w:val="28"/>
        </w:rPr>
      </w:pPr>
      <w:r>
        <w:rPr>
          <w:rFonts w:ascii="Times New Roman" w:hAnsi="Times New Roman"/>
          <w:szCs w:val="28"/>
        </w:rPr>
        <w:t xml:space="preserve">En soutien à la mise en œuvre </w:t>
      </w:r>
      <w:r w:rsidR="004859E1">
        <w:rPr>
          <w:rFonts w:ascii="Times New Roman" w:hAnsi="Times New Roman"/>
          <w:szCs w:val="28"/>
        </w:rPr>
        <w:t xml:space="preserve">du programme commun, une attention particulière sera accordée à la mise en place </w:t>
      </w:r>
      <w:r w:rsidR="008167F5">
        <w:rPr>
          <w:rFonts w:ascii="Times New Roman" w:hAnsi="Times New Roman"/>
          <w:szCs w:val="28"/>
        </w:rPr>
        <w:t xml:space="preserve">des groupes de résultats. </w:t>
      </w:r>
      <w:r w:rsidR="008D4A83">
        <w:rPr>
          <w:rFonts w:ascii="Times New Roman" w:hAnsi="Times New Roman"/>
          <w:szCs w:val="28"/>
        </w:rPr>
        <w:t>Les leçons tirées de l’analyse des mécanismes de coordination existant à travers le SNU permettront</w:t>
      </w:r>
      <w:r w:rsidR="00A02E03">
        <w:rPr>
          <w:rFonts w:ascii="Times New Roman" w:hAnsi="Times New Roman"/>
          <w:szCs w:val="28"/>
        </w:rPr>
        <w:t xml:space="preserve"> de créer les liens entre les mécanismes issus de l’humanitaire et du développement, enrayer les doublons et renforcer les synergies </w:t>
      </w:r>
      <w:r w:rsidR="00C67451">
        <w:rPr>
          <w:rFonts w:ascii="Times New Roman" w:hAnsi="Times New Roman"/>
          <w:szCs w:val="28"/>
        </w:rPr>
        <w:t>y compris</w:t>
      </w:r>
      <w:r w:rsidR="00A02E03">
        <w:rPr>
          <w:rFonts w:ascii="Times New Roman" w:hAnsi="Times New Roman"/>
          <w:szCs w:val="28"/>
        </w:rPr>
        <w:t xml:space="preserve"> au niveau régional.</w:t>
      </w:r>
      <w:r w:rsidR="000E0192">
        <w:rPr>
          <w:rFonts w:ascii="Times New Roman" w:hAnsi="Times New Roman"/>
          <w:szCs w:val="28"/>
        </w:rPr>
        <w:t xml:space="preserve"> </w:t>
      </w:r>
      <w:r w:rsidR="00001EF8">
        <w:rPr>
          <w:rFonts w:ascii="Times New Roman" w:hAnsi="Times New Roman"/>
          <w:szCs w:val="28"/>
        </w:rPr>
        <w:t>Un cadre budgétaire commun a ainsi été évalué et intégré dans l’UNDAF. L’Equipe de Pays se réserve le droit  de développer des fonds communs en s</w:t>
      </w:r>
      <w:r w:rsidR="00C67451">
        <w:rPr>
          <w:rFonts w:ascii="Times New Roman" w:hAnsi="Times New Roman"/>
          <w:szCs w:val="28"/>
        </w:rPr>
        <w:t>outien à des initiatives conjoi</w:t>
      </w:r>
      <w:r w:rsidR="00001EF8">
        <w:rPr>
          <w:rFonts w:ascii="Times New Roman" w:hAnsi="Times New Roman"/>
          <w:szCs w:val="28"/>
        </w:rPr>
        <w:t>ntes spécifiques, et le cas échéant, à mettre en place les mécanismes de coordination appropriés en relation avec le MPTF.</w:t>
      </w:r>
      <w:r w:rsidR="000E0192">
        <w:rPr>
          <w:rFonts w:ascii="Times New Roman" w:hAnsi="Times New Roman"/>
          <w:szCs w:val="28"/>
        </w:rPr>
        <w:t xml:space="preserve"> </w:t>
      </w:r>
      <w:r w:rsidR="008D4A83">
        <w:rPr>
          <w:rFonts w:ascii="Times New Roman" w:hAnsi="Times New Roman"/>
          <w:szCs w:val="28"/>
        </w:rPr>
        <w:t>La formulation d’une stratégie conjointe des opérations permettra d</w:t>
      </w:r>
      <w:r w:rsidR="00D85C9B">
        <w:rPr>
          <w:rFonts w:ascii="Times New Roman" w:hAnsi="Times New Roman"/>
          <w:szCs w:val="28"/>
        </w:rPr>
        <w:t>’a</w:t>
      </w:r>
      <w:r w:rsidR="00D85C9B" w:rsidRPr="00D85C9B">
        <w:rPr>
          <w:rFonts w:ascii="Times New Roman" w:hAnsi="Times New Roman"/>
          <w:szCs w:val="28"/>
        </w:rPr>
        <w:t xml:space="preserve">méliorer les résultats de </w:t>
      </w:r>
      <w:r w:rsidR="00D85C9B">
        <w:rPr>
          <w:rFonts w:ascii="Times New Roman" w:hAnsi="Times New Roman"/>
          <w:szCs w:val="28"/>
        </w:rPr>
        <w:t>d</w:t>
      </w:r>
      <w:r w:rsidR="00D85C9B" w:rsidRPr="00D85C9B">
        <w:rPr>
          <w:rFonts w:ascii="Times New Roman" w:hAnsi="Times New Roman"/>
          <w:szCs w:val="28"/>
        </w:rPr>
        <w:t>éveloppement</w:t>
      </w:r>
      <w:r w:rsidR="00D85C9B">
        <w:rPr>
          <w:rFonts w:ascii="Times New Roman" w:hAnsi="Times New Roman"/>
          <w:szCs w:val="28"/>
        </w:rPr>
        <w:t>, r</w:t>
      </w:r>
      <w:r w:rsidR="00D85C9B" w:rsidRPr="00D85C9B">
        <w:rPr>
          <w:rFonts w:ascii="Times New Roman" w:hAnsi="Times New Roman"/>
          <w:szCs w:val="28"/>
        </w:rPr>
        <w:t xml:space="preserve">éduire les coûts </w:t>
      </w:r>
      <w:r w:rsidR="00D85C9B">
        <w:rPr>
          <w:rFonts w:ascii="Times New Roman" w:hAnsi="Times New Roman"/>
          <w:szCs w:val="28"/>
        </w:rPr>
        <w:t>de transaction, a</w:t>
      </w:r>
      <w:r w:rsidR="00D85C9B" w:rsidRPr="00D85C9B">
        <w:rPr>
          <w:rFonts w:ascii="Times New Roman" w:hAnsi="Times New Roman"/>
          <w:szCs w:val="28"/>
        </w:rPr>
        <w:t>méliorer la qualité des services opérationnels et</w:t>
      </w:r>
      <w:r w:rsidR="00D85C9B">
        <w:rPr>
          <w:rFonts w:ascii="Times New Roman" w:hAnsi="Times New Roman"/>
          <w:szCs w:val="28"/>
        </w:rPr>
        <w:t xml:space="preserve"> enfin renforc</w:t>
      </w:r>
      <w:r w:rsidR="00D85C9B" w:rsidRPr="00D85C9B">
        <w:rPr>
          <w:rFonts w:ascii="Times New Roman" w:hAnsi="Times New Roman"/>
          <w:szCs w:val="28"/>
        </w:rPr>
        <w:t xml:space="preserve">er la transparence et la </w:t>
      </w:r>
      <w:r w:rsidR="00D85C9B">
        <w:rPr>
          <w:rFonts w:ascii="Times New Roman" w:hAnsi="Times New Roman"/>
          <w:szCs w:val="28"/>
        </w:rPr>
        <w:t>redev</w:t>
      </w:r>
      <w:r w:rsidR="00D85C9B" w:rsidRPr="00D85C9B">
        <w:rPr>
          <w:rFonts w:ascii="Times New Roman" w:hAnsi="Times New Roman"/>
          <w:szCs w:val="28"/>
        </w:rPr>
        <w:t>abilité</w:t>
      </w:r>
      <w:r w:rsidR="008D4A83">
        <w:rPr>
          <w:rFonts w:ascii="Times New Roman" w:hAnsi="Times New Roman"/>
          <w:szCs w:val="28"/>
        </w:rPr>
        <w:t>.</w:t>
      </w:r>
      <w:r w:rsidR="000E0192">
        <w:rPr>
          <w:rFonts w:ascii="Times New Roman" w:hAnsi="Times New Roman"/>
          <w:szCs w:val="28"/>
        </w:rPr>
        <w:t xml:space="preserve"> La stratégie conjointe de communication permettra d’assurer la visibilité du SNU au niveau du Tchad</w:t>
      </w:r>
      <w:r w:rsidR="00FA68F7">
        <w:rPr>
          <w:rFonts w:ascii="Times New Roman" w:hAnsi="Times New Roman"/>
          <w:szCs w:val="28"/>
        </w:rPr>
        <w:t xml:space="preserve"> et de renforcer le plaidoyer</w:t>
      </w:r>
      <w:r w:rsidR="000E0192">
        <w:rPr>
          <w:rFonts w:ascii="Times New Roman" w:hAnsi="Times New Roman"/>
          <w:szCs w:val="28"/>
        </w:rPr>
        <w:t>. Enfin, le leadership partagé au sein du système du Coordonnateur Résident</w:t>
      </w:r>
      <w:r w:rsidR="00D85C9B" w:rsidRPr="00D85C9B">
        <w:rPr>
          <w:rFonts w:ascii="Times New Roman" w:hAnsi="Times New Roman"/>
          <w:szCs w:val="28"/>
        </w:rPr>
        <w:t xml:space="preserve"> </w:t>
      </w:r>
      <w:r w:rsidR="00D85C9B">
        <w:rPr>
          <w:rFonts w:ascii="Times New Roman" w:hAnsi="Times New Roman"/>
          <w:szCs w:val="28"/>
        </w:rPr>
        <w:t>permettra</w:t>
      </w:r>
      <w:r w:rsidR="00FA68F7">
        <w:rPr>
          <w:rFonts w:ascii="Times New Roman" w:hAnsi="Times New Roman"/>
          <w:szCs w:val="28"/>
        </w:rPr>
        <w:t xml:space="preserve">, à chacune des agences de </w:t>
      </w:r>
      <w:r w:rsidR="00D85C9B">
        <w:rPr>
          <w:rFonts w:ascii="Times New Roman" w:hAnsi="Times New Roman"/>
          <w:szCs w:val="28"/>
        </w:rPr>
        <w:t xml:space="preserve">soutenir </w:t>
      </w:r>
      <w:r w:rsidR="00FA68F7">
        <w:rPr>
          <w:rFonts w:ascii="Times New Roman" w:hAnsi="Times New Roman"/>
          <w:szCs w:val="28"/>
        </w:rPr>
        <w:t xml:space="preserve">et d’endosser </w:t>
      </w:r>
      <w:r w:rsidR="00D85C9B">
        <w:rPr>
          <w:rFonts w:ascii="Times New Roman" w:hAnsi="Times New Roman"/>
          <w:szCs w:val="28"/>
        </w:rPr>
        <w:t>les messages clés</w:t>
      </w:r>
      <w:r w:rsidR="00FA68F7">
        <w:rPr>
          <w:rFonts w:ascii="Times New Roman" w:hAnsi="Times New Roman"/>
          <w:szCs w:val="28"/>
        </w:rPr>
        <w:t xml:space="preserve"> du SNU au Tchad.</w:t>
      </w:r>
    </w:p>
    <w:p w14:paraId="2C912FA0" w14:textId="70721E92" w:rsidR="00A207EF" w:rsidRPr="006307D4" w:rsidRDefault="00C67451" w:rsidP="000429FF">
      <w:pPr>
        <w:spacing w:line="276" w:lineRule="auto"/>
        <w:jc w:val="both"/>
        <w:rPr>
          <w:rFonts w:ascii="Times New Roman" w:hAnsi="Times New Roman"/>
          <w:szCs w:val="28"/>
        </w:rPr>
      </w:pPr>
      <w:r>
        <w:rPr>
          <w:rFonts w:ascii="Times New Roman" w:hAnsi="Times New Roman"/>
          <w:szCs w:val="28"/>
        </w:rPr>
        <w:t>Sur cette base</w:t>
      </w:r>
      <w:r w:rsidR="00FA68F7">
        <w:rPr>
          <w:rFonts w:ascii="Times New Roman" w:hAnsi="Times New Roman"/>
          <w:szCs w:val="28"/>
        </w:rPr>
        <w:t>, les principaux mécanismes de coordination qui seront déclinés au</w:t>
      </w:r>
      <w:r w:rsidR="006A0BBC">
        <w:rPr>
          <w:rFonts w:ascii="Times New Roman" w:hAnsi="Times New Roman"/>
          <w:szCs w:val="28"/>
        </w:rPr>
        <w:t xml:space="preserve"> cours de ce cycle sont : </w:t>
      </w:r>
      <w:r w:rsidR="00A207EF" w:rsidRPr="006307D4">
        <w:rPr>
          <w:rFonts w:ascii="Times New Roman" w:hAnsi="Times New Roman"/>
          <w:szCs w:val="28"/>
        </w:rPr>
        <w:t xml:space="preserve">i) un </w:t>
      </w:r>
      <w:r w:rsidR="006A0BBC">
        <w:rPr>
          <w:rFonts w:ascii="Times New Roman" w:hAnsi="Times New Roman"/>
          <w:szCs w:val="28"/>
        </w:rPr>
        <w:t>comité de pilotage</w:t>
      </w:r>
      <w:r w:rsidR="00A207EF" w:rsidRPr="006307D4">
        <w:rPr>
          <w:rFonts w:ascii="Times New Roman" w:hAnsi="Times New Roman"/>
          <w:szCs w:val="28"/>
        </w:rPr>
        <w:t xml:space="preserve"> ; ii)  </w:t>
      </w:r>
      <w:r w:rsidR="007D5B53">
        <w:rPr>
          <w:rFonts w:ascii="Times New Roman" w:hAnsi="Times New Roman"/>
          <w:szCs w:val="28"/>
        </w:rPr>
        <w:t>un</w:t>
      </w:r>
      <w:r w:rsidR="00A207EF" w:rsidRPr="006307D4">
        <w:rPr>
          <w:rFonts w:ascii="Times New Roman" w:hAnsi="Times New Roman"/>
          <w:szCs w:val="28"/>
        </w:rPr>
        <w:t xml:space="preserve"> </w:t>
      </w:r>
      <w:r w:rsidR="006A0BBC">
        <w:rPr>
          <w:rFonts w:ascii="Times New Roman" w:hAnsi="Times New Roman"/>
          <w:szCs w:val="28"/>
        </w:rPr>
        <w:t>groupe</w:t>
      </w:r>
      <w:r w:rsidR="00A207EF" w:rsidRPr="006307D4">
        <w:rPr>
          <w:rFonts w:ascii="Times New Roman" w:hAnsi="Times New Roman"/>
          <w:szCs w:val="28"/>
        </w:rPr>
        <w:t xml:space="preserve"> </w:t>
      </w:r>
      <w:r w:rsidR="00A207EF">
        <w:rPr>
          <w:rFonts w:ascii="Times New Roman" w:hAnsi="Times New Roman"/>
          <w:szCs w:val="28"/>
        </w:rPr>
        <w:t>de résultats</w:t>
      </w:r>
      <w:r w:rsidR="00A2171C">
        <w:rPr>
          <w:rFonts w:ascii="Times New Roman" w:hAnsi="Times New Roman"/>
          <w:szCs w:val="28"/>
        </w:rPr>
        <w:t xml:space="preserve"> ainsi que des </w:t>
      </w:r>
      <w:r w:rsidR="007D5B53">
        <w:rPr>
          <w:rFonts w:ascii="Times New Roman" w:hAnsi="Times New Roman"/>
          <w:szCs w:val="28"/>
        </w:rPr>
        <w:t>sous-</w:t>
      </w:r>
      <w:r w:rsidR="00A2171C">
        <w:rPr>
          <w:rFonts w:ascii="Times New Roman" w:hAnsi="Times New Roman"/>
          <w:szCs w:val="28"/>
        </w:rPr>
        <w:t>groupes thématiques</w:t>
      </w:r>
      <w:r w:rsidR="006A0BBC">
        <w:rPr>
          <w:rFonts w:ascii="Times New Roman" w:hAnsi="Times New Roman"/>
          <w:szCs w:val="28"/>
        </w:rPr>
        <w:t xml:space="preserve">; </w:t>
      </w:r>
      <w:r w:rsidR="00A207EF" w:rsidRPr="006307D4">
        <w:rPr>
          <w:rFonts w:ascii="Times New Roman" w:hAnsi="Times New Roman"/>
          <w:szCs w:val="28"/>
        </w:rPr>
        <w:t xml:space="preserve"> </w:t>
      </w:r>
      <w:r w:rsidR="00A2171C">
        <w:rPr>
          <w:rFonts w:ascii="Times New Roman" w:hAnsi="Times New Roman"/>
          <w:szCs w:val="28"/>
        </w:rPr>
        <w:t xml:space="preserve">et enfin </w:t>
      </w:r>
      <w:r w:rsidR="00A207EF" w:rsidRPr="006307D4">
        <w:rPr>
          <w:rFonts w:ascii="Times New Roman" w:hAnsi="Times New Roman"/>
          <w:szCs w:val="28"/>
        </w:rPr>
        <w:t xml:space="preserve">iii) </w:t>
      </w:r>
      <w:r w:rsidR="00A2171C">
        <w:rPr>
          <w:rFonts w:ascii="Times New Roman" w:hAnsi="Times New Roman"/>
          <w:szCs w:val="28"/>
        </w:rPr>
        <w:t>les groupes mandataires</w:t>
      </w:r>
      <w:r w:rsidR="00345135">
        <w:rPr>
          <w:rFonts w:ascii="Times New Roman" w:hAnsi="Times New Roman"/>
          <w:szCs w:val="28"/>
        </w:rPr>
        <w:t>.</w:t>
      </w:r>
    </w:p>
    <w:p w14:paraId="320B6F71" w14:textId="482B4533" w:rsidR="00511AA7" w:rsidRPr="00345135" w:rsidRDefault="00345135" w:rsidP="00345135">
      <w:pPr>
        <w:spacing w:line="276" w:lineRule="auto"/>
        <w:jc w:val="both"/>
        <w:rPr>
          <w:rFonts w:ascii="Times New Roman" w:hAnsi="Times New Roman"/>
          <w:szCs w:val="28"/>
        </w:rPr>
      </w:pPr>
      <w:r w:rsidRPr="00345135">
        <w:rPr>
          <w:rFonts w:ascii="Times New Roman" w:hAnsi="Times New Roman"/>
          <w:szCs w:val="28"/>
        </w:rPr>
        <w:t xml:space="preserve">Le comité de Pilotage : </w:t>
      </w:r>
      <w:r>
        <w:rPr>
          <w:rFonts w:ascii="Times New Roman" w:hAnsi="Times New Roman"/>
          <w:szCs w:val="28"/>
        </w:rPr>
        <w:t>a</w:t>
      </w:r>
      <w:r w:rsidR="00A207EF" w:rsidRPr="00345135">
        <w:rPr>
          <w:rFonts w:ascii="Times New Roman" w:hAnsi="Times New Roman"/>
          <w:szCs w:val="28"/>
        </w:rPr>
        <w:t>u niveau politique et stratégique, un comité national conjoint de pilotage sera mis en place. Ce comité, co-présidé par le Coordonnateur Résident et le Premier Ministre, est constitué des chefs d’agence, des ministres sectoriels désignés par le gouvernement, et les partenaires techniques et financiers en tant qu’observateurs. Ce comité a pour mission</w:t>
      </w:r>
      <w:r w:rsidR="00511AA7" w:rsidRPr="00345135">
        <w:rPr>
          <w:rFonts w:ascii="Times New Roman" w:hAnsi="Times New Roman"/>
          <w:szCs w:val="28"/>
        </w:rPr>
        <w:t xml:space="preserve"> : i) orienter et superviser la mise en œuvre du programme commun en s’assurant que celui-ci reste aligné sur les priorités nationales et que la programmation est axée </w:t>
      </w:r>
      <w:r w:rsidR="00C72A4D" w:rsidRPr="00345135">
        <w:rPr>
          <w:rFonts w:ascii="Times New Roman" w:hAnsi="Times New Roman"/>
          <w:szCs w:val="28"/>
        </w:rPr>
        <w:t>sur des indicateurs vérifiables ; ii) superviser et approuver les plans de travail annuels et les rapports annuels ; iii)</w:t>
      </w:r>
      <w:r w:rsidR="00511AA7" w:rsidRPr="00345135">
        <w:rPr>
          <w:rFonts w:ascii="Times New Roman" w:hAnsi="Times New Roman"/>
          <w:szCs w:val="28"/>
        </w:rPr>
        <w:t xml:space="preserve"> </w:t>
      </w:r>
      <w:r w:rsidR="00C72A4D" w:rsidRPr="00345135">
        <w:rPr>
          <w:rFonts w:ascii="Times New Roman" w:hAnsi="Times New Roman"/>
          <w:szCs w:val="28"/>
        </w:rPr>
        <w:t>c</w:t>
      </w:r>
      <w:r w:rsidR="00511AA7" w:rsidRPr="00345135">
        <w:rPr>
          <w:rFonts w:ascii="Times New Roman" w:hAnsi="Times New Roman"/>
          <w:szCs w:val="28"/>
        </w:rPr>
        <w:t>onseiller et orienter l'évaluation du programme commun et superviser la mise en œuvre des recommandations y découlant;</w:t>
      </w:r>
      <w:r w:rsidR="00C72A4D" w:rsidRPr="00345135">
        <w:rPr>
          <w:rFonts w:ascii="Times New Roman" w:hAnsi="Times New Roman"/>
          <w:szCs w:val="28"/>
        </w:rPr>
        <w:t xml:space="preserve"> et iv) v</w:t>
      </w:r>
      <w:r w:rsidR="00511AA7" w:rsidRPr="00345135">
        <w:rPr>
          <w:rFonts w:ascii="Times New Roman" w:hAnsi="Times New Roman"/>
          <w:szCs w:val="28"/>
        </w:rPr>
        <w:t>eiller à ce que les gaps de financement et l'évolution des priorités de programmatio</w:t>
      </w:r>
      <w:r w:rsidR="00C72A4D" w:rsidRPr="00345135">
        <w:rPr>
          <w:rFonts w:ascii="Times New Roman" w:hAnsi="Times New Roman"/>
          <w:szCs w:val="28"/>
        </w:rPr>
        <w:t>n soient conséquemment adressés.</w:t>
      </w:r>
    </w:p>
    <w:p w14:paraId="48384086" w14:textId="1C6FBF60" w:rsidR="00EA47EE" w:rsidRDefault="00345135" w:rsidP="00511AA7">
      <w:pPr>
        <w:jc w:val="both"/>
        <w:rPr>
          <w:rFonts w:ascii="Times New Roman" w:hAnsi="Times New Roman"/>
          <w:szCs w:val="28"/>
        </w:rPr>
      </w:pPr>
      <w:r>
        <w:rPr>
          <w:rFonts w:ascii="Times New Roman" w:hAnsi="Times New Roman"/>
          <w:szCs w:val="28"/>
        </w:rPr>
        <w:t>Le groupe des résultats : a</w:t>
      </w:r>
      <w:r w:rsidR="001659AE">
        <w:rPr>
          <w:rFonts w:ascii="Times New Roman" w:hAnsi="Times New Roman"/>
          <w:szCs w:val="28"/>
        </w:rPr>
        <w:t xml:space="preserve">u niveau technique, un groupe chargé de la mise en œuvre et de la gestion des résultats sera mis en place. Ce groupe </w:t>
      </w:r>
      <w:r w:rsidR="00A03DA5">
        <w:rPr>
          <w:rFonts w:ascii="Times New Roman" w:hAnsi="Times New Roman"/>
          <w:szCs w:val="28"/>
        </w:rPr>
        <w:t xml:space="preserve">assurera le leadership technique de la mise en œuvre de l’UNDAF et aura pour responsabilités de décliner annuellement les résultats identifiés en plans de travail </w:t>
      </w:r>
      <w:r w:rsidR="00A434EC">
        <w:rPr>
          <w:rFonts w:ascii="Times New Roman" w:hAnsi="Times New Roman"/>
          <w:szCs w:val="28"/>
        </w:rPr>
        <w:t>réalistes, précisant les ressources allouées, les délais et les indicateurs de suivi. Ce groupe devra rassembler les responsables des programmes des agences au plus haut niveau</w:t>
      </w:r>
      <w:r w:rsidR="004E2479">
        <w:rPr>
          <w:rFonts w:ascii="Times New Roman" w:hAnsi="Times New Roman"/>
          <w:szCs w:val="28"/>
        </w:rPr>
        <w:t xml:space="preserve"> et </w:t>
      </w:r>
      <w:r w:rsidR="00623D65">
        <w:rPr>
          <w:rFonts w:ascii="Times New Roman" w:hAnsi="Times New Roman"/>
          <w:szCs w:val="28"/>
        </w:rPr>
        <w:t xml:space="preserve">bâti </w:t>
      </w:r>
      <w:r w:rsidR="004E2479">
        <w:rPr>
          <w:rFonts w:ascii="Times New Roman" w:hAnsi="Times New Roman"/>
          <w:szCs w:val="28"/>
        </w:rPr>
        <w:t xml:space="preserve">autour du groupe de gestion des programmes (PMT) </w:t>
      </w:r>
      <w:r w:rsidR="00623D65">
        <w:rPr>
          <w:rFonts w:ascii="Times New Roman" w:hAnsi="Times New Roman"/>
          <w:szCs w:val="28"/>
        </w:rPr>
        <w:t>déjà existant</w:t>
      </w:r>
      <w:r w:rsidR="004E2479">
        <w:rPr>
          <w:rFonts w:ascii="Times New Roman" w:hAnsi="Times New Roman"/>
          <w:szCs w:val="28"/>
        </w:rPr>
        <w:t>.</w:t>
      </w:r>
      <w:r>
        <w:rPr>
          <w:rFonts w:ascii="Times New Roman" w:hAnsi="Times New Roman"/>
          <w:szCs w:val="28"/>
        </w:rPr>
        <w:t xml:space="preserve"> </w:t>
      </w:r>
      <w:r w:rsidR="00EA47EE">
        <w:rPr>
          <w:rFonts w:ascii="Times New Roman" w:hAnsi="Times New Roman"/>
          <w:szCs w:val="28"/>
        </w:rPr>
        <w:t>Toujours au niveau technique, des sous-groupes thématiques seront mis en place</w:t>
      </w:r>
      <w:r w:rsidR="0050582C">
        <w:rPr>
          <w:rFonts w:ascii="Times New Roman" w:hAnsi="Times New Roman"/>
          <w:szCs w:val="28"/>
        </w:rPr>
        <w:t xml:space="preserve"> et</w:t>
      </w:r>
      <w:r w:rsidR="00EA47EE">
        <w:rPr>
          <w:rFonts w:ascii="Times New Roman" w:hAnsi="Times New Roman"/>
          <w:szCs w:val="28"/>
        </w:rPr>
        <w:t xml:space="preserve"> corrélés</w:t>
      </w:r>
      <w:r w:rsidR="00466363">
        <w:rPr>
          <w:rFonts w:ascii="Times New Roman" w:hAnsi="Times New Roman"/>
          <w:szCs w:val="28"/>
        </w:rPr>
        <w:t xml:space="preserve"> aux effets UNDAF identifiés. Ces groupes sont</w:t>
      </w:r>
      <w:r w:rsidR="00EA47EE" w:rsidRPr="006307D4">
        <w:rPr>
          <w:rFonts w:ascii="Times New Roman" w:hAnsi="Times New Roman"/>
          <w:szCs w:val="28"/>
        </w:rPr>
        <w:t xml:space="preserve"> </w:t>
      </w:r>
      <w:r w:rsidR="00466363">
        <w:rPr>
          <w:rFonts w:ascii="Times New Roman" w:hAnsi="Times New Roman"/>
          <w:szCs w:val="28"/>
        </w:rPr>
        <w:t>composés des chefs d’agences et chargés de programmes des Nations Unies, des fonctionnaires du gouvernement et des autres partenaires techniques et financiers impliqués dans la mise en œuvre de l’UNDAF.</w:t>
      </w:r>
    </w:p>
    <w:p w14:paraId="6D798907" w14:textId="02396F9E" w:rsidR="005410C8" w:rsidRDefault="005410C8" w:rsidP="00511AA7">
      <w:pPr>
        <w:jc w:val="both"/>
        <w:rPr>
          <w:rFonts w:ascii="Times New Roman" w:hAnsi="Times New Roman"/>
          <w:szCs w:val="28"/>
        </w:rPr>
      </w:pPr>
      <w:r>
        <w:rPr>
          <w:rFonts w:ascii="Times New Roman" w:hAnsi="Times New Roman"/>
          <w:szCs w:val="28"/>
        </w:rPr>
        <w:t>Les groupes mandatair</w:t>
      </w:r>
      <w:r w:rsidR="00345135">
        <w:rPr>
          <w:rFonts w:ascii="Times New Roman" w:hAnsi="Times New Roman"/>
          <w:szCs w:val="28"/>
        </w:rPr>
        <w:t>e</w:t>
      </w:r>
      <w:r>
        <w:rPr>
          <w:rFonts w:ascii="Times New Roman" w:hAnsi="Times New Roman"/>
          <w:szCs w:val="28"/>
        </w:rPr>
        <w:t>s</w:t>
      </w:r>
      <w:r w:rsidR="00BD3749">
        <w:rPr>
          <w:rFonts w:ascii="Times New Roman" w:hAnsi="Times New Roman"/>
          <w:szCs w:val="28"/>
        </w:rPr>
        <w:t xml:space="preserve"> qui seront mis en place sont : le groupe de communication des Nations Unies </w:t>
      </w:r>
      <w:r w:rsidR="00117691">
        <w:rPr>
          <w:rFonts w:ascii="Times New Roman" w:hAnsi="Times New Roman"/>
          <w:szCs w:val="28"/>
        </w:rPr>
        <w:t xml:space="preserve">(UNCG) </w:t>
      </w:r>
      <w:r w:rsidR="00BD3749">
        <w:rPr>
          <w:rFonts w:ascii="Times New Roman" w:hAnsi="Times New Roman"/>
          <w:szCs w:val="28"/>
        </w:rPr>
        <w:t>et le groupe des Opérations des Nations Unies</w:t>
      </w:r>
      <w:r w:rsidR="00117691">
        <w:rPr>
          <w:rFonts w:ascii="Times New Roman" w:hAnsi="Times New Roman"/>
          <w:szCs w:val="28"/>
        </w:rPr>
        <w:t xml:space="preserve"> (OMT)</w:t>
      </w:r>
      <w:r w:rsidR="00BD3749">
        <w:rPr>
          <w:rFonts w:ascii="Times New Roman" w:hAnsi="Times New Roman"/>
          <w:szCs w:val="28"/>
        </w:rPr>
        <w:t xml:space="preserve">. </w:t>
      </w:r>
      <w:r w:rsidR="00117691">
        <w:rPr>
          <w:rFonts w:ascii="Times New Roman" w:hAnsi="Times New Roman"/>
          <w:szCs w:val="28"/>
        </w:rPr>
        <w:t>L’UNCG</w:t>
      </w:r>
      <w:r w:rsidR="00BD3749">
        <w:rPr>
          <w:rFonts w:ascii="Times New Roman" w:hAnsi="Times New Roman"/>
          <w:szCs w:val="28"/>
        </w:rPr>
        <w:t xml:space="preserve"> a pour responsabilités, l’opérationnalisation de la stratégie de communication des Nations Unies. </w:t>
      </w:r>
      <w:r w:rsidR="002B2C94">
        <w:rPr>
          <w:rFonts w:ascii="Times New Roman" w:hAnsi="Times New Roman"/>
          <w:szCs w:val="28"/>
        </w:rPr>
        <w:t>Ce groupe sera présidé par un chef d’agence et regroupera les chargés de communication de toutes les agences et devra promouvoir la visibilité de</w:t>
      </w:r>
      <w:r w:rsidR="00117691">
        <w:rPr>
          <w:rFonts w:ascii="Times New Roman" w:hAnsi="Times New Roman"/>
          <w:szCs w:val="28"/>
        </w:rPr>
        <w:t>s interventions du SNU au Tchad.</w:t>
      </w:r>
    </w:p>
    <w:p w14:paraId="64EA177D" w14:textId="12351D71" w:rsidR="00117691" w:rsidRDefault="00117691" w:rsidP="00511AA7">
      <w:pPr>
        <w:jc w:val="both"/>
        <w:rPr>
          <w:rFonts w:ascii="Times New Roman" w:hAnsi="Times New Roman"/>
          <w:szCs w:val="28"/>
        </w:rPr>
      </w:pPr>
      <w:r>
        <w:rPr>
          <w:rFonts w:ascii="Times New Roman" w:hAnsi="Times New Roman"/>
          <w:szCs w:val="28"/>
        </w:rPr>
        <w:t xml:space="preserve">Le groupe des opérations devra aussi s’assurer de la mise en œuvre de la stratégie conjointe des opérations (BoS) du SNU. </w:t>
      </w:r>
      <w:r w:rsidR="006F5700">
        <w:rPr>
          <w:rFonts w:ascii="Times New Roman" w:hAnsi="Times New Roman"/>
          <w:szCs w:val="28"/>
        </w:rPr>
        <w:t xml:space="preserve">Il sera présidé par les chefs des opérations désignés des agences et reportera directement à l’Equipe de Pays. </w:t>
      </w:r>
    </w:p>
    <w:p w14:paraId="76849275" w14:textId="77777777" w:rsidR="00A03DA5" w:rsidRDefault="00A03DA5" w:rsidP="00511AA7">
      <w:pPr>
        <w:jc w:val="both"/>
        <w:rPr>
          <w:rFonts w:ascii="Times New Roman" w:hAnsi="Times New Roman"/>
          <w:szCs w:val="28"/>
        </w:rPr>
      </w:pPr>
    </w:p>
    <w:p w14:paraId="267B102D" w14:textId="4A54C96C" w:rsidR="004B2F67" w:rsidRDefault="004B2F67" w:rsidP="00B311F3">
      <w:pPr>
        <w:pStyle w:val="Heading2"/>
        <w:numPr>
          <w:ilvl w:val="0"/>
          <w:numId w:val="27"/>
        </w:numPr>
        <w:pBdr>
          <w:bottom w:val="single" w:sz="4" w:space="1" w:color="auto"/>
        </w:pBdr>
        <w:jc w:val="left"/>
      </w:pPr>
      <w:bookmarkStart w:id="93" w:name="_Toc459363423"/>
      <w:r>
        <w:t>Suivi et évaluation</w:t>
      </w:r>
      <w:r w:rsidR="00B6646D">
        <w:t>, Communication et Gestion des connaissances</w:t>
      </w:r>
      <w:bookmarkEnd w:id="93"/>
    </w:p>
    <w:p w14:paraId="5A2844AB" w14:textId="77777777" w:rsidR="004B2F67" w:rsidRDefault="004B2F67" w:rsidP="004067F1"/>
    <w:p w14:paraId="31C01531" w14:textId="62CF86C6" w:rsidR="00B6646D" w:rsidRPr="00BD0351" w:rsidRDefault="00BD0351" w:rsidP="00BD0351">
      <w:pPr>
        <w:pStyle w:val="Heading1"/>
        <w:rPr>
          <w:sz w:val="28"/>
        </w:rPr>
      </w:pPr>
      <w:bookmarkStart w:id="94" w:name="_Toc459363424"/>
      <w:r w:rsidRPr="00BD0351">
        <w:rPr>
          <w:sz w:val="28"/>
        </w:rPr>
        <w:t xml:space="preserve">6.1 </w:t>
      </w:r>
      <w:r w:rsidR="00B6646D" w:rsidRPr="00BD0351">
        <w:rPr>
          <w:sz w:val="28"/>
        </w:rPr>
        <w:t>Suivi et évaluation</w:t>
      </w:r>
      <w:bookmarkEnd w:id="94"/>
    </w:p>
    <w:p w14:paraId="29D137EF" w14:textId="77777777" w:rsidR="008E7585" w:rsidRDefault="008E7585" w:rsidP="008E7585">
      <w:pPr>
        <w:pStyle w:val="ListParagraph"/>
        <w:ind w:left="0"/>
        <w:jc w:val="both"/>
        <w:rPr>
          <w:rFonts w:ascii="Times New Roman" w:hAnsi="Times New Roman"/>
          <w:sz w:val="22"/>
          <w:szCs w:val="28"/>
        </w:rPr>
      </w:pPr>
      <w:r>
        <w:rPr>
          <w:rFonts w:ascii="Times New Roman" w:hAnsi="Times New Roman"/>
          <w:sz w:val="22"/>
          <w:szCs w:val="28"/>
        </w:rPr>
        <w:t>Le système de suivi et évaluation vise à permettre à l’Equipe de Pays et à ses partenaires d’assumer leur redevabilité et à mesurer les résultats accomplis dans la mise en œuvre de l’UNDAF ainsi que la contribution de ce cadre au plan national, à l’agenda 2063 et aux ODD. Le système de suivi et évaluation est fondé sur les principes de la gestion axée sur les résultats et adossé au système national de suivi et évaluation. Pour ce faire, le SNU assurera le renforcement des capacités des dispositifs nationaux.</w:t>
      </w:r>
    </w:p>
    <w:p w14:paraId="030298EF" w14:textId="77777777" w:rsidR="00BA43F3" w:rsidRDefault="00BA43F3" w:rsidP="008E7585">
      <w:pPr>
        <w:pStyle w:val="ListParagraph"/>
        <w:ind w:left="0"/>
        <w:jc w:val="both"/>
        <w:rPr>
          <w:rFonts w:ascii="Times New Roman" w:hAnsi="Times New Roman"/>
          <w:sz w:val="22"/>
          <w:szCs w:val="28"/>
        </w:rPr>
      </w:pPr>
    </w:p>
    <w:p w14:paraId="0631DBFD" w14:textId="7EDAE2DB" w:rsidR="008E7585" w:rsidRDefault="008E7585" w:rsidP="008E7585">
      <w:pPr>
        <w:pStyle w:val="ListParagraph"/>
        <w:ind w:left="0"/>
        <w:jc w:val="both"/>
        <w:rPr>
          <w:rFonts w:ascii="Times New Roman" w:hAnsi="Times New Roman"/>
          <w:sz w:val="22"/>
          <w:szCs w:val="28"/>
        </w:rPr>
      </w:pPr>
      <w:r>
        <w:rPr>
          <w:rFonts w:ascii="Times New Roman" w:hAnsi="Times New Roman"/>
          <w:sz w:val="22"/>
          <w:szCs w:val="28"/>
        </w:rPr>
        <w:t>Le système de suivi et évaluation de l’UNDAF est fondé sur le tryptique suivi, enquêtes et évaluation. Le suivi de l’UNDAF est réalisé annuellement et inclut les r</w:t>
      </w:r>
      <w:r w:rsidRPr="003D38FD">
        <w:rPr>
          <w:rFonts w:ascii="Times New Roman" w:hAnsi="Times New Roman"/>
          <w:sz w:val="22"/>
          <w:szCs w:val="28"/>
        </w:rPr>
        <w:t>evue</w:t>
      </w:r>
      <w:r>
        <w:rPr>
          <w:rFonts w:ascii="Times New Roman" w:hAnsi="Times New Roman"/>
          <w:sz w:val="22"/>
          <w:szCs w:val="28"/>
        </w:rPr>
        <w:t>s semestrielle</w:t>
      </w:r>
      <w:r w:rsidR="008D72EC">
        <w:rPr>
          <w:rFonts w:ascii="Times New Roman" w:hAnsi="Times New Roman"/>
          <w:sz w:val="22"/>
          <w:szCs w:val="28"/>
        </w:rPr>
        <w:t>s</w:t>
      </w:r>
      <w:r>
        <w:rPr>
          <w:rFonts w:ascii="Times New Roman" w:hAnsi="Times New Roman"/>
          <w:sz w:val="22"/>
          <w:szCs w:val="28"/>
        </w:rPr>
        <w:t xml:space="preserve"> et</w:t>
      </w:r>
      <w:r w:rsidRPr="003D38FD">
        <w:rPr>
          <w:rFonts w:ascii="Times New Roman" w:hAnsi="Times New Roman"/>
          <w:sz w:val="22"/>
          <w:szCs w:val="28"/>
        </w:rPr>
        <w:t xml:space="preserve"> annuelle</w:t>
      </w:r>
      <w:r w:rsidR="008D72EC">
        <w:rPr>
          <w:rFonts w:ascii="Times New Roman" w:hAnsi="Times New Roman"/>
          <w:sz w:val="22"/>
          <w:szCs w:val="28"/>
        </w:rPr>
        <w:t>s</w:t>
      </w:r>
      <w:r>
        <w:rPr>
          <w:rFonts w:ascii="Times New Roman" w:hAnsi="Times New Roman"/>
          <w:sz w:val="22"/>
          <w:szCs w:val="28"/>
        </w:rPr>
        <w:t> conjointe</w:t>
      </w:r>
      <w:r w:rsidR="008D72EC">
        <w:rPr>
          <w:rFonts w:ascii="Times New Roman" w:hAnsi="Times New Roman"/>
          <w:sz w:val="22"/>
          <w:szCs w:val="28"/>
        </w:rPr>
        <w:t>s</w:t>
      </w:r>
      <w:r>
        <w:rPr>
          <w:rFonts w:ascii="Times New Roman" w:hAnsi="Times New Roman"/>
          <w:sz w:val="22"/>
          <w:szCs w:val="28"/>
        </w:rPr>
        <w:t xml:space="preserve"> SNU-gouvernement.</w:t>
      </w:r>
      <w:r w:rsidRPr="00E94EA0">
        <w:rPr>
          <w:rFonts w:ascii="Times New Roman" w:hAnsi="Times New Roman"/>
          <w:sz w:val="22"/>
          <w:szCs w:val="28"/>
        </w:rPr>
        <w:t xml:space="preserve"> </w:t>
      </w:r>
      <w:r>
        <w:rPr>
          <w:rFonts w:ascii="Times New Roman" w:hAnsi="Times New Roman"/>
          <w:sz w:val="22"/>
          <w:szCs w:val="28"/>
        </w:rPr>
        <w:t>Ces revues conjointes ont principalement pour intérêts de mesurer les progrès enregistrés, favoriser les échanges entre toutes les parties prenantes du processus et nourrir le cycle de programmation. Ces dernières sont inclusives et conduites sous le leadership du</w:t>
      </w:r>
      <w:r w:rsidRPr="00CB63BA">
        <w:t xml:space="preserve"> </w:t>
      </w:r>
      <w:r w:rsidRPr="00CB63BA">
        <w:rPr>
          <w:rFonts w:ascii="Times New Roman" w:hAnsi="Times New Roman"/>
          <w:sz w:val="22"/>
          <w:szCs w:val="28"/>
        </w:rPr>
        <w:t>comité national conjoint de pilotage</w:t>
      </w:r>
      <w:r>
        <w:rPr>
          <w:rFonts w:ascii="Times New Roman" w:hAnsi="Times New Roman"/>
          <w:sz w:val="22"/>
          <w:szCs w:val="28"/>
        </w:rPr>
        <w:t>. Le suivi de l’UNDAF repose aussi sur la production de rapports thématiques élaborés sur la base des enquêtes quantitatives et qualitatives, qui permettent de renseigner le cycle de vie de ce programme dont : i) le rapport annuel sur les ODD ; ii) les  r</w:t>
      </w:r>
      <w:r w:rsidRPr="00284453">
        <w:rPr>
          <w:rFonts w:ascii="Times New Roman" w:hAnsi="Times New Roman"/>
          <w:sz w:val="22"/>
          <w:szCs w:val="28"/>
        </w:rPr>
        <w:t>apports aux organes des traités</w:t>
      </w:r>
      <w:r>
        <w:rPr>
          <w:rFonts w:ascii="Times New Roman" w:hAnsi="Times New Roman"/>
          <w:sz w:val="22"/>
          <w:szCs w:val="28"/>
        </w:rPr>
        <w:t xml:space="preserve"> et le su</w:t>
      </w:r>
      <w:r w:rsidRPr="00284453">
        <w:rPr>
          <w:rFonts w:ascii="Times New Roman" w:hAnsi="Times New Roman"/>
          <w:sz w:val="22"/>
          <w:szCs w:val="28"/>
        </w:rPr>
        <w:t xml:space="preserve">ivi des recommandations des rapports </w:t>
      </w:r>
      <w:r>
        <w:rPr>
          <w:rFonts w:ascii="Times New Roman" w:hAnsi="Times New Roman"/>
          <w:sz w:val="22"/>
          <w:szCs w:val="28"/>
        </w:rPr>
        <w:t>à ces</w:t>
      </w:r>
      <w:r w:rsidRPr="00284453">
        <w:rPr>
          <w:rFonts w:ascii="Times New Roman" w:hAnsi="Times New Roman"/>
          <w:sz w:val="22"/>
          <w:szCs w:val="28"/>
        </w:rPr>
        <w:t xml:space="preserve"> organes et traités</w:t>
      </w:r>
      <w:r>
        <w:rPr>
          <w:rFonts w:ascii="Times New Roman" w:hAnsi="Times New Roman"/>
          <w:sz w:val="22"/>
          <w:szCs w:val="28"/>
        </w:rPr>
        <w:t xml:space="preserve"> ; iii) </w:t>
      </w:r>
      <w:r w:rsidRPr="00E94EA0">
        <w:rPr>
          <w:rFonts w:ascii="Times New Roman" w:hAnsi="Times New Roman"/>
          <w:sz w:val="22"/>
          <w:szCs w:val="28"/>
        </w:rPr>
        <w:t>l’analyse de la situation des femmes et des enfants</w:t>
      </w:r>
      <w:r>
        <w:rPr>
          <w:rFonts w:ascii="Times New Roman" w:hAnsi="Times New Roman"/>
          <w:sz w:val="22"/>
          <w:szCs w:val="28"/>
        </w:rPr>
        <w:t xml:space="preserve"> et iv) le rapport sur l’</w:t>
      </w:r>
      <w:r w:rsidRPr="003D38FD">
        <w:rPr>
          <w:rFonts w:ascii="Times New Roman" w:hAnsi="Times New Roman"/>
          <w:sz w:val="22"/>
          <w:szCs w:val="28"/>
        </w:rPr>
        <w:t>Etat de la population</w:t>
      </w:r>
      <w:r>
        <w:rPr>
          <w:rFonts w:ascii="Times New Roman" w:hAnsi="Times New Roman"/>
          <w:sz w:val="22"/>
          <w:szCs w:val="28"/>
        </w:rPr>
        <w:t xml:space="preserve">. D’autres rapports spécifiques peuvent être commandités au cours du cycle de l’UNDAF, le cas échéant. </w:t>
      </w:r>
    </w:p>
    <w:p w14:paraId="3A7704DE" w14:textId="77777777" w:rsidR="00BA43F3" w:rsidRDefault="00BA43F3" w:rsidP="008E7585">
      <w:pPr>
        <w:pStyle w:val="ListParagraph"/>
        <w:ind w:left="0"/>
        <w:jc w:val="both"/>
        <w:rPr>
          <w:rFonts w:ascii="Times New Roman" w:hAnsi="Times New Roman"/>
          <w:sz w:val="22"/>
          <w:szCs w:val="28"/>
        </w:rPr>
      </w:pPr>
    </w:p>
    <w:p w14:paraId="22634CE4" w14:textId="77777777" w:rsidR="00BA43F3" w:rsidRDefault="008E7585" w:rsidP="008E7585">
      <w:pPr>
        <w:pStyle w:val="ListParagraph"/>
        <w:ind w:left="0"/>
        <w:jc w:val="both"/>
        <w:rPr>
          <w:rFonts w:ascii="Times New Roman" w:hAnsi="Times New Roman"/>
          <w:sz w:val="22"/>
          <w:szCs w:val="28"/>
        </w:rPr>
      </w:pPr>
      <w:r>
        <w:rPr>
          <w:rFonts w:ascii="Times New Roman" w:hAnsi="Times New Roman"/>
          <w:sz w:val="22"/>
          <w:szCs w:val="28"/>
        </w:rPr>
        <w:t>S’agissant des enquêtes prévues dans le cadre du système de suivi et évaluation, elles ont essentiellement trait à la MICS et à l’EDST-MICS au niveau national. Elles sont complétées par des enquêtes spécifiques telles que l’e</w:t>
      </w:r>
      <w:r w:rsidRPr="00AF4904">
        <w:rPr>
          <w:rFonts w:ascii="Times New Roman" w:hAnsi="Times New Roman"/>
          <w:sz w:val="22"/>
          <w:szCs w:val="28"/>
        </w:rPr>
        <w:t>nquête auprès des ménages sur l’utilisation des SSR</w:t>
      </w:r>
      <w:r>
        <w:rPr>
          <w:rFonts w:ascii="Times New Roman" w:hAnsi="Times New Roman"/>
          <w:sz w:val="22"/>
          <w:szCs w:val="28"/>
        </w:rPr>
        <w:t xml:space="preserve"> (services de santé de la reproduction)</w:t>
      </w:r>
      <w:r w:rsidRPr="00AF4904">
        <w:rPr>
          <w:rFonts w:ascii="Times New Roman" w:hAnsi="Times New Roman"/>
          <w:sz w:val="22"/>
          <w:szCs w:val="28"/>
        </w:rPr>
        <w:t xml:space="preserve"> et </w:t>
      </w:r>
      <w:r>
        <w:rPr>
          <w:rFonts w:ascii="Times New Roman" w:hAnsi="Times New Roman"/>
          <w:sz w:val="22"/>
          <w:szCs w:val="28"/>
        </w:rPr>
        <w:t xml:space="preserve">le </w:t>
      </w:r>
      <w:r w:rsidRPr="00AF4904">
        <w:rPr>
          <w:rFonts w:ascii="Times New Roman" w:hAnsi="Times New Roman"/>
          <w:sz w:val="22"/>
          <w:szCs w:val="28"/>
        </w:rPr>
        <w:t>mariage des enfants</w:t>
      </w:r>
      <w:r>
        <w:rPr>
          <w:rFonts w:ascii="Times New Roman" w:hAnsi="Times New Roman"/>
          <w:sz w:val="22"/>
          <w:szCs w:val="28"/>
        </w:rPr>
        <w:t>, l’e</w:t>
      </w:r>
      <w:r w:rsidRPr="009640CB">
        <w:rPr>
          <w:rFonts w:ascii="Times New Roman" w:hAnsi="Times New Roman"/>
          <w:sz w:val="22"/>
          <w:szCs w:val="28"/>
        </w:rPr>
        <w:t xml:space="preserve">nquête </w:t>
      </w:r>
      <w:r>
        <w:rPr>
          <w:rFonts w:ascii="Times New Roman" w:hAnsi="Times New Roman"/>
          <w:sz w:val="22"/>
          <w:szCs w:val="28"/>
        </w:rPr>
        <w:t xml:space="preserve">sur la </w:t>
      </w:r>
      <w:r w:rsidRPr="009640CB">
        <w:rPr>
          <w:rFonts w:ascii="Times New Roman" w:hAnsi="Times New Roman"/>
          <w:sz w:val="22"/>
          <w:szCs w:val="28"/>
        </w:rPr>
        <w:t>sécurisation des produits de la santé de la reproduction (SPSR)</w:t>
      </w:r>
      <w:r>
        <w:rPr>
          <w:rFonts w:ascii="Times New Roman" w:hAnsi="Times New Roman"/>
          <w:sz w:val="22"/>
          <w:szCs w:val="28"/>
        </w:rPr>
        <w:t xml:space="preserve"> et les enquêtes sur la sécurité alimentaire et la nutrition (</w:t>
      </w:r>
      <w:r w:rsidRPr="00AF4904">
        <w:rPr>
          <w:rFonts w:ascii="Times New Roman" w:hAnsi="Times New Roman"/>
          <w:sz w:val="22"/>
          <w:szCs w:val="28"/>
        </w:rPr>
        <w:t>SMART</w:t>
      </w:r>
      <w:r>
        <w:rPr>
          <w:rFonts w:ascii="Times New Roman" w:hAnsi="Times New Roman"/>
          <w:sz w:val="22"/>
          <w:szCs w:val="28"/>
        </w:rPr>
        <w:t xml:space="preserve">, ENSA, EFSA, etc.). </w:t>
      </w:r>
    </w:p>
    <w:p w14:paraId="73AFCDCC" w14:textId="77777777" w:rsidR="00BA43F3" w:rsidRDefault="00BA43F3" w:rsidP="008E7585">
      <w:pPr>
        <w:pStyle w:val="ListParagraph"/>
        <w:ind w:left="0"/>
        <w:jc w:val="both"/>
        <w:rPr>
          <w:rFonts w:ascii="Times New Roman" w:hAnsi="Times New Roman"/>
          <w:sz w:val="22"/>
          <w:szCs w:val="28"/>
        </w:rPr>
      </w:pPr>
    </w:p>
    <w:p w14:paraId="11C5D673" w14:textId="56897DE6" w:rsidR="008E7585" w:rsidRDefault="008E7585" w:rsidP="008E7585">
      <w:pPr>
        <w:pStyle w:val="ListParagraph"/>
        <w:ind w:left="0"/>
        <w:jc w:val="both"/>
        <w:rPr>
          <w:rFonts w:ascii="Times New Roman" w:hAnsi="Times New Roman"/>
          <w:sz w:val="22"/>
          <w:szCs w:val="28"/>
        </w:rPr>
      </w:pPr>
      <w:r>
        <w:rPr>
          <w:rFonts w:ascii="Times New Roman" w:hAnsi="Times New Roman"/>
          <w:sz w:val="22"/>
          <w:szCs w:val="28"/>
        </w:rPr>
        <w:t xml:space="preserve">Quant aux évaluations, elles incluent l’évaluation finale à l’an 4 de la mise en œuvre de l’UNDAF et les évaluations thématiques. L’évaluation finale est un exercice mandataire prescrit par les directives et porte sur les résultats globaux obtenus afin d’en tirer les leçons et d’établir les meilleures pratiques. Les évaluations thématiques constituent une opportunité pour l’Equipe de Pays en partenariat avec le gouvernement de conduire des analyses sur des aspects spécifiques d’intérêt général. </w:t>
      </w:r>
    </w:p>
    <w:p w14:paraId="6DC0AE73" w14:textId="77777777" w:rsidR="008E7585" w:rsidRDefault="008E7585" w:rsidP="008E7585">
      <w:pPr>
        <w:pStyle w:val="ListParagraph"/>
        <w:ind w:left="0"/>
        <w:jc w:val="both"/>
        <w:rPr>
          <w:rFonts w:ascii="Times New Roman" w:hAnsi="Times New Roman"/>
          <w:sz w:val="22"/>
          <w:szCs w:val="28"/>
        </w:rPr>
      </w:pPr>
    </w:p>
    <w:p w14:paraId="13F16638" w14:textId="77777777" w:rsidR="008E7585" w:rsidRDefault="008E7585" w:rsidP="008E7585">
      <w:pPr>
        <w:pStyle w:val="ListParagraph"/>
        <w:ind w:left="0"/>
        <w:jc w:val="both"/>
        <w:rPr>
          <w:rFonts w:ascii="Times New Roman" w:hAnsi="Times New Roman"/>
          <w:sz w:val="22"/>
          <w:szCs w:val="28"/>
        </w:rPr>
      </w:pPr>
      <w:r>
        <w:rPr>
          <w:rFonts w:ascii="Times New Roman" w:hAnsi="Times New Roman"/>
          <w:sz w:val="22"/>
          <w:szCs w:val="28"/>
        </w:rPr>
        <w:t>Le groupe suivi et évaluation apporte un appui au groupe des résultats et au groupe de gestion des programmes et veille au respect du calendrier de suivi de la mise en œuvre de l’UNDAF (Voir annexe 2).</w:t>
      </w:r>
    </w:p>
    <w:p w14:paraId="4A276A0B" w14:textId="77777777" w:rsidR="00D877DE" w:rsidRDefault="00D877DE" w:rsidP="00D877DE">
      <w:pPr>
        <w:pStyle w:val="ListParagraph"/>
        <w:ind w:left="0"/>
        <w:jc w:val="both"/>
        <w:rPr>
          <w:rFonts w:ascii="Times New Roman" w:hAnsi="Times New Roman"/>
          <w:sz w:val="22"/>
          <w:szCs w:val="28"/>
        </w:rPr>
      </w:pPr>
    </w:p>
    <w:p w14:paraId="06C94805" w14:textId="6AB41914" w:rsidR="004B2F67" w:rsidRPr="00BD0351" w:rsidRDefault="00DA3F1B" w:rsidP="00BD0351">
      <w:pPr>
        <w:pStyle w:val="Heading1"/>
        <w:rPr>
          <w:sz w:val="28"/>
        </w:rPr>
      </w:pPr>
      <w:bookmarkStart w:id="95" w:name="_Toc459363425"/>
      <w:r>
        <w:rPr>
          <w:sz w:val="28"/>
        </w:rPr>
        <w:t xml:space="preserve">6.2. </w:t>
      </w:r>
      <w:r w:rsidR="00346E94" w:rsidRPr="00BD0351">
        <w:rPr>
          <w:sz w:val="28"/>
        </w:rPr>
        <w:t>C</w:t>
      </w:r>
      <w:r w:rsidR="004B2F67" w:rsidRPr="00BD0351">
        <w:rPr>
          <w:sz w:val="28"/>
        </w:rPr>
        <w:t>ommunication</w:t>
      </w:r>
      <w:bookmarkEnd w:id="95"/>
    </w:p>
    <w:p w14:paraId="2420D88A" w14:textId="5522542C" w:rsidR="00346E94" w:rsidRDefault="00346E94" w:rsidP="008C4FA3">
      <w:pPr>
        <w:spacing w:line="276" w:lineRule="auto"/>
        <w:jc w:val="both"/>
        <w:rPr>
          <w:rFonts w:ascii="Times New Roman" w:hAnsi="Times New Roman"/>
        </w:rPr>
      </w:pPr>
      <w:r w:rsidRPr="00637FD4">
        <w:rPr>
          <w:rFonts w:ascii="Times New Roman" w:hAnsi="Times New Roman"/>
        </w:rPr>
        <w:t>La communication conjointe prônée dans le cadre du Delivering as One vise à positionner le système des Nations Unies comme une entité parlant d’une « Seule Voix » en vue de promouvoir les idéaux, les valeurs et la charte des Nations Unies. Dans le cadre du présent cycle UNDAF, la communication conjointe est portée par les axes stratégiques suivants : i) le renforcement de la communication interne en vue, d’une part, de forger une identité commune et assurer l’adhésion du personn</w:t>
      </w:r>
      <w:r w:rsidR="00EB6A86">
        <w:rPr>
          <w:rFonts w:ascii="Times New Roman" w:hAnsi="Times New Roman"/>
        </w:rPr>
        <w:t>el aux principes du DaO et d’autre part d’</w:t>
      </w:r>
      <w:r w:rsidRPr="00637FD4">
        <w:rPr>
          <w:rFonts w:ascii="Times New Roman" w:hAnsi="Times New Roman"/>
        </w:rPr>
        <w:t xml:space="preserve">instaurer une collaboration permanente avec les bureaux de communication des agences au niveau régional et international ; ii) la promotion et la vulgarisation des Objectifs de Développement Durable ; iii) la promotion des outils de communication pour le développement (C4D) en lien avec la lutte contre les inégalités notamment envers les femmes, les enfants et les personnes les plus vulnérables, y compris </w:t>
      </w:r>
      <w:r w:rsidR="00B6646D">
        <w:rPr>
          <w:rFonts w:ascii="Times New Roman" w:hAnsi="Times New Roman"/>
        </w:rPr>
        <w:t xml:space="preserve">les </w:t>
      </w:r>
      <w:r>
        <w:rPr>
          <w:rFonts w:ascii="Times New Roman" w:hAnsi="Times New Roman"/>
        </w:rPr>
        <w:t xml:space="preserve">personnes </w:t>
      </w:r>
      <w:r w:rsidRPr="00637FD4">
        <w:rPr>
          <w:rFonts w:ascii="Times New Roman" w:hAnsi="Times New Roman"/>
        </w:rPr>
        <w:t>déplacé</w:t>
      </w:r>
      <w:r>
        <w:rPr>
          <w:rFonts w:ascii="Times New Roman" w:hAnsi="Times New Roman"/>
        </w:rPr>
        <w:t>e</w:t>
      </w:r>
      <w:r w:rsidRPr="00637FD4">
        <w:rPr>
          <w:rFonts w:ascii="Times New Roman" w:hAnsi="Times New Roman"/>
        </w:rPr>
        <w:t>s</w:t>
      </w:r>
      <w:r>
        <w:rPr>
          <w:rFonts w:ascii="Times New Roman" w:hAnsi="Times New Roman"/>
        </w:rPr>
        <w:t xml:space="preserve"> (réfugiés, </w:t>
      </w:r>
      <w:r w:rsidRPr="00637FD4">
        <w:rPr>
          <w:rFonts w:ascii="Times New Roman" w:hAnsi="Times New Roman"/>
        </w:rPr>
        <w:t>déplacés</w:t>
      </w:r>
      <w:r>
        <w:rPr>
          <w:rFonts w:ascii="Times New Roman" w:hAnsi="Times New Roman"/>
        </w:rPr>
        <w:t xml:space="preserve"> internes et retournés)</w:t>
      </w:r>
      <w:r w:rsidRPr="00637FD4">
        <w:rPr>
          <w:rFonts w:ascii="Times New Roman" w:hAnsi="Times New Roman"/>
        </w:rPr>
        <w:t xml:space="preserve"> ; le mariage précoce ; la promotion de l’alphabétisation, </w:t>
      </w:r>
      <w:r>
        <w:rPr>
          <w:rFonts w:ascii="Times New Roman" w:hAnsi="Times New Roman"/>
        </w:rPr>
        <w:t xml:space="preserve">de </w:t>
      </w:r>
      <w:r w:rsidRPr="00637FD4">
        <w:rPr>
          <w:rFonts w:ascii="Times New Roman" w:hAnsi="Times New Roman"/>
        </w:rPr>
        <w:t xml:space="preserve">l’éducation, </w:t>
      </w:r>
      <w:r>
        <w:rPr>
          <w:rFonts w:ascii="Times New Roman" w:hAnsi="Times New Roman"/>
        </w:rPr>
        <w:t xml:space="preserve">de </w:t>
      </w:r>
      <w:r w:rsidRPr="00637FD4">
        <w:rPr>
          <w:rFonts w:ascii="Times New Roman" w:hAnsi="Times New Roman"/>
        </w:rPr>
        <w:t>l’accès à l’emploi pour les jeunes</w:t>
      </w:r>
      <w:r>
        <w:rPr>
          <w:rFonts w:ascii="Times New Roman" w:hAnsi="Times New Roman"/>
        </w:rPr>
        <w:t> ;</w:t>
      </w:r>
      <w:r w:rsidRPr="00637FD4">
        <w:rPr>
          <w:rFonts w:ascii="Times New Roman" w:hAnsi="Times New Roman"/>
        </w:rPr>
        <w:t xml:space="preserve"> l’utilisation des services de santé intégrés, spécialement dans la prévention du VIH</w:t>
      </w:r>
      <w:r>
        <w:rPr>
          <w:rFonts w:ascii="Times New Roman" w:hAnsi="Times New Roman"/>
        </w:rPr>
        <w:t> ; la protection sociale, la protection de l’enfance, la gestion des risques de catastrophes, le renforcement des systèmes de production durables ; la protection de l’environnement ; la p</w:t>
      </w:r>
      <w:r w:rsidR="00EB6A86">
        <w:rPr>
          <w:rFonts w:ascii="Times New Roman" w:hAnsi="Times New Roman"/>
        </w:rPr>
        <w:t>romotion des droits de l’homme e</w:t>
      </w:r>
      <w:r>
        <w:rPr>
          <w:rFonts w:ascii="Times New Roman" w:hAnsi="Times New Roman"/>
        </w:rPr>
        <w:t xml:space="preserve">t enfin ; </w:t>
      </w:r>
      <w:r w:rsidR="00EB6A86">
        <w:rPr>
          <w:rFonts w:ascii="Times New Roman" w:hAnsi="Times New Roman"/>
        </w:rPr>
        <w:t>iv) l</w:t>
      </w:r>
      <w:r w:rsidRPr="00637FD4">
        <w:rPr>
          <w:rFonts w:ascii="Times New Roman" w:hAnsi="Times New Roman"/>
        </w:rPr>
        <w:t>a pro</w:t>
      </w:r>
      <w:r w:rsidR="00631B25">
        <w:rPr>
          <w:rFonts w:ascii="Times New Roman" w:hAnsi="Times New Roman"/>
        </w:rPr>
        <w:t>motion de la visibilité d</w:t>
      </w:r>
      <w:r w:rsidRPr="00637FD4">
        <w:rPr>
          <w:rFonts w:ascii="Times New Roman" w:hAnsi="Times New Roman"/>
        </w:rPr>
        <w:t>es résultats de l’UNDAF à destination de tou</w:t>
      </w:r>
      <w:r>
        <w:rPr>
          <w:rFonts w:ascii="Times New Roman" w:hAnsi="Times New Roman"/>
        </w:rPr>
        <w:t xml:space="preserve">s les acteurs du développement. </w:t>
      </w:r>
      <w:r w:rsidRPr="00D70C37">
        <w:rPr>
          <w:rFonts w:ascii="Times New Roman" w:hAnsi="Times New Roman"/>
        </w:rPr>
        <w:t xml:space="preserve">L’opérationnalisation de la stratégie est réalisée à travers </w:t>
      </w:r>
      <w:r>
        <w:rPr>
          <w:rFonts w:ascii="Times New Roman" w:hAnsi="Times New Roman"/>
        </w:rPr>
        <w:t>la formulation et la mise en œuvre d’un plan d’action annuel.</w:t>
      </w:r>
    </w:p>
    <w:p w14:paraId="092FE15F" w14:textId="1A330E7A" w:rsidR="00B6646D" w:rsidRPr="00BD0351" w:rsidRDefault="00DA3F1B" w:rsidP="00BD0351">
      <w:pPr>
        <w:pStyle w:val="Heading1"/>
        <w:rPr>
          <w:sz w:val="28"/>
        </w:rPr>
      </w:pPr>
      <w:bookmarkStart w:id="96" w:name="_Toc459363426"/>
      <w:r>
        <w:rPr>
          <w:sz w:val="28"/>
        </w:rPr>
        <w:t xml:space="preserve">6.3. </w:t>
      </w:r>
      <w:r w:rsidR="00B6646D" w:rsidRPr="00BD0351">
        <w:rPr>
          <w:sz w:val="28"/>
        </w:rPr>
        <w:t>Gestion des connaissances</w:t>
      </w:r>
      <w:bookmarkEnd w:id="96"/>
    </w:p>
    <w:p w14:paraId="170D1495" w14:textId="057DAEB6" w:rsidR="004B2F67" w:rsidRDefault="00346E94" w:rsidP="00650F47">
      <w:pPr>
        <w:spacing w:line="276" w:lineRule="auto"/>
        <w:jc w:val="both"/>
      </w:pPr>
      <w:r>
        <w:rPr>
          <w:rFonts w:ascii="Times New Roman" w:hAnsi="Times New Roman"/>
          <w:szCs w:val="28"/>
        </w:rPr>
        <w:t>La gestion des connaissances constitue un moyen de : i) capitaliser l’expérience du processus de formulation, mise en œuvre, suivi et évaluation de l’UNDAF, ii) générer des connaissances pour diffusion et utilisation par les différentes parties prenantes, iii) nourrir l</w:t>
      </w:r>
      <w:r w:rsidR="00101C6B">
        <w:rPr>
          <w:rFonts w:ascii="Times New Roman" w:hAnsi="Times New Roman"/>
          <w:szCs w:val="28"/>
        </w:rPr>
        <w:t xml:space="preserve">a stratégie de communication ; </w:t>
      </w:r>
      <w:r>
        <w:rPr>
          <w:rFonts w:ascii="Times New Roman" w:hAnsi="Times New Roman"/>
          <w:szCs w:val="28"/>
        </w:rPr>
        <w:t>iv) faciliter la stratégie de mobilisation de</w:t>
      </w:r>
      <w:r w:rsidR="00101C6B">
        <w:rPr>
          <w:rFonts w:ascii="Times New Roman" w:hAnsi="Times New Roman"/>
          <w:szCs w:val="28"/>
        </w:rPr>
        <w:t>s résultats et renforcer le système de rapportage.</w:t>
      </w:r>
    </w:p>
    <w:p w14:paraId="6BDB5EC9" w14:textId="77777777" w:rsidR="004B2F67" w:rsidRDefault="004B2F67" w:rsidP="004067F1"/>
    <w:p w14:paraId="6E1DF476" w14:textId="5B123110" w:rsidR="00346E94" w:rsidRPr="00FE0691" w:rsidRDefault="00346E94" w:rsidP="00B311F3">
      <w:pPr>
        <w:pStyle w:val="Heading2"/>
        <w:numPr>
          <w:ilvl w:val="0"/>
          <w:numId w:val="27"/>
        </w:numPr>
        <w:pBdr>
          <w:bottom w:val="single" w:sz="4" w:space="1" w:color="auto"/>
        </w:pBdr>
        <w:jc w:val="left"/>
      </w:pPr>
      <w:bookmarkStart w:id="97" w:name="_Toc454635290"/>
      <w:bookmarkStart w:id="98" w:name="_Toc455604624"/>
      <w:bookmarkStart w:id="99" w:name="_Toc456889064"/>
      <w:bookmarkStart w:id="100" w:name="_Toc459363427"/>
      <w:r w:rsidRPr="00FE0691">
        <w:t>Mobilisation des ressources</w:t>
      </w:r>
      <w:bookmarkEnd w:id="97"/>
      <w:bookmarkEnd w:id="98"/>
      <w:bookmarkEnd w:id="99"/>
      <w:bookmarkEnd w:id="100"/>
    </w:p>
    <w:p w14:paraId="0E383E2B" w14:textId="3465E5FD" w:rsidR="00346E94" w:rsidRDefault="00346E94" w:rsidP="00346E94">
      <w:pPr>
        <w:pStyle w:val="ListParagraph"/>
        <w:ind w:left="0"/>
        <w:jc w:val="both"/>
        <w:rPr>
          <w:rFonts w:ascii="Times New Roman" w:hAnsi="Times New Roman"/>
          <w:sz w:val="22"/>
          <w:szCs w:val="28"/>
        </w:rPr>
      </w:pPr>
      <w:r w:rsidRPr="00867EB0">
        <w:rPr>
          <w:rFonts w:ascii="Times New Roman" w:hAnsi="Times New Roman"/>
          <w:sz w:val="22"/>
          <w:szCs w:val="28"/>
        </w:rPr>
        <w:t xml:space="preserve">Dans un contexte de raréfaction des ressources au niveau mondial accentuée par les baisse des recettes pétrolières qui représentent environ 70% du </w:t>
      </w:r>
      <w:r w:rsidR="00650F47">
        <w:rPr>
          <w:rFonts w:ascii="Times New Roman" w:hAnsi="Times New Roman"/>
          <w:sz w:val="22"/>
          <w:szCs w:val="28"/>
        </w:rPr>
        <w:t>b</w:t>
      </w:r>
      <w:r w:rsidRPr="00867EB0">
        <w:rPr>
          <w:rFonts w:ascii="Times New Roman" w:hAnsi="Times New Roman"/>
          <w:sz w:val="22"/>
          <w:szCs w:val="28"/>
        </w:rPr>
        <w:t>udget de l’Etat</w:t>
      </w:r>
      <w:r>
        <w:rPr>
          <w:rFonts w:ascii="Times New Roman" w:hAnsi="Times New Roman"/>
          <w:sz w:val="22"/>
          <w:szCs w:val="28"/>
        </w:rPr>
        <w:t xml:space="preserve"> tchadien</w:t>
      </w:r>
      <w:r w:rsidRPr="00867EB0">
        <w:rPr>
          <w:rFonts w:ascii="Times New Roman" w:hAnsi="Times New Roman"/>
          <w:sz w:val="22"/>
          <w:szCs w:val="28"/>
        </w:rPr>
        <w:t xml:space="preserve">, la mobilisation de ressources constituera un facteur clé de succès </w:t>
      </w:r>
      <w:r>
        <w:rPr>
          <w:rFonts w:ascii="Times New Roman" w:hAnsi="Times New Roman"/>
          <w:sz w:val="22"/>
          <w:szCs w:val="28"/>
        </w:rPr>
        <w:t>pour</w:t>
      </w:r>
      <w:r w:rsidRPr="00867EB0">
        <w:rPr>
          <w:rFonts w:ascii="Times New Roman" w:hAnsi="Times New Roman"/>
          <w:sz w:val="22"/>
          <w:szCs w:val="28"/>
        </w:rPr>
        <w:t xml:space="preserve"> la mise en œuvre de l’UNDAF 2017-2021. Elle se fera sous le leadership du Gouvernement </w:t>
      </w:r>
      <w:r>
        <w:rPr>
          <w:rFonts w:ascii="Times New Roman" w:hAnsi="Times New Roman"/>
          <w:sz w:val="22"/>
          <w:szCs w:val="28"/>
        </w:rPr>
        <w:t xml:space="preserve"> et s’appuiera sur</w:t>
      </w:r>
      <w:r w:rsidRPr="00867EB0">
        <w:rPr>
          <w:rFonts w:ascii="Times New Roman" w:hAnsi="Times New Roman"/>
          <w:sz w:val="22"/>
          <w:szCs w:val="28"/>
        </w:rPr>
        <w:t xml:space="preserve"> la politique nationale de l’</w:t>
      </w:r>
      <w:r>
        <w:rPr>
          <w:rFonts w:ascii="Times New Roman" w:hAnsi="Times New Roman"/>
          <w:sz w:val="22"/>
          <w:szCs w:val="28"/>
        </w:rPr>
        <w:t>A</w:t>
      </w:r>
      <w:r w:rsidRPr="00867EB0">
        <w:rPr>
          <w:rFonts w:ascii="Times New Roman" w:hAnsi="Times New Roman"/>
          <w:sz w:val="22"/>
          <w:szCs w:val="28"/>
        </w:rPr>
        <w:t>ide au développement</w:t>
      </w:r>
      <w:r>
        <w:rPr>
          <w:rFonts w:ascii="Times New Roman" w:hAnsi="Times New Roman"/>
          <w:sz w:val="22"/>
          <w:szCs w:val="28"/>
        </w:rPr>
        <w:t>.</w:t>
      </w:r>
      <w:r w:rsidRPr="00867EB0">
        <w:rPr>
          <w:rFonts w:ascii="Times New Roman" w:hAnsi="Times New Roman"/>
          <w:sz w:val="22"/>
          <w:szCs w:val="28"/>
        </w:rPr>
        <w:t xml:space="preserve"> </w:t>
      </w:r>
      <w:r>
        <w:rPr>
          <w:rFonts w:ascii="Times New Roman" w:hAnsi="Times New Roman"/>
          <w:sz w:val="22"/>
          <w:szCs w:val="28"/>
        </w:rPr>
        <w:t xml:space="preserve">Les instruments à promouvoir, pour ce faire, sont : </w:t>
      </w:r>
      <w:r w:rsidRPr="00867EB0">
        <w:rPr>
          <w:rFonts w:ascii="Times New Roman" w:hAnsi="Times New Roman"/>
          <w:sz w:val="22"/>
          <w:szCs w:val="28"/>
        </w:rPr>
        <w:t xml:space="preserve">l’appui à l’organisation de tables rondes et consultations sectorielles ou thématiques, le plaidoyer, </w:t>
      </w:r>
      <w:r>
        <w:rPr>
          <w:rFonts w:ascii="Times New Roman" w:hAnsi="Times New Roman"/>
          <w:sz w:val="22"/>
          <w:szCs w:val="28"/>
        </w:rPr>
        <w:t>l’identification</w:t>
      </w:r>
      <w:r w:rsidRPr="00867EB0">
        <w:rPr>
          <w:rFonts w:ascii="Times New Roman" w:hAnsi="Times New Roman"/>
          <w:sz w:val="22"/>
          <w:szCs w:val="28"/>
        </w:rPr>
        <w:t xml:space="preserve"> de programmes</w:t>
      </w:r>
      <w:r>
        <w:rPr>
          <w:rFonts w:ascii="Times New Roman" w:hAnsi="Times New Roman"/>
          <w:sz w:val="22"/>
          <w:szCs w:val="28"/>
        </w:rPr>
        <w:t xml:space="preserve"> conjoints</w:t>
      </w:r>
      <w:r w:rsidRPr="00867EB0">
        <w:rPr>
          <w:rFonts w:ascii="Times New Roman" w:hAnsi="Times New Roman"/>
          <w:sz w:val="22"/>
          <w:szCs w:val="28"/>
        </w:rPr>
        <w:t>, ainsi que la facilitation et l’appui à l’accès aux mécanismes de financement novateur.</w:t>
      </w:r>
      <w:r w:rsidR="008B749D">
        <w:rPr>
          <w:rFonts w:ascii="Times New Roman" w:hAnsi="Times New Roman"/>
          <w:sz w:val="22"/>
          <w:szCs w:val="28"/>
        </w:rPr>
        <w:t xml:space="preserve"> Un plan de partenariat accompagnera la stratégie pour renforcer les synergies au niveau national. </w:t>
      </w:r>
      <w:r w:rsidRPr="00867EB0">
        <w:rPr>
          <w:rFonts w:ascii="Times New Roman" w:hAnsi="Times New Roman"/>
          <w:sz w:val="22"/>
          <w:szCs w:val="28"/>
        </w:rPr>
        <w:t xml:space="preserve">Des </w:t>
      </w:r>
      <w:r w:rsidR="00F35103">
        <w:rPr>
          <w:rFonts w:ascii="Times New Roman" w:hAnsi="Times New Roman"/>
          <w:sz w:val="22"/>
          <w:szCs w:val="28"/>
        </w:rPr>
        <w:t>initiatives</w:t>
      </w:r>
      <w:r w:rsidRPr="00867EB0">
        <w:rPr>
          <w:rFonts w:ascii="Times New Roman" w:hAnsi="Times New Roman"/>
          <w:sz w:val="22"/>
          <w:szCs w:val="28"/>
        </w:rPr>
        <w:t xml:space="preserve"> conjointes de mobilisation de ressources seront développées et mises en œuvre, y compris au sein du SNU.</w:t>
      </w:r>
    </w:p>
    <w:p w14:paraId="5D62096E" w14:textId="77777777" w:rsidR="00461AB9" w:rsidRDefault="00461AB9" w:rsidP="00346E94">
      <w:pPr>
        <w:pStyle w:val="ListParagraph"/>
        <w:ind w:left="0"/>
        <w:jc w:val="both"/>
        <w:rPr>
          <w:rFonts w:ascii="Times New Roman" w:hAnsi="Times New Roman"/>
          <w:sz w:val="22"/>
          <w:szCs w:val="28"/>
        </w:rPr>
      </w:pPr>
    </w:p>
    <w:p w14:paraId="15109E66" w14:textId="77777777" w:rsidR="00461AB9" w:rsidRDefault="00461AB9" w:rsidP="00346E94">
      <w:pPr>
        <w:pStyle w:val="ListParagraph"/>
        <w:ind w:left="0"/>
        <w:jc w:val="both"/>
        <w:rPr>
          <w:rFonts w:ascii="Times New Roman" w:hAnsi="Times New Roman"/>
          <w:sz w:val="22"/>
          <w:szCs w:val="28"/>
        </w:rPr>
      </w:pPr>
    </w:p>
    <w:p w14:paraId="399975F0" w14:textId="77777777" w:rsidR="00461AB9" w:rsidRDefault="00461AB9" w:rsidP="00346E94">
      <w:pPr>
        <w:pStyle w:val="ListParagraph"/>
        <w:ind w:left="0"/>
        <w:jc w:val="both"/>
        <w:rPr>
          <w:rFonts w:ascii="Times New Roman" w:hAnsi="Times New Roman"/>
          <w:sz w:val="22"/>
          <w:szCs w:val="28"/>
        </w:rPr>
      </w:pPr>
    </w:p>
    <w:p w14:paraId="4F4E4B95" w14:textId="77777777" w:rsidR="00461AB9" w:rsidRDefault="00461AB9" w:rsidP="00346E94">
      <w:pPr>
        <w:pStyle w:val="ListParagraph"/>
        <w:ind w:left="0"/>
        <w:jc w:val="both"/>
        <w:rPr>
          <w:rFonts w:ascii="Times New Roman" w:hAnsi="Times New Roman"/>
          <w:sz w:val="22"/>
          <w:szCs w:val="28"/>
        </w:rPr>
      </w:pPr>
    </w:p>
    <w:p w14:paraId="09B67357" w14:textId="77777777" w:rsidR="00461AB9" w:rsidRDefault="00461AB9" w:rsidP="00346E94">
      <w:pPr>
        <w:pStyle w:val="ListParagraph"/>
        <w:ind w:left="0"/>
        <w:jc w:val="both"/>
        <w:rPr>
          <w:rFonts w:ascii="Times New Roman" w:hAnsi="Times New Roman"/>
          <w:sz w:val="22"/>
          <w:szCs w:val="28"/>
        </w:rPr>
      </w:pPr>
    </w:p>
    <w:p w14:paraId="37738CC6" w14:textId="77777777" w:rsidR="00461AB9" w:rsidRDefault="00461AB9" w:rsidP="00346E94">
      <w:pPr>
        <w:pStyle w:val="ListParagraph"/>
        <w:ind w:left="0"/>
        <w:jc w:val="both"/>
        <w:rPr>
          <w:rFonts w:ascii="Times New Roman" w:hAnsi="Times New Roman"/>
          <w:sz w:val="22"/>
          <w:szCs w:val="28"/>
        </w:rPr>
      </w:pPr>
    </w:p>
    <w:p w14:paraId="66EC5C4C" w14:textId="77777777" w:rsidR="00461AB9" w:rsidRDefault="00461AB9" w:rsidP="00346E94">
      <w:pPr>
        <w:pStyle w:val="ListParagraph"/>
        <w:ind w:left="0"/>
        <w:jc w:val="both"/>
        <w:rPr>
          <w:rFonts w:ascii="Times New Roman" w:hAnsi="Times New Roman"/>
          <w:sz w:val="22"/>
          <w:szCs w:val="28"/>
        </w:rPr>
      </w:pPr>
    </w:p>
    <w:p w14:paraId="149DBDAF" w14:textId="77777777" w:rsidR="00461AB9" w:rsidRDefault="00461AB9" w:rsidP="00346E94">
      <w:pPr>
        <w:pStyle w:val="ListParagraph"/>
        <w:ind w:left="0"/>
        <w:jc w:val="both"/>
        <w:rPr>
          <w:rFonts w:ascii="Times New Roman" w:hAnsi="Times New Roman"/>
          <w:sz w:val="22"/>
          <w:szCs w:val="28"/>
        </w:rPr>
      </w:pPr>
    </w:p>
    <w:p w14:paraId="034DB7E5" w14:textId="77777777" w:rsidR="00461AB9" w:rsidRDefault="00461AB9" w:rsidP="00461AB9">
      <w:pPr>
        <w:pStyle w:val="Heading2"/>
        <w:pBdr>
          <w:bottom w:val="single" w:sz="4" w:space="1" w:color="auto"/>
        </w:pBdr>
        <w:jc w:val="left"/>
        <w:sectPr w:rsidR="00461AB9">
          <w:pgSz w:w="11906" w:h="16838"/>
          <w:pgMar w:top="1417" w:right="1417" w:bottom="1417" w:left="1417" w:header="708" w:footer="708" w:gutter="0"/>
          <w:cols w:space="708"/>
          <w:docGrid w:linePitch="360"/>
        </w:sectPr>
      </w:pPr>
      <w:bookmarkStart w:id="101" w:name="_Toc455604625"/>
      <w:bookmarkStart w:id="102" w:name="_Toc456889065"/>
    </w:p>
    <w:p w14:paraId="65C92DA5" w14:textId="58FD5013" w:rsidR="00461AB9" w:rsidRPr="00461AB9" w:rsidRDefault="00461AB9" w:rsidP="00461AB9">
      <w:pPr>
        <w:pStyle w:val="Heading2"/>
        <w:pBdr>
          <w:bottom w:val="single" w:sz="4" w:space="1" w:color="auto"/>
        </w:pBdr>
        <w:jc w:val="left"/>
      </w:pPr>
      <w:bookmarkStart w:id="103" w:name="_Toc459363428"/>
      <w:r w:rsidRPr="00461AB9">
        <w:t>Annexe 1. Matrice des résultats Plan Cadre des Nations Unies</w:t>
      </w:r>
      <w:bookmarkEnd w:id="101"/>
      <w:r w:rsidRPr="00461AB9">
        <w:t xml:space="preserve"> </w:t>
      </w:r>
      <w:bookmarkStart w:id="104" w:name="_Toc455604626"/>
      <w:bookmarkStart w:id="105" w:name="_Toc456889066"/>
      <w:bookmarkEnd w:id="102"/>
      <w:r w:rsidRPr="00461AB9">
        <w:t>(UNDAF) 2017-2021</w:t>
      </w:r>
      <w:bookmarkEnd w:id="103"/>
      <w:bookmarkEnd w:id="104"/>
      <w:bookmarkEnd w:id="105"/>
    </w:p>
    <w:p w14:paraId="259DC147" w14:textId="77777777" w:rsidR="004B2F67" w:rsidRDefault="004B2F67" w:rsidP="004067F1"/>
    <w:tbl>
      <w:tblPr>
        <w:tblW w:w="147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2569"/>
        <w:gridCol w:w="200"/>
        <w:gridCol w:w="38"/>
        <w:gridCol w:w="2272"/>
        <w:gridCol w:w="704"/>
        <w:gridCol w:w="9"/>
        <w:gridCol w:w="1012"/>
        <w:gridCol w:w="113"/>
        <w:gridCol w:w="1134"/>
        <w:gridCol w:w="13"/>
        <w:gridCol w:w="1701"/>
        <w:gridCol w:w="1434"/>
        <w:gridCol w:w="1134"/>
        <w:gridCol w:w="1130"/>
        <w:gridCol w:w="1275"/>
        <w:gridCol w:w="18"/>
      </w:tblGrid>
      <w:tr w:rsidR="005773EB" w:rsidRPr="00862219" w14:paraId="72E8321E" w14:textId="77777777" w:rsidTr="00520C99">
        <w:trPr>
          <w:trHeight w:val="43"/>
        </w:trPr>
        <w:tc>
          <w:tcPr>
            <w:tcW w:w="14756" w:type="dxa"/>
            <w:gridSpan w:val="16"/>
            <w:shd w:val="clear" w:color="auto" w:fill="BDD6EE" w:themeFill="accent1" w:themeFillTint="66"/>
            <w:vAlign w:val="center"/>
          </w:tcPr>
          <w:p w14:paraId="6D83C34C" w14:textId="77777777" w:rsidR="005773EB" w:rsidRPr="00862219" w:rsidRDefault="005773EB" w:rsidP="00520C99">
            <w:pPr>
              <w:spacing w:after="0" w:line="240" w:lineRule="auto"/>
              <w:rPr>
                <w:rFonts w:ascii="Times New Roman" w:hAnsi="Times New Roman"/>
                <w:b/>
                <w:sz w:val="18"/>
                <w:szCs w:val="18"/>
              </w:rPr>
            </w:pPr>
            <w:r w:rsidRPr="00862219">
              <w:rPr>
                <w:rFonts w:ascii="Times New Roman" w:hAnsi="Times New Roman"/>
                <w:b/>
                <w:sz w:val="18"/>
                <w:szCs w:val="18"/>
              </w:rPr>
              <w:t>Priorités et Objectifs nationaux pour le développement </w:t>
            </w:r>
            <w:r w:rsidRPr="00862219">
              <w:rPr>
                <w:rFonts w:ascii="Times New Roman" w:hAnsi="Times New Roman"/>
                <w:b/>
                <w:bCs/>
                <w:noProof w:val="0"/>
                <w:sz w:val="18"/>
                <w:szCs w:val="20"/>
                <w:lang w:bidi="en-US"/>
              </w:rPr>
              <w:t>/</w:t>
            </w:r>
            <w:r>
              <w:rPr>
                <w:rFonts w:ascii="Times New Roman" w:hAnsi="Times New Roman"/>
                <w:b/>
                <w:bCs/>
                <w:noProof w:val="0"/>
                <w:sz w:val="18"/>
                <w:szCs w:val="20"/>
                <w:lang w:bidi="en-US"/>
              </w:rPr>
              <w:t>ODD/</w:t>
            </w:r>
            <w:r w:rsidRPr="00862219">
              <w:rPr>
                <w:rFonts w:ascii="Times New Roman" w:hAnsi="Times New Roman"/>
                <w:b/>
                <w:bCs/>
                <w:i/>
                <w:noProof w:val="0"/>
                <w:sz w:val="18"/>
                <w:szCs w:val="20"/>
                <w:lang w:bidi="en-US"/>
              </w:rPr>
              <w:t>VISION 2030</w:t>
            </w:r>
            <w:r>
              <w:rPr>
                <w:rFonts w:ascii="Times New Roman" w:hAnsi="Times New Roman"/>
                <w:b/>
                <w:bCs/>
                <w:i/>
                <w:noProof w:val="0"/>
                <w:sz w:val="18"/>
                <w:szCs w:val="20"/>
                <w:lang w:bidi="en-US"/>
              </w:rPr>
              <w:t xml:space="preserve"> </w:t>
            </w:r>
            <w:r w:rsidRPr="00862219">
              <w:rPr>
                <w:rFonts w:ascii="Times New Roman" w:hAnsi="Times New Roman"/>
                <w:b/>
                <w:bCs/>
                <w:i/>
                <w:noProof w:val="0"/>
                <w:sz w:val="18"/>
                <w:szCs w:val="20"/>
                <w:lang w:bidi="en-US"/>
              </w:rPr>
              <w:t xml:space="preserve">: Piliers III.2 </w:t>
            </w:r>
            <w:r w:rsidRPr="00862219">
              <w:rPr>
                <w:rFonts w:ascii="Times New Roman" w:hAnsi="Times New Roman"/>
                <w:bCs/>
                <w:i/>
                <w:noProof w:val="0"/>
                <w:sz w:val="18"/>
                <w:szCs w:val="20"/>
                <w:lang w:bidi="en-US"/>
              </w:rPr>
              <w:t>Capital Humain</w:t>
            </w:r>
            <w:r w:rsidRPr="00862219">
              <w:rPr>
                <w:rFonts w:ascii="Times New Roman" w:hAnsi="Times New Roman"/>
                <w:b/>
                <w:bCs/>
                <w:i/>
                <w:noProof w:val="0"/>
                <w:sz w:val="18"/>
                <w:szCs w:val="20"/>
                <w:lang w:bidi="en-US"/>
              </w:rPr>
              <w:t xml:space="preserve">, III.5. </w:t>
            </w:r>
            <w:r w:rsidRPr="00862219">
              <w:rPr>
                <w:rFonts w:ascii="Times New Roman" w:hAnsi="Times New Roman"/>
                <w:bCs/>
                <w:i/>
                <w:noProof w:val="0"/>
                <w:sz w:val="18"/>
                <w:szCs w:val="20"/>
                <w:lang w:bidi="en-US"/>
              </w:rPr>
              <w:t>Démographie</w:t>
            </w:r>
            <w:r w:rsidRPr="00862219">
              <w:rPr>
                <w:rFonts w:ascii="Times New Roman" w:hAnsi="Times New Roman"/>
                <w:b/>
                <w:bCs/>
                <w:i/>
                <w:noProof w:val="0"/>
                <w:sz w:val="18"/>
                <w:szCs w:val="20"/>
                <w:lang w:bidi="en-US"/>
              </w:rPr>
              <w:t xml:space="preserve"> ; Questions transversales </w:t>
            </w:r>
            <w:r w:rsidRPr="00862219">
              <w:rPr>
                <w:rFonts w:ascii="Times New Roman" w:hAnsi="Times New Roman"/>
                <w:bCs/>
                <w:i/>
                <w:noProof w:val="0"/>
                <w:sz w:val="18"/>
                <w:szCs w:val="20"/>
                <w:lang w:bidi="en-US"/>
              </w:rPr>
              <w:t>IV.3 Jeunesse</w:t>
            </w:r>
            <w:r w:rsidRPr="00862219">
              <w:rPr>
                <w:rFonts w:ascii="Times New Roman" w:hAnsi="Times New Roman"/>
                <w:b/>
                <w:bCs/>
                <w:i/>
                <w:noProof w:val="0"/>
                <w:sz w:val="18"/>
                <w:szCs w:val="20"/>
                <w:lang w:bidi="en-US"/>
              </w:rPr>
              <w:t> ;</w:t>
            </w:r>
            <w:r w:rsidRPr="00862219">
              <w:rPr>
                <w:rFonts w:ascii="Times New Roman" w:hAnsi="Times New Roman"/>
                <w:b/>
                <w:bCs/>
                <w:noProof w:val="0"/>
                <w:sz w:val="18"/>
                <w:szCs w:val="20"/>
                <w:lang w:bidi="en-US"/>
              </w:rPr>
              <w:t xml:space="preserve"> ODD 2. </w:t>
            </w:r>
            <w:r w:rsidRPr="00862219">
              <w:rPr>
                <w:rFonts w:ascii="Times New Roman" w:hAnsi="Times New Roman"/>
                <w:bCs/>
                <w:noProof w:val="0"/>
                <w:sz w:val="18"/>
                <w:szCs w:val="20"/>
                <w:lang w:bidi="en-US"/>
              </w:rPr>
              <w:t xml:space="preserve">Éliminer la faim, assurer la sécurité alimentaire, améliorer la nutrition et promouvoir une agriculture durable ; </w:t>
            </w:r>
            <w:r w:rsidRPr="00F44BFE">
              <w:rPr>
                <w:rFonts w:ascii="Times New Roman" w:hAnsi="Times New Roman"/>
                <w:b/>
                <w:noProof w:val="0"/>
                <w:sz w:val="18"/>
                <w:lang w:bidi="en-US"/>
              </w:rPr>
              <w:t>ODD3</w:t>
            </w:r>
            <w:r w:rsidRPr="00862219">
              <w:rPr>
                <w:rFonts w:ascii="Times New Roman" w:hAnsi="Times New Roman"/>
                <w:noProof w:val="0"/>
                <w:sz w:val="18"/>
                <w:lang w:bidi="en-US"/>
              </w:rPr>
              <w:t xml:space="preserve">. Donner aux individus les moyens de vivre une vie saine et promouvoir le bien-être de tous et à tous les âges ; </w:t>
            </w:r>
            <w:r w:rsidRPr="00862219">
              <w:rPr>
                <w:rFonts w:ascii="Times New Roman" w:hAnsi="Times New Roman"/>
                <w:b/>
                <w:noProof w:val="0"/>
                <w:sz w:val="18"/>
                <w:lang w:bidi="en-US"/>
              </w:rPr>
              <w:t>ODD4.</w:t>
            </w:r>
            <w:r w:rsidRPr="00862219">
              <w:rPr>
                <w:rFonts w:ascii="Times New Roman" w:hAnsi="Times New Roman"/>
                <w:noProof w:val="0"/>
                <w:sz w:val="18"/>
                <w:lang w:bidi="en-US"/>
              </w:rPr>
              <w:t xml:space="preserve"> Veiller à ce que tous puissent suivre une éducation de qualité dans des conditions d’équité et promouvoir les possibilités d’apprentissage tout au long de la vie ; </w:t>
            </w:r>
            <w:r w:rsidRPr="00862219">
              <w:rPr>
                <w:rFonts w:ascii="Times New Roman" w:hAnsi="Times New Roman"/>
                <w:b/>
                <w:noProof w:val="0"/>
                <w:sz w:val="18"/>
                <w:lang w:bidi="en-US"/>
              </w:rPr>
              <w:t>ODD5</w:t>
            </w:r>
            <w:r w:rsidRPr="00862219">
              <w:rPr>
                <w:rFonts w:ascii="Times New Roman" w:hAnsi="Times New Roman"/>
                <w:noProof w:val="0"/>
                <w:sz w:val="18"/>
                <w:lang w:bidi="en-US"/>
              </w:rPr>
              <w:t xml:space="preserve">. Réaliser l’égalité des sexes et autonomiser toutes les femmes et les filles ; </w:t>
            </w:r>
            <w:r w:rsidRPr="00F44BFE">
              <w:rPr>
                <w:rFonts w:ascii="Times New Roman" w:hAnsi="Times New Roman"/>
                <w:b/>
                <w:noProof w:val="0"/>
                <w:sz w:val="18"/>
                <w:lang w:bidi="en-US"/>
              </w:rPr>
              <w:t>ODD6</w:t>
            </w:r>
            <w:r w:rsidRPr="00F44BFE">
              <w:rPr>
                <w:rFonts w:ascii="Times New Roman" w:hAnsi="Times New Roman"/>
                <w:b/>
                <w:bCs/>
                <w:noProof w:val="0"/>
                <w:sz w:val="18"/>
                <w:szCs w:val="20"/>
                <w:lang w:bidi="en-US"/>
              </w:rPr>
              <w:t>.</w:t>
            </w:r>
            <w:r w:rsidRPr="00862219">
              <w:rPr>
                <w:rFonts w:ascii="Times New Roman" w:hAnsi="Times New Roman"/>
                <w:bCs/>
                <w:noProof w:val="0"/>
                <w:sz w:val="18"/>
                <w:szCs w:val="20"/>
                <w:lang w:bidi="en-US"/>
              </w:rPr>
              <w:t> Garantir l’accès de tous à des services d’approvisionnement en eau et d’assainissement et assurer une gestion durable des ressources en eau.</w:t>
            </w:r>
          </w:p>
        </w:tc>
      </w:tr>
      <w:tr w:rsidR="005773EB" w:rsidRPr="00862219" w14:paraId="701C78DA" w14:textId="77777777" w:rsidTr="00520C99">
        <w:trPr>
          <w:trHeight w:val="43"/>
        </w:trPr>
        <w:tc>
          <w:tcPr>
            <w:tcW w:w="9765" w:type="dxa"/>
            <w:gridSpan w:val="11"/>
            <w:shd w:val="clear" w:color="auto" w:fill="BDD6EE" w:themeFill="accent1" w:themeFillTint="66"/>
            <w:vAlign w:val="center"/>
          </w:tcPr>
          <w:p w14:paraId="50D79E4F" w14:textId="77777777" w:rsidR="005773EB" w:rsidRDefault="005773EB" w:rsidP="00520C99">
            <w:pPr>
              <w:spacing w:after="0" w:line="240" w:lineRule="auto"/>
              <w:rPr>
                <w:rFonts w:ascii="Times New Roman" w:hAnsi="Times New Roman"/>
                <w:b/>
                <w:color w:val="000000"/>
                <w:sz w:val="18"/>
                <w:szCs w:val="18"/>
              </w:rPr>
            </w:pPr>
            <w:r>
              <w:rPr>
                <w:rFonts w:ascii="Times New Roman" w:hAnsi="Times New Roman"/>
                <w:b/>
                <w:color w:val="000000"/>
                <w:sz w:val="18"/>
                <w:szCs w:val="18"/>
              </w:rPr>
              <w:t xml:space="preserve">Résultat Stratégique </w:t>
            </w:r>
            <w:r w:rsidRPr="00862219">
              <w:rPr>
                <w:rFonts w:ascii="Times New Roman" w:hAnsi="Times New Roman"/>
                <w:b/>
                <w:color w:val="000000"/>
                <w:sz w:val="18"/>
                <w:szCs w:val="18"/>
              </w:rPr>
              <w:t>1. Développement du Capital Humain</w:t>
            </w:r>
          </w:p>
          <w:p w14:paraId="7AE12ED0" w14:textId="77777777" w:rsidR="005773EB" w:rsidRPr="00862219" w:rsidRDefault="005773EB" w:rsidP="00520C99">
            <w:pPr>
              <w:spacing w:after="0" w:line="240" w:lineRule="auto"/>
              <w:rPr>
                <w:rFonts w:ascii="Times New Roman" w:hAnsi="Times New Roman"/>
                <w:b/>
                <w:sz w:val="18"/>
                <w:szCs w:val="18"/>
              </w:rPr>
            </w:pPr>
          </w:p>
        </w:tc>
        <w:tc>
          <w:tcPr>
            <w:tcW w:w="1434" w:type="dxa"/>
            <w:shd w:val="clear" w:color="auto" w:fill="BDD6EE" w:themeFill="accent1" w:themeFillTint="66"/>
            <w:vAlign w:val="center"/>
          </w:tcPr>
          <w:p w14:paraId="2BCDD3E8" w14:textId="77777777" w:rsidR="005773EB" w:rsidRPr="00862219" w:rsidRDefault="005773EB" w:rsidP="00520C99">
            <w:pPr>
              <w:spacing w:after="0" w:line="240" w:lineRule="auto"/>
              <w:rPr>
                <w:rFonts w:ascii="Times New Roman" w:hAnsi="Times New Roman"/>
                <w:b/>
                <w:sz w:val="18"/>
                <w:szCs w:val="18"/>
              </w:rPr>
            </w:pPr>
          </w:p>
        </w:tc>
        <w:tc>
          <w:tcPr>
            <w:tcW w:w="1134" w:type="dxa"/>
            <w:shd w:val="clear" w:color="auto" w:fill="BDD6EE" w:themeFill="accent1" w:themeFillTint="66"/>
            <w:vAlign w:val="center"/>
          </w:tcPr>
          <w:p w14:paraId="124725F4" w14:textId="77777777" w:rsidR="005773EB" w:rsidRPr="00862219" w:rsidRDefault="005773EB" w:rsidP="00520C99">
            <w:pPr>
              <w:spacing w:after="0" w:line="240" w:lineRule="auto"/>
              <w:rPr>
                <w:rFonts w:ascii="Times New Roman" w:hAnsi="Times New Roman"/>
                <w:b/>
                <w:sz w:val="18"/>
                <w:szCs w:val="18"/>
              </w:rPr>
            </w:pPr>
          </w:p>
        </w:tc>
        <w:tc>
          <w:tcPr>
            <w:tcW w:w="1130" w:type="dxa"/>
            <w:shd w:val="clear" w:color="auto" w:fill="BDD6EE" w:themeFill="accent1" w:themeFillTint="66"/>
            <w:vAlign w:val="center"/>
          </w:tcPr>
          <w:p w14:paraId="4E87BDBC" w14:textId="77777777" w:rsidR="005773EB" w:rsidRPr="00862219" w:rsidRDefault="005773EB" w:rsidP="00520C99">
            <w:pPr>
              <w:spacing w:after="0" w:line="240" w:lineRule="auto"/>
              <w:rPr>
                <w:rFonts w:ascii="Times New Roman" w:hAnsi="Times New Roman"/>
                <w:b/>
                <w:sz w:val="18"/>
                <w:szCs w:val="18"/>
              </w:rPr>
            </w:pPr>
          </w:p>
        </w:tc>
        <w:tc>
          <w:tcPr>
            <w:tcW w:w="1293" w:type="dxa"/>
            <w:gridSpan w:val="2"/>
            <w:shd w:val="clear" w:color="auto" w:fill="BDD6EE" w:themeFill="accent1" w:themeFillTint="66"/>
            <w:vAlign w:val="center"/>
          </w:tcPr>
          <w:p w14:paraId="4886A2B3" w14:textId="77777777" w:rsidR="005773EB" w:rsidRPr="00862219" w:rsidRDefault="005773EB" w:rsidP="00520C99">
            <w:pPr>
              <w:spacing w:after="0" w:line="240" w:lineRule="auto"/>
              <w:rPr>
                <w:rFonts w:ascii="Times New Roman" w:hAnsi="Times New Roman"/>
                <w:b/>
                <w:sz w:val="18"/>
                <w:szCs w:val="18"/>
              </w:rPr>
            </w:pPr>
          </w:p>
        </w:tc>
      </w:tr>
      <w:tr w:rsidR="005773EB" w:rsidRPr="00862219" w14:paraId="706C7A85" w14:textId="77777777" w:rsidTr="00520C99">
        <w:trPr>
          <w:trHeight w:val="318"/>
        </w:trPr>
        <w:tc>
          <w:tcPr>
            <w:tcW w:w="2769" w:type="dxa"/>
            <w:gridSpan w:val="2"/>
            <w:shd w:val="clear" w:color="auto" w:fill="BDD6EE" w:themeFill="accent1" w:themeFillTint="66"/>
          </w:tcPr>
          <w:p w14:paraId="0F553C82"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 xml:space="preserve">Résultats </w:t>
            </w:r>
          </w:p>
        </w:tc>
        <w:tc>
          <w:tcPr>
            <w:tcW w:w="3023" w:type="dxa"/>
            <w:gridSpan w:val="4"/>
            <w:shd w:val="clear" w:color="auto" w:fill="BDD6EE" w:themeFill="accent1" w:themeFillTint="66"/>
          </w:tcPr>
          <w:p w14:paraId="53FEFDB3"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Indicateurs</w:t>
            </w:r>
          </w:p>
        </w:tc>
        <w:tc>
          <w:tcPr>
            <w:tcW w:w="1125" w:type="dxa"/>
            <w:gridSpan w:val="2"/>
            <w:shd w:val="clear" w:color="auto" w:fill="BDD6EE" w:themeFill="accent1" w:themeFillTint="66"/>
          </w:tcPr>
          <w:p w14:paraId="785797E3"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Référence</w:t>
            </w:r>
          </w:p>
        </w:tc>
        <w:tc>
          <w:tcPr>
            <w:tcW w:w="1147" w:type="dxa"/>
            <w:gridSpan w:val="2"/>
            <w:shd w:val="clear" w:color="auto" w:fill="BDD6EE" w:themeFill="accent1" w:themeFillTint="66"/>
          </w:tcPr>
          <w:p w14:paraId="536AD3D4"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Cible</w:t>
            </w:r>
          </w:p>
        </w:tc>
        <w:tc>
          <w:tcPr>
            <w:tcW w:w="1701" w:type="dxa"/>
            <w:shd w:val="clear" w:color="auto" w:fill="BDD6EE" w:themeFill="accent1" w:themeFillTint="66"/>
          </w:tcPr>
          <w:p w14:paraId="444D494D"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Moyen de vérification</w:t>
            </w:r>
          </w:p>
        </w:tc>
        <w:tc>
          <w:tcPr>
            <w:tcW w:w="1434" w:type="dxa"/>
            <w:shd w:val="clear" w:color="auto" w:fill="BDD6EE" w:themeFill="accent1" w:themeFillTint="66"/>
          </w:tcPr>
          <w:p w14:paraId="6401EE48" w14:textId="77777777" w:rsidR="005773EB" w:rsidRPr="00862219" w:rsidRDefault="005773EB" w:rsidP="00520C99">
            <w:pPr>
              <w:spacing w:after="0" w:line="240" w:lineRule="auto"/>
              <w:rPr>
                <w:rFonts w:ascii="Times New Roman" w:hAnsi="Times New Roman"/>
                <w:b/>
                <w:sz w:val="18"/>
                <w:szCs w:val="18"/>
                <w:lang w:val="en-GB"/>
              </w:rPr>
            </w:pPr>
            <w:r>
              <w:rPr>
                <w:rFonts w:ascii="Times New Roman" w:hAnsi="Times New Roman"/>
                <w:b/>
                <w:sz w:val="18"/>
                <w:szCs w:val="18"/>
                <w:lang w:val="en-GB"/>
              </w:rPr>
              <w:t>Partenaires UN</w:t>
            </w:r>
          </w:p>
        </w:tc>
        <w:tc>
          <w:tcPr>
            <w:tcW w:w="1134" w:type="dxa"/>
            <w:shd w:val="clear" w:color="auto" w:fill="BDD6EE" w:themeFill="accent1" w:themeFillTint="66"/>
          </w:tcPr>
          <w:p w14:paraId="391F1BCB" w14:textId="77777777" w:rsidR="005773EB" w:rsidRPr="00862219" w:rsidRDefault="005773EB" w:rsidP="00520C99">
            <w:pPr>
              <w:spacing w:after="0" w:line="240" w:lineRule="auto"/>
              <w:rPr>
                <w:rFonts w:ascii="Times New Roman" w:hAnsi="Times New Roman"/>
                <w:b/>
                <w:sz w:val="18"/>
                <w:szCs w:val="18"/>
                <w:lang w:val="en-GB"/>
              </w:rPr>
            </w:pPr>
            <w:r>
              <w:rPr>
                <w:rFonts w:ascii="Times New Roman" w:hAnsi="Times New Roman"/>
                <w:b/>
                <w:sz w:val="18"/>
                <w:szCs w:val="18"/>
              </w:rPr>
              <w:t>Total</w:t>
            </w:r>
          </w:p>
        </w:tc>
        <w:tc>
          <w:tcPr>
            <w:tcW w:w="1130" w:type="dxa"/>
            <w:shd w:val="clear" w:color="auto" w:fill="BDD6EE" w:themeFill="accent1" w:themeFillTint="66"/>
          </w:tcPr>
          <w:p w14:paraId="797A1A34" w14:textId="77777777" w:rsidR="005773EB" w:rsidRPr="00862219" w:rsidRDefault="005773EB" w:rsidP="00520C99">
            <w:pPr>
              <w:spacing w:after="0" w:line="240" w:lineRule="auto"/>
              <w:rPr>
                <w:rFonts w:ascii="Times New Roman" w:hAnsi="Times New Roman"/>
                <w:b/>
                <w:sz w:val="18"/>
                <w:szCs w:val="18"/>
                <w:lang w:val="en-GB"/>
              </w:rPr>
            </w:pPr>
            <w:r>
              <w:rPr>
                <w:rFonts w:ascii="Times New Roman" w:hAnsi="Times New Roman"/>
                <w:b/>
                <w:sz w:val="18"/>
                <w:szCs w:val="18"/>
              </w:rPr>
              <w:t>Dispoponible</w:t>
            </w:r>
          </w:p>
        </w:tc>
        <w:tc>
          <w:tcPr>
            <w:tcW w:w="1293" w:type="dxa"/>
            <w:gridSpan w:val="2"/>
            <w:shd w:val="clear" w:color="auto" w:fill="BDD6EE" w:themeFill="accent1" w:themeFillTint="66"/>
          </w:tcPr>
          <w:p w14:paraId="5C4C2677" w14:textId="77777777" w:rsidR="005773EB" w:rsidRPr="00862219" w:rsidRDefault="005773EB" w:rsidP="00520C99">
            <w:pPr>
              <w:spacing w:after="0" w:line="240" w:lineRule="auto"/>
              <w:rPr>
                <w:rFonts w:ascii="Times New Roman" w:hAnsi="Times New Roman"/>
                <w:b/>
                <w:sz w:val="18"/>
                <w:szCs w:val="18"/>
                <w:lang w:val="en-GB"/>
              </w:rPr>
            </w:pPr>
            <w:r>
              <w:rPr>
                <w:rFonts w:ascii="Times New Roman" w:hAnsi="Times New Roman"/>
                <w:b/>
                <w:sz w:val="18"/>
                <w:szCs w:val="18"/>
              </w:rPr>
              <w:t>A mobiliser</w:t>
            </w:r>
          </w:p>
        </w:tc>
      </w:tr>
      <w:tr w:rsidR="005773EB" w:rsidRPr="00862219" w14:paraId="200F0049" w14:textId="77777777" w:rsidTr="00520C99">
        <w:trPr>
          <w:trHeight w:val="609"/>
        </w:trPr>
        <w:tc>
          <w:tcPr>
            <w:tcW w:w="2769" w:type="dxa"/>
            <w:gridSpan w:val="2"/>
            <w:vMerge w:val="restart"/>
            <w:shd w:val="clear" w:color="auto" w:fill="FFFFFF" w:themeFill="background1"/>
          </w:tcPr>
          <w:p w14:paraId="0CA5319D" w14:textId="77777777" w:rsidR="005773EB" w:rsidRPr="00862219" w:rsidRDefault="005773EB" w:rsidP="00520C99">
            <w:pPr>
              <w:spacing w:after="0" w:line="240" w:lineRule="auto"/>
              <w:jc w:val="both"/>
              <w:rPr>
                <w:rFonts w:ascii="Times New Roman" w:hAnsi="Times New Roman"/>
                <w:b/>
                <w:sz w:val="18"/>
                <w:szCs w:val="18"/>
              </w:rPr>
            </w:pPr>
            <w:r w:rsidRPr="00862219">
              <w:rPr>
                <w:rFonts w:ascii="Times New Roman" w:hAnsi="Times New Roman"/>
                <w:b/>
                <w:sz w:val="18"/>
                <w:szCs w:val="18"/>
              </w:rPr>
              <w:t xml:space="preserve">Effet 1. </w:t>
            </w:r>
            <w:r w:rsidRPr="00862219">
              <w:rPr>
                <w:rFonts w:ascii="Times New Roman" w:hAnsi="Times New Roman"/>
                <w:sz w:val="18"/>
                <w:szCs w:val="18"/>
              </w:rPr>
              <w:t>D’ici 2021, les enfants d’âge préscolaire et scolaire, les jeunes et les adultes non alphabétisés les plus vulnérables des deux sexes incluant les refugiés dans les zones ciblées, utilisent davantage des services de qualité d’éducation, de formation professionnelle et  d’alphabétisation</w:t>
            </w:r>
            <w:r w:rsidRPr="00862219">
              <w:rPr>
                <w:rFonts w:ascii="Times New Roman" w:hAnsi="Times New Roman"/>
                <w:b/>
                <w:sz w:val="18"/>
                <w:szCs w:val="18"/>
              </w:rPr>
              <w:t xml:space="preserve">  </w:t>
            </w:r>
          </w:p>
        </w:tc>
        <w:tc>
          <w:tcPr>
            <w:tcW w:w="3023" w:type="dxa"/>
            <w:gridSpan w:val="4"/>
            <w:shd w:val="clear" w:color="auto" w:fill="FFFFFF" w:themeFill="background1"/>
            <w:vAlign w:val="center"/>
          </w:tcPr>
          <w:p w14:paraId="386CF9BA"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Pr>
                <w:rFonts w:ascii="Times New Roman" w:hAnsi="Times New Roman"/>
                <w:sz w:val="18"/>
              </w:rPr>
              <w:t>Taux brut de scolarisation au préscolaire</w:t>
            </w:r>
          </w:p>
        </w:tc>
        <w:tc>
          <w:tcPr>
            <w:tcW w:w="1125" w:type="dxa"/>
            <w:gridSpan w:val="2"/>
            <w:shd w:val="clear" w:color="auto" w:fill="FFFFFF" w:themeFill="background1"/>
          </w:tcPr>
          <w:p w14:paraId="47B5160F"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2,8% (T)</w:t>
            </w:r>
          </w:p>
          <w:p w14:paraId="091C0DDA"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2,9%(G)</w:t>
            </w:r>
          </w:p>
          <w:p w14:paraId="144C13DA"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2,8%(F)</w:t>
            </w:r>
          </w:p>
        </w:tc>
        <w:tc>
          <w:tcPr>
            <w:tcW w:w="1147" w:type="dxa"/>
            <w:gridSpan w:val="2"/>
            <w:shd w:val="clear" w:color="auto" w:fill="FFFFFF" w:themeFill="background1"/>
          </w:tcPr>
          <w:p w14:paraId="45A259C0"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5% (T)</w:t>
            </w:r>
          </w:p>
          <w:p w14:paraId="005A0680"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5,2%(G)</w:t>
            </w:r>
          </w:p>
          <w:p w14:paraId="18B8179F" w14:textId="77777777" w:rsidR="005773EB" w:rsidRDefault="005773EB" w:rsidP="00520C99">
            <w:pPr>
              <w:numPr>
                <w:ilvl w:val="0"/>
                <w:numId w:val="8"/>
              </w:numPr>
              <w:spacing w:after="0" w:line="240" w:lineRule="auto"/>
              <w:ind w:left="144" w:hanging="144"/>
              <w:rPr>
                <w:rFonts w:ascii="Times New Roman" w:hAnsi="Times New Roman"/>
                <w:sz w:val="18"/>
              </w:rPr>
            </w:pPr>
            <w:r>
              <w:rPr>
                <w:rFonts w:ascii="Times New Roman" w:hAnsi="Times New Roman"/>
                <w:sz w:val="18"/>
                <w:szCs w:val="18"/>
              </w:rPr>
              <w:t>4,8%(F)</w:t>
            </w:r>
          </w:p>
        </w:tc>
        <w:tc>
          <w:tcPr>
            <w:tcW w:w="1701" w:type="dxa"/>
            <w:vMerge w:val="restart"/>
            <w:shd w:val="clear" w:color="auto" w:fill="FFFFFF" w:themeFill="background1"/>
          </w:tcPr>
          <w:p w14:paraId="696EEE4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Annuaires statistiques</w:t>
            </w:r>
          </w:p>
          <w:p w14:paraId="5FB8E960"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Enquêtes ménages</w:t>
            </w:r>
          </w:p>
          <w:p w14:paraId="53DDFF6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Rapports d’évaluation</w:t>
            </w:r>
          </w:p>
          <w:p w14:paraId="069B47F1"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RESEN</w:t>
            </w:r>
          </w:p>
        </w:tc>
        <w:tc>
          <w:tcPr>
            <w:tcW w:w="1434" w:type="dxa"/>
            <w:shd w:val="clear" w:color="auto" w:fill="FFFFFF" w:themeFill="background1"/>
          </w:tcPr>
          <w:p w14:paraId="0E23AD43" w14:textId="77777777" w:rsidR="005773EB" w:rsidRPr="00862219" w:rsidRDefault="005773EB" w:rsidP="00520C99">
            <w:pPr>
              <w:spacing w:after="0" w:line="240" w:lineRule="auto"/>
              <w:rPr>
                <w:rFonts w:ascii="Times New Roman" w:hAnsi="Times New Roman"/>
                <w:sz w:val="18"/>
                <w:szCs w:val="18"/>
              </w:rPr>
            </w:pPr>
          </w:p>
        </w:tc>
        <w:tc>
          <w:tcPr>
            <w:tcW w:w="1134" w:type="dxa"/>
            <w:shd w:val="clear" w:color="auto" w:fill="FFFFFF" w:themeFill="background1"/>
            <w:vAlign w:val="center"/>
          </w:tcPr>
          <w:p w14:paraId="09BAAC79" w14:textId="77777777" w:rsidR="005773EB" w:rsidRPr="005F384E" w:rsidRDefault="005773EB" w:rsidP="00520C99">
            <w:pPr>
              <w:rPr>
                <w:rFonts w:ascii="Times New Roman" w:hAnsi="Times New Roman" w:cs="Times New Roman"/>
                <w:b/>
                <w:color w:val="FF0000"/>
                <w:sz w:val="18"/>
              </w:rPr>
            </w:pPr>
          </w:p>
        </w:tc>
        <w:tc>
          <w:tcPr>
            <w:tcW w:w="1130" w:type="dxa"/>
            <w:shd w:val="clear" w:color="auto" w:fill="FFFFFF" w:themeFill="background1"/>
            <w:vAlign w:val="center"/>
          </w:tcPr>
          <w:p w14:paraId="59775C39" w14:textId="77777777" w:rsidR="005773EB" w:rsidRPr="005F384E" w:rsidRDefault="005773EB" w:rsidP="00520C99">
            <w:pPr>
              <w:rPr>
                <w:rFonts w:ascii="Times New Roman" w:hAnsi="Times New Roman" w:cs="Times New Roman"/>
                <w:b/>
                <w:color w:val="FF0000"/>
                <w:sz w:val="18"/>
              </w:rPr>
            </w:pPr>
          </w:p>
        </w:tc>
        <w:tc>
          <w:tcPr>
            <w:tcW w:w="1293" w:type="dxa"/>
            <w:gridSpan w:val="2"/>
            <w:shd w:val="clear" w:color="auto" w:fill="FFFFFF" w:themeFill="background1"/>
            <w:vAlign w:val="center"/>
          </w:tcPr>
          <w:p w14:paraId="5319CE5F" w14:textId="77777777" w:rsidR="005773EB" w:rsidRPr="005F384E" w:rsidRDefault="005773EB" w:rsidP="00520C99">
            <w:pPr>
              <w:rPr>
                <w:rFonts w:ascii="Times New Roman" w:hAnsi="Times New Roman" w:cs="Times New Roman"/>
                <w:b/>
                <w:color w:val="FF0000"/>
                <w:sz w:val="18"/>
              </w:rPr>
            </w:pPr>
          </w:p>
        </w:tc>
      </w:tr>
      <w:tr w:rsidR="005773EB" w:rsidRPr="00862219" w14:paraId="77606DBB" w14:textId="77777777" w:rsidTr="00520C99">
        <w:trPr>
          <w:trHeight w:val="609"/>
        </w:trPr>
        <w:tc>
          <w:tcPr>
            <w:tcW w:w="2769" w:type="dxa"/>
            <w:gridSpan w:val="2"/>
            <w:vMerge/>
            <w:shd w:val="clear" w:color="auto" w:fill="FFFFFF" w:themeFill="background1"/>
          </w:tcPr>
          <w:p w14:paraId="7A8AA7F7" w14:textId="77777777" w:rsidR="005773EB" w:rsidRPr="00862219" w:rsidRDefault="005773EB" w:rsidP="00520C99">
            <w:pPr>
              <w:spacing w:after="0" w:line="240" w:lineRule="auto"/>
              <w:jc w:val="both"/>
              <w:rPr>
                <w:rFonts w:ascii="Times New Roman" w:hAnsi="Times New Roman"/>
                <w:sz w:val="18"/>
                <w:szCs w:val="18"/>
              </w:rPr>
            </w:pPr>
          </w:p>
        </w:tc>
        <w:tc>
          <w:tcPr>
            <w:tcW w:w="3023" w:type="dxa"/>
            <w:gridSpan w:val="4"/>
            <w:shd w:val="clear" w:color="auto" w:fill="FFFFFF" w:themeFill="background1"/>
            <w:vAlign w:val="center"/>
          </w:tcPr>
          <w:p w14:paraId="345A9875"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rPr>
              <w:t xml:space="preserve"> Taux de rétention au primaire</w:t>
            </w:r>
          </w:p>
          <w:p w14:paraId="12977F5F" w14:textId="77777777" w:rsidR="005773EB" w:rsidRPr="00862219" w:rsidRDefault="005773EB" w:rsidP="00520C99">
            <w:pPr>
              <w:spacing w:after="0" w:line="240" w:lineRule="auto"/>
              <w:rPr>
                <w:rFonts w:ascii="Times New Roman" w:hAnsi="Times New Roman"/>
                <w:sz w:val="18"/>
                <w:szCs w:val="18"/>
              </w:rPr>
            </w:pPr>
            <w:r w:rsidRPr="00862219">
              <w:rPr>
                <w:rFonts w:ascii="Times New Roman" w:hAnsi="Times New Roman"/>
                <w:sz w:val="18"/>
              </w:rPr>
              <w:t xml:space="preserve"> </w:t>
            </w:r>
          </w:p>
        </w:tc>
        <w:tc>
          <w:tcPr>
            <w:tcW w:w="1125" w:type="dxa"/>
            <w:gridSpan w:val="2"/>
            <w:shd w:val="clear" w:color="auto" w:fill="FFFFFF" w:themeFill="background1"/>
          </w:tcPr>
          <w:p w14:paraId="58FE223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rPr>
              <w:t xml:space="preserve">41% </w:t>
            </w:r>
            <w:r>
              <w:rPr>
                <w:rFonts w:ascii="Times New Roman" w:hAnsi="Times New Roman"/>
                <w:sz w:val="18"/>
              </w:rPr>
              <w:t>(</w:t>
            </w:r>
            <w:r w:rsidRPr="00862219">
              <w:rPr>
                <w:rFonts w:ascii="Times New Roman" w:hAnsi="Times New Roman"/>
                <w:sz w:val="18"/>
              </w:rPr>
              <w:t>G</w:t>
            </w:r>
            <w:r>
              <w:rPr>
                <w:rFonts w:ascii="Times New Roman" w:hAnsi="Times New Roman"/>
                <w:sz w:val="18"/>
              </w:rPr>
              <w:t>)</w:t>
            </w:r>
          </w:p>
          <w:p w14:paraId="2872CB5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rPr>
              <w:t>30%</w:t>
            </w:r>
            <w:r>
              <w:rPr>
                <w:rFonts w:ascii="Times New Roman" w:hAnsi="Times New Roman"/>
                <w:sz w:val="18"/>
              </w:rPr>
              <w:t xml:space="preserve"> (</w:t>
            </w:r>
            <w:r w:rsidRPr="00862219">
              <w:rPr>
                <w:rFonts w:ascii="Times New Roman" w:hAnsi="Times New Roman"/>
                <w:sz w:val="18"/>
              </w:rPr>
              <w:t xml:space="preserve"> F</w:t>
            </w:r>
            <w:r>
              <w:rPr>
                <w:rFonts w:ascii="Times New Roman" w:hAnsi="Times New Roman"/>
                <w:sz w:val="18"/>
              </w:rPr>
              <w:t>)</w:t>
            </w:r>
          </w:p>
        </w:tc>
        <w:tc>
          <w:tcPr>
            <w:tcW w:w="1147" w:type="dxa"/>
            <w:gridSpan w:val="2"/>
            <w:shd w:val="clear" w:color="auto" w:fill="FFFFFF" w:themeFill="background1"/>
          </w:tcPr>
          <w:p w14:paraId="56EF3652"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szCs w:val="18"/>
              </w:rPr>
              <w:t>60%</w:t>
            </w:r>
            <w:r>
              <w:rPr>
                <w:rFonts w:ascii="Times New Roman" w:hAnsi="Times New Roman"/>
                <w:sz w:val="18"/>
              </w:rPr>
              <w:t>(</w:t>
            </w:r>
            <w:r w:rsidRPr="00862219">
              <w:rPr>
                <w:rFonts w:ascii="Times New Roman" w:hAnsi="Times New Roman"/>
                <w:sz w:val="18"/>
              </w:rPr>
              <w:t>G</w:t>
            </w:r>
            <w:r>
              <w:rPr>
                <w:rFonts w:ascii="Times New Roman" w:hAnsi="Times New Roman"/>
                <w:sz w:val="18"/>
              </w:rPr>
              <w:t>)</w:t>
            </w:r>
          </w:p>
          <w:p w14:paraId="3203DBB4"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60%</w:t>
            </w:r>
            <w:r>
              <w:rPr>
                <w:rFonts w:ascii="Times New Roman" w:hAnsi="Times New Roman"/>
                <w:sz w:val="18"/>
                <w:szCs w:val="18"/>
              </w:rPr>
              <w:t>(</w:t>
            </w:r>
            <w:r w:rsidRPr="00862219">
              <w:rPr>
                <w:rFonts w:ascii="Times New Roman" w:hAnsi="Times New Roman"/>
                <w:sz w:val="18"/>
                <w:szCs w:val="18"/>
              </w:rPr>
              <w:t xml:space="preserve"> F</w:t>
            </w:r>
            <w:r>
              <w:rPr>
                <w:rFonts w:ascii="Times New Roman" w:hAnsi="Times New Roman"/>
                <w:sz w:val="18"/>
                <w:szCs w:val="18"/>
              </w:rPr>
              <w:t>)</w:t>
            </w:r>
          </w:p>
        </w:tc>
        <w:tc>
          <w:tcPr>
            <w:tcW w:w="1701" w:type="dxa"/>
            <w:vMerge/>
            <w:shd w:val="clear" w:color="auto" w:fill="FFFFFF" w:themeFill="background1"/>
          </w:tcPr>
          <w:p w14:paraId="59106227"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p>
        </w:tc>
        <w:tc>
          <w:tcPr>
            <w:tcW w:w="1434" w:type="dxa"/>
            <w:vMerge w:val="restart"/>
            <w:shd w:val="clear" w:color="auto" w:fill="FFFFFF" w:themeFill="background1"/>
          </w:tcPr>
          <w:p w14:paraId="6492633C" w14:textId="77777777" w:rsidR="005773EB" w:rsidRPr="00862219" w:rsidRDefault="005773EB" w:rsidP="00520C99">
            <w:pPr>
              <w:spacing w:after="0" w:line="240" w:lineRule="auto"/>
              <w:rPr>
                <w:rFonts w:ascii="Times New Roman" w:hAnsi="Times New Roman"/>
                <w:sz w:val="18"/>
                <w:szCs w:val="18"/>
              </w:rPr>
            </w:pPr>
          </w:p>
        </w:tc>
        <w:tc>
          <w:tcPr>
            <w:tcW w:w="1134" w:type="dxa"/>
            <w:vMerge w:val="restart"/>
            <w:shd w:val="clear" w:color="auto" w:fill="FFFFFF" w:themeFill="background1"/>
            <w:vAlign w:val="center"/>
          </w:tcPr>
          <w:p w14:paraId="5EF5D24E" w14:textId="77777777" w:rsidR="005773EB" w:rsidRPr="005F384E" w:rsidRDefault="005773EB" w:rsidP="00520C99">
            <w:pPr>
              <w:rPr>
                <w:rFonts w:ascii="Times New Roman" w:hAnsi="Times New Roman" w:cs="Times New Roman"/>
                <w:b/>
                <w:noProof w:val="0"/>
                <w:color w:val="FF0000"/>
                <w:sz w:val="18"/>
              </w:rPr>
            </w:pPr>
            <w:r w:rsidRPr="005F384E">
              <w:rPr>
                <w:rFonts w:ascii="Times New Roman" w:hAnsi="Times New Roman" w:cs="Times New Roman"/>
                <w:b/>
                <w:color w:val="FF0000"/>
                <w:sz w:val="18"/>
              </w:rPr>
              <w:t>119 909 439</w:t>
            </w:r>
          </w:p>
          <w:p w14:paraId="1791EE8D" w14:textId="77777777" w:rsidR="005773EB" w:rsidRPr="005F384E" w:rsidRDefault="005773EB" w:rsidP="00520C99">
            <w:pPr>
              <w:spacing w:after="0" w:line="240" w:lineRule="auto"/>
              <w:rPr>
                <w:rFonts w:ascii="Times New Roman" w:hAnsi="Times New Roman" w:cs="Times New Roman"/>
                <w:b/>
                <w:color w:val="FF0000"/>
                <w:sz w:val="18"/>
                <w:szCs w:val="18"/>
              </w:rPr>
            </w:pPr>
          </w:p>
        </w:tc>
        <w:tc>
          <w:tcPr>
            <w:tcW w:w="1130" w:type="dxa"/>
            <w:vMerge w:val="restart"/>
            <w:shd w:val="clear" w:color="auto" w:fill="FFFFFF" w:themeFill="background1"/>
            <w:vAlign w:val="center"/>
          </w:tcPr>
          <w:p w14:paraId="5479667F" w14:textId="77777777" w:rsidR="005773EB" w:rsidRPr="005F384E" w:rsidRDefault="005773EB" w:rsidP="00520C99">
            <w:pPr>
              <w:rPr>
                <w:rFonts w:ascii="Times New Roman" w:hAnsi="Times New Roman" w:cs="Times New Roman"/>
                <w:b/>
                <w:noProof w:val="0"/>
                <w:color w:val="FF0000"/>
                <w:sz w:val="18"/>
              </w:rPr>
            </w:pPr>
            <w:r w:rsidRPr="005F384E">
              <w:rPr>
                <w:rFonts w:ascii="Times New Roman" w:hAnsi="Times New Roman" w:cs="Times New Roman"/>
                <w:b/>
                <w:color w:val="FF0000"/>
                <w:sz w:val="18"/>
              </w:rPr>
              <w:t>9 902 746</w:t>
            </w:r>
          </w:p>
          <w:p w14:paraId="505DF6B8" w14:textId="77777777" w:rsidR="005773EB" w:rsidRPr="005F384E" w:rsidRDefault="005773EB" w:rsidP="00520C99">
            <w:pPr>
              <w:spacing w:after="0" w:line="240" w:lineRule="auto"/>
              <w:rPr>
                <w:rFonts w:ascii="Times New Roman" w:hAnsi="Times New Roman" w:cs="Times New Roman"/>
                <w:b/>
                <w:color w:val="FF0000"/>
                <w:sz w:val="18"/>
                <w:szCs w:val="18"/>
              </w:rPr>
            </w:pPr>
          </w:p>
        </w:tc>
        <w:tc>
          <w:tcPr>
            <w:tcW w:w="1293" w:type="dxa"/>
            <w:gridSpan w:val="2"/>
            <w:vMerge w:val="restart"/>
            <w:shd w:val="clear" w:color="auto" w:fill="FFFFFF" w:themeFill="background1"/>
            <w:vAlign w:val="center"/>
          </w:tcPr>
          <w:p w14:paraId="3FCECFDA" w14:textId="77777777" w:rsidR="005773EB" w:rsidRPr="005F384E" w:rsidRDefault="005773EB" w:rsidP="00520C99">
            <w:pPr>
              <w:rPr>
                <w:rFonts w:ascii="Times New Roman" w:hAnsi="Times New Roman" w:cs="Times New Roman"/>
                <w:b/>
                <w:noProof w:val="0"/>
                <w:color w:val="FF0000"/>
                <w:sz w:val="18"/>
              </w:rPr>
            </w:pPr>
            <w:r w:rsidRPr="005F384E">
              <w:rPr>
                <w:rFonts w:ascii="Times New Roman" w:hAnsi="Times New Roman" w:cs="Times New Roman"/>
                <w:b/>
                <w:color w:val="FF0000"/>
                <w:sz w:val="18"/>
              </w:rPr>
              <w:t>110 006 693</w:t>
            </w:r>
          </w:p>
          <w:p w14:paraId="7C08C452" w14:textId="77777777" w:rsidR="005773EB" w:rsidRPr="005F384E" w:rsidRDefault="005773EB" w:rsidP="00520C99">
            <w:pPr>
              <w:spacing w:after="0" w:line="240" w:lineRule="auto"/>
              <w:rPr>
                <w:rFonts w:ascii="Times New Roman" w:hAnsi="Times New Roman" w:cs="Times New Roman"/>
                <w:b/>
                <w:color w:val="FF0000"/>
                <w:sz w:val="18"/>
                <w:szCs w:val="18"/>
              </w:rPr>
            </w:pPr>
          </w:p>
        </w:tc>
      </w:tr>
      <w:tr w:rsidR="005773EB" w:rsidRPr="00862219" w14:paraId="624E32F0" w14:textId="77777777" w:rsidTr="00520C99">
        <w:trPr>
          <w:trHeight w:val="608"/>
        </w:trPr>
        <w:tc>
          <w:tcPr>
            <w:tcW w:w="2769" w:type="dxa"/>
            <w:gridSpan w:val="2"/>
            <w:vMerge/>
            <w:shd w:val="clear" w:color="auto" w:fill="FFFFFF" w:themeFill="background1"/>
          </w:tcPr>
          <w:p w14:paraId="495E8729"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vAlign w:val="center"/>
          </w:tcPr>
          <w:p w14:paraId="4A73FCD8"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rPr>
              <w:t>Taux Net de Scolarisation au primaire (Parité)</w:t>
            </w:r>
          </w:p>
        </w:tc>
        <w:tc>
          <w:tcPr>
            <w:tcW w:w="1125" w:type="dxa"/>
            <w:gridSpan w:val="2"/>
            <w:shd w:val="clear" w:color="auto" w:fill="FFFFFF" w:themeFill="background1"/>
          </w:tcPr>
          <w:p w14:paraId="5EB7D936" w14:textId="77777777" w:rsidR="005773EB" w:rsidRPr="00ED5417"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szCs w:val="18"/>
              </w:rPr>
              <w:t>55%</w:t>
            </w:r>
            <w:r>
              <w:rPr>
                <w:rFonts w:ascii="Times New Roman" w:hAnsi="Times New Roman"/>
                <w:sz w:val="18"/>
                <w:szCs w:val="18"/>
              </w:rPr>
              <w:t xml:space="preserve"> (T)</w:t>
            </w:r>
            <w:r w:rsidRPr="00862219">
              <w:rPr>
                <w:rFonts w:ascii="Times New Roman" w:hAnsi="Times New Roman"/>
                <w:sz w:val="18"/>
                <w:szCs w:val="18"/>
              </w:rPr>
              <w:t xml:space="preserve">- </w:t>
            </w:r>
          </w:p>
          <w:p w14:paraId="4E14D84A" w14:textId="77777777" w:rsidR="005773EB" w:rsidRPr="00ED5417" w:rsidRDefault="005773EB" w:rsidP="00520C99">
            <w:pPr>
              <w:numPr>
                <w:ilvl w:val="0"/>
                <w:numId w:val="8"/>
              </w:numPr>
              <w:spacing w:after="0" w:line="240" w:lineRule="auto"/>
              <w:ind w:left="144" w:hanging="144"/>
              <w:rPr>
                <w:rFonts w:ascii="Times New Roman" w:hAnsi="Times New Roman"/>
                <w:sz w:val="18"/>
              </w:rPr>
            </w:pPr>
            <w:r>
              <w:rPr>
                <w:rFonts w:ascii="Times New Roman" w:hAnsi="Times New Roman"/>
                <w:sz w:val="18"/>
                <w:szCs w:val="18"/>
              </w:rPr>
              <w:t>X%(G)</w:t>
            </w:r>
          </w:p>
          <w:p w14:paraId="10BA6966"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Pr>
                <w:rFonts w:ascii="Times New Roman" w:hAnsi="Times New Roman"/>
                <w:sz w:val="18"/>
                <w:szCs w:val="18"/>
              </w:rPr>
              <w:t>Y%(F)</w:t>
            </w:r>
          </w:p>
        </w:tc>
        <w:tc>
          <w:tcPr>
            <w:tcW w:w="1147" w:type="dxa"/>
            <w:gridSpan w:val="2"/>
            <w:shd w:val="clear" w:color="auto" w:fill="FFFFFF" w:themeFill="background1"/>
          </w:tcPr>
          <w:p w14:paraId="5A6A31B7" w14:textId="77777777" w:rsidR="005773EB"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70%</w:t>
            </w:r>
            <w:r>
              <w:rPr>
                <w:rFonts w:ascii="Times New Roman" w:hAnsi="Times New Roman"/>
                <w:sz w:val="18"/>
                <w:szCs w:val="18"/>
              </w:rPr>
              <w:t xml:space="preserve"> (T)</w:t>
            </w:r>
          </w:p>
          <w:p w14:paraId="37021425"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X’%(G)</w:t>
            </w:r>
          </w:p>
          <w:p w14:paraId="65CBA10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Y’%’(F)</w:t>
            </w:r>
          </w:p>
        </w:tc>
        <w:tc>
          <w:tcPr>
            <w:tcW w:w="1701" w:type="dxa"/>
            <w:vMerge/>
            <w:shd w:val="clear" w:color="auto" w:fill="FFFFFF" w:themeFill="background1"/>
          </w:tcPr>
          <w:p w14:paraId="4FEDCF0E"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712D1E6E"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vAlign w:val="center"/>
          </w:tcPr>
          <w:p w14:paraId="6AF553B3"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6098F00A"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663D8CC4"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095530A4" w14:textId="77777777" w:rsidTr="00520C99">
        <w:trPr>
          <w:trHeight w:val="608"/>
        </w:trPr>
        <w:tc>
          <w:tcPr>
            <w:tcW w:w="2769" w:type="dxa"/>
            <w:gridSpan w:val="2"/>
            <w:vMerge/>
            <w:shd w:val="clear" w:color="auto" w:fill="FFFFFF" w:themeFill="background1"/>
          </w:tcPr>
          <w:p w14:paraId="6D050511"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vAlign w:val="center"/>
          </w:tcPr>
          <w:p w14:paraId="74A03BE2"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rPr>
              <w:t>Taux d’achèvement du primaire</w:t>
            </w:r>
          </w:p>
        </w:tc>
        <w:tc>
          <w:tcPr>
            <w:tcW w:w="1125" w:type="dxa"/>
            <w:gridSpan w:val="2"/>
            <w:shd w:val="clear" w:color="auto" w:fill="FFFFFF" w:themeFill="background1"/>
          </w:tcPr>
          <w:p w14:paraId="42263DB8" w14:textId="77777777" w:rsidR="005773EB" w:rsidRPr="00AD3A1F" w:rsidRDefault="005773EB" w:rsidP="00520C99">
            <w:pPr>
              <w:numPr>
                <w:ilvl w:val="0"/>
                <w:numId w:val="8"/>
              </w:numPr>
              <w:spacing w:after="0" w:line="240" w:lineRule="auto"/>
              <w:ind w:left="144" w:hanging="144"/>
              <w:rPr>
                <w:rFonts w:ascii="Times New Roman" w:hAnsi="Times New Roman"/>
                <w:sz w:val="18"/>
                <w:lang w:val="en-GB"/>
              </w:rPr>
            </w:pPr>
            <w:r w:rsidRPr="00862219">
              <w:rPr>
                <w:rFonts w:ascii="Times New Roman" w:hAnsi="Times New Roman"/>
                <w:sz w:val="18"/>
                <w:szCs w:val="18"/>
              </w:rPr>
              <w:t>46%</w:t>
            </w:r>
            <w:r>
              <w:rPr>
                <w:rFonts w:ascii="Times New Roman" w:hAnsi="Times New Roman"/>
                <w:sz w:val="18"/>
                <w:szCs w:val="18"/>
              </w:rPr>
              <w:t xml:space="preserve"> (T)</w:t>
            </w:r>
          </w:p>
          <w:p w14:paraId="501A95FB" w14:textId="77777777" w:rsidR="005773EB" w:rsidRPr="00ED5417" w:rsidRDefault="005773EB" w:rsidP="00520C99">
            <w:pPr>
              <w:numPr>
                <w:ilvl w:val="0"/>
                <w:numId w:val="8"/>
              </w:numPr>
              <w:spacing w:after="0" w:line="240" w:lineRule="auto"/>
              <w:ind w:left="144" w:hanging="144"/>
              <w:rPr>
                <w:rFonts w:ascii="Times New Roman" w:hAnsi="Times New Roman"/>
                <w:sz w:val="18"/>
              </w:rPr>
            </w:pPr>
            <w:r>
              <w:rPr>
                <w:rFonts w:ascii="Times New Roman" w:hAnsi="Times New Roman"/>
                <w:sz w:val="18"/>
                <w:szCs w:val="18"/>
              </w:rPr>
              <w:t>X%(G)</w:t>
            </w:r>
          </w:p>
          <w:p w14:paraId="26F8ABBB" w14:textId="77777777" w:rsidR="005773EB" w:rsidRPr="00862219" w:rsidRDefault="005773EB" w:rsidP="00520C99">
            <w:pPr>
              <w:numPr>
                <w:ilvl w:val="0"/>
                <w:numId w:val="8"/>
              </w:numPr>
              <w:spacing w:after="0" w:line="240" w:lineRule="auto"/>
              <w:ind w:left="144" w:hanging="144"/>
              <w:rPr>
                <w:rFonts w:ascii="Times New Roman" w:hAnsi="Times New Roman"/>
                <w:sz w:val="18"/>
                <w:lang w:val="en-GB"/>
              </w:rPr>
            </w:pPr>
            <w:r>
              <w:rPr>
                <w:rFonts w:ascii="Times New Roman" w:hAnsi="Times New Roman"/>
                <w:sz w:val="18"/>
                <w:szCs w:val="18"/>
              </w:rPr>
              <w:t>Y%(F)</w:t>
            </w:r>
          </w:p>
        </w:tc>
        <w:tc>
          <w:tcPr>
            <w:tcW w:w="1147" w:type="dxa"/>
            <w:gridSpan w:val="2"/>
            <w:shd w:val="clear" w:color="auto" w:fill="FFFFFF" w:themeFill="background1"/>
          </w:tcPr>
          <w:p w14:paraId="2CE0EDD7" w14:textId="77777777" w:rsidR="005773EB" w:rsidRPr="00AD3A1F"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rPr>
              <w:t>51%</w:t>
            </w:r>
            <w:r>
              <w:rPr>
                <w:rFonts w:ascii="Times New Roman" w:hAnsi="Times New Roman"/>
                <w:sz w:val="18"/>
                <w:szCs w:val="18"/>
              </w:rPr>
              <w:t xml:space="preserve"> (T)</w:t>
            </w:r>
          </w:p>
          <w:p w14:paraId="4C1120D4"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X’%(G)</w:t>
            </w:r>
          </w:p>
          <w:p w14:paraId="4825490B"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Pr>
                <w:rFonts w:ascii="Times New Roman" w:hAnsi="Times New Roman"/>
                <w:sz w:val="18"/>
                <w:szCs w:val="18"/>
              </w:rPr>
              <w:t>Y’%’(F)</w:t>
            </w:r>
          </w:p>
        </w:tc>
        <w:tc>
          <w:tcPr>
            <w:tcW w:w="1701" w:type="dxa"/>
            <w:vMerge/>
            <w:shd w:val="clear" w:color="auto" w:fill="FFFFFF" w:themeFill="background1"/>
          </w:tcPr>
          <w:p w14:paraId="597017A4"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3C47D6F4" w14:textId="77777777" w:rsidR="005773EB" w:rsidRPr="00862219" w:rsidRDefault="005773EB" w:rsidP="00520C99">
            <w:pPr>
              <w:spacing w:after="0" w:line="240" w:lineRule="auto"/>
              <w:rPr>
                <w:rFonts w:ascii="Times New Roman" w:hAnsi="Times New Roman"/>
                <w:b/>
                <w:sz w:val="18"/>
                <w:szCs w:val="18"/>
                <w:u w:val="single"/>
                <w:lang w:val="en-GB"/>
              </w:rPr>
            </w:pPr>
          </w:p>
        </w:tc>
        <w:tc>
          <w:tcPr>
            <w:tcW w:w="1134" w:type="dxa"/>
            <w:vMerge/>
            <w:shd w:val="clear" w:color="auto" w:fill="FFFFFF" w:themeFill="background1"/>
            <w:vAlign w:val="center"/>
          </w:tcPr>
          <w:p w14:paraId="2B0E2975"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595926AC"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4C2D8507"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5F2BBE22" w14:textId="77777777" w:rsidTr="00520C99">
        <w:trPr>
          <w:trHeight w:val="608"/>
        </w:trPr>
        <w:tc>
          <w:tcPr>
            <w:tcW w:w="2769" w:type="dxa"/>
            <w:gridSpan w:val="2"/>
            <w:vMerge/>
            <w:shd w:val="clear" w:color="auto" w:fill="FFFFFF" w:themeFill="background1"/>
          </w:tcPr>
          <w:p w14:paraId="2437C7EA"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vAlign w:val="center"/>
          </w:tcPr>
          <w:p w14:paraId="0AFD28AA"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rPr>
              <w:t xml:space="preserve">Taux d'alphabétisation des adultes </w:t>
            </w:r>
          </w:p>
        </w:tc>
        <w:tc>
          <w:tcPr>
            <w:tcW w:w="1125" w:type="dxa"/>
            <w:gridSpan w:val="2"/>
            <w:shd w:val="clear" w:color="auto" w:fill="FFFFFF" w:themeFill="background1"/>
          </w:tcPr>
          <w:p w14:paraId="2D0DAE44" w14:textId="77777777" w:rsidR="005773EB"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23%</w:t>
            </w:r>
          </w:p>
          <w:p w14:paraId="00E33C80"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X%(H)</w:t>
            </w:r>
          </w:p>
          <w:p w14:paraId="2894AD27"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Y’%’(F)</w:t>
            </w:r>
          </w:p>
        </w:tc>
        <w:tc>
          <w:tcPr>
            <w:tcW w:w="1147" w:type="dxa"/>
            <w:gridSpan w:val="2"/>
            <w:shd w:val="clear" w:color="auto" w:fill="FFFFFF" w:themeFill="background1"/>
          </w:tcPr>
          <w:p w14:paraId="6AC382EA" w14:textId="77777777" w:rsidR="005773EB"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26%</w:t>
            </w:r>
          </w:p>
          <w:p w14:paraId="698236DD"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X’%(H)</w:t>
            </w:r>
          </w:p>
          <w:p w14:paraId="437FBB5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Y’%’(F)</w:t>
            </w:r>
          </w:p>
        </w:tc>
        <w:tc>
          <w:tcPr>
            <w:tcW w:w="1701" w:type="dxa"/>
            <w:vMerge/>
            <w:shd w:val="clear" w:color="auto" w:fill="FFFFFF" w:themeFill="background1"/>
          </w:tcPr>
          <w:p w14:paraId="1643BB06"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3F6A9FA9" w14:textId="77777777" w:rsidR="005773EB" w:rsidRPr="00862219" w:rsidRDefault="005773EB" w:rsidP="00520C99">
            <w:pPr>
              <w:spacing w:after="0" w:line="240" w:lineRule="auto"/>
              <w:rPr>
                <w:rFonts w:ascii="Times New Roman" w:hAnsi="Times New Roman"/>
                <w:b/>
                <w:sz w:val="18"/>
                <w:szCs w:val="18"/>
                <w:u w:val="single"/>
                <w:lang w:val="en-GB"/>
              </w:rPr>
            </w:pPr>
          </w:p>
        </w:tc>
        <w:tc>
          <w:tcPr>
            <w:tcW w:w="1134" w:type="dxa"/>
            <w:vMerge/>
            <w:shd w:val="clear" w:color="auto" w:fill="FFFFFF" w:themeFill="background1"/>
            <w:vAlign w:val="center"/>
          </w:tcPr>
          <w:p w14:paraId="787BDEFF"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4326DD37"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45015521"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63CFBA35" w14:textId="77777777" w:rsidTr="00520C99">
        <w:trPr>
          <w:trHeight w:val="608"/>
        </w:trPr>
        <w:tc>
          <w:tcPr>
            <w:tcW w:w="2769" w:type="dxa"/>
            <w:gridSpan w:val="2"/>
            <w:vMerge/>
            <w:shd w:val="clear" w:color="auto" w:fill="FFFFFF" w:themeFill="background1"/>
          </w:tcPr>
          <w:p w14:paraId="2C2A14D1"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vAlign w:val="center"/>
          </w:tcPr>
          <w:p w14:paraId="656D5011"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rPr>
              <w:t>Ratio d’eleves inscrits dans l’enseignement technique en rapport a ceux inscrits dans l’enseignement secondaire</w:t>
            </w:r>
          </w:p>
        </w:tc>
        <w:tc>
          <w:tcPr>
            <w:tcW w:w="1125" w:type="dxa"/>
            <w:gridSpan w:val="2"/>
            <w:shd w:val="clear" w:color="auto" w:fill="FFFFFF" w:themeFill="background1"/>
          </w:tcPr>
          <w:p w14:paraId="2DA59A9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2</w:t>
            </w:r>
          </w:p>
        </w:tc>
        <w:tc>
          <w:tcPr>
            <w:tcW w:w="1147" w:type="dxa"/>
            <w:gridSpan w:val="2"/>
            <w:shd w:val="clear" w:color="auto" w:fill="FFFFFF" w:themeFill="background1"/>
          </w:tcPr>
          <w:p w14:paraId="45280A04"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1</w:t>
            </w:r>
          </w:p>
        </w:tc>
        <w:tc>
          <w:tcPr>
            <w:tcW w:w="1701" w:type="dxa"/>
            <w:vMerge/>
            <w:shd w:val="clear" w:color="auto" w:fill="FFFFFF" w:themeFill="background1"/>
          </w:tcPr>
          <w:p w14:paraId="2C1504A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3D608CA1"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vAlign w:val="center"/>
          </w:tcPr>
          <w:p w14:paraId="3BFFD009"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5FDCB10D"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30811A03"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58C19D11" w14:textId="77777777" w:rsidTr="00520C99">
        <w:trPr>
          <w:trHeight w:val="608"/>
        </w:trPr>
        <w:tc>
          <w:tcPr>
            <w:tcW w:w="2769" w:type="dxa"/>
            <w:gridSpan w:val="2"/>
            <w:vMerge/>
            <w:shd w:val="clear" w:color="auto" w:fill="FFFFFF" w:themeFill="background1"/>
          </w:tcPr>
          <w:p w14:paraId="33276A48"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vAlign w:val="center"/>
          </w:tcPr>
          <w:p w14:paraId="0A251CA2"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szCs w:val="18"/>
              </w:rPr>
              <w:t xml:space="preserve">Pourcentage d’enfants scolarisés en situation humanitaire </w:t>
            </w:r>
          </w:p>
        </w:tc>
        <w:tc>
          <w:tcPr>
            <w:tcW w:w="1125" w:type="dxa"/>
            <w:gridSpan w:val="2"/>
            <w:shd w:val="clear" w:color="auto" w:fill="FFFFFF" w:themeFill="background1"/>
          </w:tcPr>
          <w:p w14:paraId="4CC8297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57%</w:t>
            </w:r>
          </w:p>
        </w:tc>
        <w:tc>
          <w:tcPr>
            <w:tcW w:w="1147" w:type="dxa"/>
            <w:gridSpan w:val="2"/>
            <w:shd w:val="clear" w:color="auto" w:fill="FFFFFF" w:themeFill="background1"/>
          </w:tcPr>
          <w:p w14:paraId="35EBF0C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100</w:t>
            </w:r>
            <w:r w:rsidRPr="00862219">
              <w:rPr>
                <w:rFonts w:ascii="Times New Roman" w:hAnsi="Times New Roman"/>
                <w:sz w:val="18"/>
                <w:szCs w:val="18"/>
              </w:rPr>
              <w:t>%</w:t>
            </w:r>
          </w:p>
        </w:tc>
        <w:tc>
          <w:tcPr>
            <w:tcW w:w="1701" w:type="dxa"/>
            <w:vMerge/>
            <w:shd w:val="clear" w:color="auto" w:fill="FFFFFF" w:themeFill="background1"/>
          </w:tcPr>
          <w:p w14:paraId="3780083C"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45C8C3C2"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vAlign w:val="center"/>
          </w:tcPr>
          <w:p w14:paraId="420ABAC6"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30AC1AD8"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558E8CEF"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35D499B4" w14:textId="77777777" w:rsidTr="00520C99">
        <w:trPr>
          <w:trHeight w:val="531"/>
        </w:trPr>
        <w:tc>
          <w:tcPr>
            <w:tcW w:w="2769" w:type="dxa"/>
            <w:gridSpan w:val="2"/>
            <w:vMerge/>
            <w:shd w:val="clear" w:color="auto" w:fill="FFFFFF" w:themeFill="background1"/>
          </w:tcPr>
          <w:p w14:paraId="16B372C4" w14:textId="77777777" w:rsidR="005773EB" w:rsidRPr="00862219" w:rsidRDefault="005773EB" w:rsidP="00520C99">
            <w:pPr>
              <w:spacing w:after="0" w:line="240" w:lineRule="auto"/>
              <w:rPr>
                <w:rFonts w:ascii="Times New Roman" w:hAnsi="Times New Roman"/>
                <w:b/>
                <w:sz w:val="18"/>
                <w:szCs w:val="18"/>
              </w:rPr>
            </w:pPr>
          </w:p>
        </w:tc>
        <w:tc>
          <w:tcPr>
            <w:tcW w:w="3023" w:type="dxa"/>
            <w:gridSpan w:val="4"/>
            <w:shd w:val="clear" w:color="auto" w:fill="FFFFFF" w:themeFill="background1"/>
          </w:tcPr>
          <w:p w14:paraId="7D4677A8" w14:textId="77777777" w:rsidR="005773EB" w:rsidRPr="00862219" w:rsidRDefault="005773EB" w:rsidP="00520C99">
            <w:pPr>
              <w:numPr>
                <w:ilvl w:val="0"/>
                <w:numId w:val="8"/>
              </w:numPr>
              <w:spacing w:after="0" w:line="240" w:lineRule="auto"/>
              <w:ind w:left="144" w:hanging="144"/>
              <w:rPr>
                <w:rFonts w:ascii="Times New Roman" w:hAnsi="Times New Roman"/>
                <w:sz w:val="18"/>
              </w:rPr>
            </w:pPr>
            <w:r w:rsidRPr="00862219">
              <w:rPr>
                <w:rFonts w:ascii="Times New Roman" w:hAnsi="Times New Roman"/>
                <w:sz w:val="18"/>
              </w:rPr>
              <w:t>Proportion d’écoles en zone d’insécurité alimentaire bénéficiant d’un programme d’alimentation scolaire</w:t>
            </w:r>
          </w:p>
        </w:tc>
        <w:tc>
          <w:tcPr>
            <w:tcW w:w="1125" w:type="dxa"/>
            <w:gridSpan w:val="2"/>
            <w:shd w:val="clear" w:color="auto" w:fill="FFFFFF" w:themeFill="background1"/>
          </w:tcPr>
          <w:p w14:paraId="1369598D" w14:textId="77777777" w:rsidR="005773EB" w:rsidRPr="00862219" w:rsidRDefault="005773EB" w:rsidP="00520C99">
            <w:pPr>
              <w:spacing w:after="0" w:line="240" w:lineRule="auto"/>
              <w:rPr>
                <w:rFonts w:ascii="Times New Roman" w:hAnsi="Times New Roman"/>
                <w:sz w:val="18"/>
                <w:szCs w:val="18"/>
                <w:lang w:val="en-GB"/>
              </w:rPr>
            </w:pPr>
            <w:r w:rsidRPr="00862219">
              <w:rPr>
                <w:rFonts w:ascii="Times New Roman" w:hAnsi="Times New Roman"/>
                <w:sz w:val="18"/>
                <w:szCs w:val="18"/>
                <w:lang w:val="en-GB"/>
              </w:rPr>
              <w:t>13%</w:t>
            </w:r>
          </w:p>
        </w:tc>
        <w:tc>
          <w:tcPr>
            <w:tcW w:w="1147" w:type="dxa"/>
            <w:gridSpan w:val="2"/>
            <w:shd w:val="clear" w:color="auto" w:fill="FFFFFF" w:themeFill="background1"/>
          </w:tcPr>
          <w:p w14:paraId="4B9D30E4" w14:textId="77777777" w:rsidR="005773EB" w:rsidRPr="00862219" w:rsidRDefault="005773EB" w:rsidP="00520C99">
            <w:pPr>
              <w:spacing w:after="0" w:line="240" w:lineRule="auto"/>
              <w:rPr>
                <w:rFonts w:ascii="Times New Roman" w:hAnsi="Times New Roman"/>
                <w:sz w:val="18"/>
                <w:szCs w:val="18"/>
              </w:rPr>
            </w:pPr>
            <w:r w:rsidRPr="00862219">
              <w:rPr>
                <w:rFonts w:ascii="Times New Roman" w:hAnsi="Times New Roman"/>
                <w:sz w:val="18"/>
                <w:szCs w:val="18"/>
              </w:rPr>
              <w:t>53%</w:t>
            </w:r>
          </w:p>
        </w:tc>
        <w:tc>
          <w:tcPr>
            <w:tcW w:w="1701" w:type="dxa"/>
            <w:vMerge/>
            <w:shd w:val="clear" w:color="auto" w:fill="FFFFFF" w:themeFill="background1"/>
          </w:tcPr>
          <w:p w14:paraId="68697D48"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31F826EC" w14:textId="77777777" w:rsidR="005773EB" w:rsidRPr="00862219" w:rsidRDefault="005773EB" w:rsidP="00520C99">
            <w:pPr>
              <w:spacing w:after="0" w:line="240" w:lineRule="auto"/>
              <w:rPr>
                <w:rFonts w:ascii="Times New Roman" w:hAnsi="Times New Roman"/>
                <w:sz w:val="18"/>
                <w:szCs w:val="18"/>
              </w:rPr>
            </w:pPr>
          </w:p>
        </w:tc>
        <w:tc>
          <w:tcPr>
            <w:tcW w:w="1134" w:type="dxa"/>
            <w:vMerge/>
            <w:shd w:val="clear" w:color="auto" w:fill="FFFFFF" w:themeFill="background1"/>
          </w:tcPr>
          <w:p w14:paraId="17F9F791"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6B9B2241"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tcPr>
          <w:p w14:paraId="397E1ABD"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4633728C" w14:textId="77777777" w:rsidTr="00520C99">
        <w:trPr>
          <w:trHeight w:val="694"/>
        </w:trPr>
        <w:tc>
          <w:tcPr>
            <w:tcW w:w="2769" w:type="dxa"/>
            <w:gridSpan w:val="2"/>
            <w:vMerge w:val="restart"/>
            <w:shd w:val="clear" w:color="auto" w:fill="FFFFFF" w:themeFill="background1"/>
          </w:tcPr>
          <w:p w14:paraId="38196E73" w14:textId="77777777" w:rsidR="005773EB" w:rsidRPr="00862219" w:rsidRDefault="005773EB" w:rsidP="00520C99">
            <w:pPr>
              <w:spacing w:after="0" w:line="240" w:lineRule="auto"/>
              <w:jc w:val="both"/>
              <w:rPr>
                <w:rFonts w:ascii="Times New Roman" w:hAnsi="Times New Roman"/>
                <w:sz w:val="18"/>
                <w:szCs w:val="18"/>
              </w:rPr>
            </w:pPr>
            <w:r w:rsidRPr="00862219">
              <w:rPr>
                <w:rFonts w:ascii="Times New Roman" w:hAnsi="Times New Roman"/>
                <w:b/>
                <w:sz w:val="18"/>
                <w:szCs w:val="18"/>
              </w:rPr>
              <w:t>Effet 2.</w:t>
            </w:r>
            <w:r w:rsidRPr="00862219">
              <w:rPr>
                <w:rFonts w:ascii="Times New Roman" w:hAnsi="Times New Roman"/>
                <w:sz w:val="18"/>
                <w:szCs w:val="18"/>
              </w:rPr>
              <w:t xml:space="preserve"> D’ici  2021, les populations les plus vulnérables dont les femmes, adolescent(e)s et enfants de moins de cinq ans, incluant les refugiés dans les zones ciblées, utilisent davantage les services intégrés de qualité de santé, nutrition et de bonnes pratiques d’alimentation, de prévention et traitement des maladies prioritaires notamment le VIH et le paludisme</w:t>
            </w:r>
          </w:p>
        </w:tc>
        <w:tc>
          <w:tcPr>
            <w:tcW w:w="3023" w:type="dxa"/>
            <w:gridSpan w:val="4"/>
            <w:shd w:val="clear" w:color="auto" w:fill="FFFFFF" w:themeFill="background1"/>
          </w:tcPr>
          <w:p w14:paraId="42AF065F"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Pourcentage des enfants de moins d’un an complètement vaccinés</w:t>
            </w:r>
          </w:p>
        </w:tc>
        <w:tc>
          <w:tcPr>
            <w:tcW w:w="1125" w:type="dxa"/>
            <w:gridSpan w:val="2"/>
            <w:shd w:val="clear" w:color="auto" w:fill="FFFFFF" w:themeFill="background1"/>
          </w:tcPr>
          <w:p w14:paraId="4F94471F"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17%</w:t>
            </w:r>
          </w:p>
          <w:p w14:paraId="06795D96" w14:textId="77777777" w:rsidR="005773EB" w:rsidRPr="00862219" w:rsidRDefault="005773EB" w:rsidP="00520C99">
            <w:pPr>
              <w:spacing w:after="0" w:line="240" w:lineRule="auto"/>
              <w:ind w:left="144"/>
              <w:rPr>
                <w:rFonts w:ascii="Times New Roman" w:hAnsi="Times New Roman"/>
                <w:sz w:val="18"/>
                <w:szCs w:val="18"/>
              </w:rPr>
            </w:pPr>
          </w:p>
        </w:tc>
        <w:tc>
          <w:tcPr>
            <w:tcW w:w="1147" w:type="dxa"/>
            <w:gridSpan w:val="2"/>
            <w:shd w:val="clear" w:color="auto" w:fill="FFFFFF" w:themeFill="background1"/>
          </w:tcPr>
          <w:p w14:paraId="7907F77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 xml:space="preserve"> 70%</w:t>
            </w:r>
          </w:p>
        </w:tc>
        <w:tc>
          <w:tcPr>
            <w:tcW w:w="1701" w:type="dxa"/>
            <w:vMerge w:val="restart"/>
            <w:shd w:val="clear" w:color="auto" w:fill="FFFFFF" w:themeFill="background1"/>
          </w:tcPr>
          <w:p w14:paraId="41AE78DC"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Rapport d’enquêtes de couverture vaccinale</w:t>
            </w:r>
          </w:p>
          <w:p w14:paraId="5D5F72E7"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MICS</w:t>
            </w:r>
            <w:r>
              <w:rPr>
                <w:rFonts w:ascii="Times New Roman" w:hAnsi="Times New Roman"/>
                <w:sz w:val="16"/>
                <w:szCs w:val="16"/>
              </w:rPr>
              <w:t>/EDS</w:t>
            </w:r>
          </w:p>
          <w:p w14:paraId="31C7DFBC"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Rapport d’enquête SONU</w:t>
            </w:r>
          </w:p>
          <w:p w14:paraId="5BDF04A4"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Rapport Centre National de Traitement des Fistules</w:t>
            </w:r>
          </w:p>
          <w:p w14:paraId="15C1DD26"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Rapports d’activité des structures sanitaires/DSIS</w:t>
            </w:r>
          </w:p>
          <w:p w14:paraId="494DBEEA"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Enquires de séroprévalence</w:t>
            </w:r>
          </w:p>
          <w:p w14:paraId="46A1F51E"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r w:rsidRPr="00862219">
              <w:rPr>
                <w:rFonts w:ascii="Times New Roman" w:hAnsi="Times New Roman"/>
                <w:sz w:val="16"/>
                <w:szCs w:val="16"/>
              </w:rPr>
              <w:t>Enquêtes de couverture des programmes PCIMA</w:t>
            </w:r>
          </w:p>
          <w:p w14:paraId="4E455F22" w14:textId="77777777" w:rsidR="005773EB" w:rsidRPr="00862219" w:rsidRDefault="005773EB" w:rsidP="00520C99">
            <w:pPr>
              <w:spacing w:after="0" w:line="240" w:lineRule="auto"/>
              <w:rPr>
                <w:rFonts w:ascii="Times New Roman" w:hAnsi="Times New Roman"/>
                <w:sz w:val="18"/>
                <w:szCs w:val="18"/>
              </w:rPr>
            </w:pPr>
          </w:p>
        </w:tc>
        <w:tc>
          <w:tcPr>
            <w:tcW w:w="1434" w:type="dxa"/>
            <w:vMerge w:val="restart"/>
            <w:shd w:val="clear" w:color="auto" w:fill="FFFFFF" w:themeFill="background1"/>
            <w:vAlign w:val="center"/>
          </w:tcPr>
          <w:p w14:paraId="565F7005" w14:textId="77777777" w:rsidR="005773EB" w:rsidRPr="00862219" w:rsidRDefault="005773EB" w:rsidP="00520C99">
            <w:pPr>
              <w:spacing w:after="0" w:line="240" w:lineRule="auto"/>
              <w:rPr>
                <w:rFonts w:ascii="Times New Roman" w:hAnsi="Times New Roman"/>
                <w:b/>
                <w:sz w:val="18"/>
                <w:u w:val="single"/>
              </w:rPr>
            </w:pPr>
            <w:r w:rsidRPr="00862219">
              <w:rPr>
                <w:rFonts w:ascii="Times New Roman" w:hAnsi="Times New Roman"/>
                <w:b/>
                <w:sz w:val="18"/>
                <w:u w:val="single"/>
              </w:rPr>
              <w:t>PTF</w:t>
            </w:r>
          </w:p>
          <w:p w14:paraId="26595366" w14:textId="77777777" w:rsidR="005773EB" w:rsidRPr="00862219" w:rsidRDefault="005773EB" w:rsidP="00520C99">
            <w:pPr>
              <w:spacing w:after="0" w:line="240" w:lineRule="auto"/>
              <w:rPr>
                <w:rFonts w:ascii="Times New Roman" w:hAnsi="Times New Roman"/>
                <w:sz w:val="18"/>
              </w:rPr>
            </w:pPr>
            <w:r w:rsidRPr="00862219">
              <w:rPr>
                <w:rFonts w:ascii="Times New Roman" w:hAnsi="Times New Roman"/>
                <w:sz w:val="18"/>
              </w:rPr>
              <w:t>Financement</w:t>
            </w:r>
          </w:p>
          <w:p w14:paraId="4BE132E4" w14:textId="77777777" w:rsidR="005773EB" w:rsidRPr="00862219" w:rsidRDefault="005773EB" w:rsidP="00520C99">
            <w:pPr>
              <w:spacing w:after="0" w:line="240" w:lineRule="auto"/>
              <w:rPr>
                <w:rFonts w:ascii="Times New Roman" w:hAnsi="Times New Roman"/>
                <w:b/>
                <w:sz w:val="18"/>
              </w:rPr>
            </w:pPr>
          </w:p>
          <w:p w14:paraId="196A2F92" w14:textId="77777777" w:rsidR="005773EB" w:rsidRDefault="005773EB" w:rsidP="00520C99">
            <w:pPr>
              <w:spacing w:after="0" w:line="240" w:lineRule="auto"/>
              <w:rPr>
                <w:rFonts w:ascii="Times New Roman" w:hAnsi="Times New Roman"/>
                <w:b/>
                <w:sz w:val="18"/>
                <w:u w:val="single"/>
              </w:rPr>
            </w:pPr>
            <w:r w:rsidRPr="00862219">
              <w:rPr>
                <w:rFonts w:ascii="Times New Roman" w:hAnsi="Times New Roman"/>
                <w:b/>
                <w:sz w:val="18"/>
                <w:u w:val="single"/>
              </w:rPr>
              <w:t>ONG</w:t>
            </w:r>
          </w:p>
          <w:p w14:paraId="19AFA63E" w14:textId="77777777" w:rsidR="005773EB" w:rsidRPr="00862219" w:rsidRDefault="005773EB" w:rsidP="00520C99">
            <w:pPr>
              <w:spacing w:after="0" w:line="240" w:lineRule="auto"/>
              <w:rPr>
                <w:rFonts w:ascii="Times New Roman" w:hAnsi="Times New Roman"/>
                <w:b/>
                <w:sz w:val="18"/>
                <w:u w:val="single"/>
              </w:rPr>
            </w:pPr>
          </w:p>
          <w:p w14:paraId="028966D4" w14:textId="77777777" w:rsidR="005773EB" w:rsidRDefault="005773EB" w:rsidP="00520C99">
            <w:pPr>
              <w:spacing w:after="0" w:line="240" w:lineRule="auto"/>
              <w:rPr>
                <w:rFonts w:ascii="Times New Roman" w:hAnsi="Times New Roman"/>
                <w:sz w:val="18"/>
              </w:rPr>
            </w:pPr>
            <w:r w:rsidRPr="00862219">
              <w:rPr>
                <w:rFonts w:ascii="Times New Roman" w:hAnsi="Times New Roman"/>
                <w:sz w:val="18"/>
              </w:rPr>
              <w:t xml:space="preserve">Mise en œuvre </w:t>
            </w:r>
          </w:p>
          <w:p w14:paraId="6C3A7F5F" w14:textId="77777777" w:rsidR="005773EB" w:rsidRDefault="005773EB" w:rsidP="00520C99">
            <w:pPr>
              <w:spacing w:after="0" w:line="240" w:lineRule="auto"/>
              <w:rPr>
                <w:rFonts w:ascii="Times New Roman" w:hAnsi="Times New Roman"/>
                <w:sz w:val="18"/>
              </w:rPr>
            </w:pPr>
          </w:p>
          <w:p w14:paraId="1B354DBC" w14:textId="77777777" w:rsidR="005773EB" w:rsidRDefault="005773EB" w:rsidP="00520C99">
            <w:pPr>
              <w:spacing w:after="0" w:line="240" w:lineRule="auto"/>
              <w:rPr>
                <w:rFonts w:ascii="Times New Roman" w:hAnsi="Times New Roman"/>
                <w:sz w:val="18"/>
              </w:rPr>
            </w:pPr>
          </w:p>
          <w:p w14:paraId="66F3F731" w14:textId="77777777" w:rsidR="005773EB" w:rsidRDefault="005773EB" w:rsidP="00520C99">
            <w:pPr>
              <w:spacing w:after="0" w:line="240" w:lineRule="auto"/>
              <w:rPr>
                <w:rFonts w:ascii="Times New Roman" w:hAnsi="Times New Roman"/>
                <w:sz w:val="18"/>
              </w:rPr>
            </w:pPr>
          </w:p>
          <w:p w14:paraId="385F0119" w14:textId="77777777" w:rsidR="005773EB" w:rsidRPr="00862219" w:rsidRDefault="005773EB" w:rsidP="00520C99">
            <w:pPr>
              <w:spacing w:after="0" w:line="240" w:lineRule="auto"/>
              <w:rPr>
                <w:rFonts w:ascii="Times New Roman" w:hAnsi="Times New Roman"/>
                <w:sz w:val="18"/>
              </w:rPr>
            </w:pPr>
          </w:p>
          <w:p w14:paraId="2FB9DDF2" w14:textId="77777777" w:rsidR="005773EB" w:rsidRPr="00862219" w:rsidRDefault="005773EB" w:rsidP="00520C99">
            <w:pPr>
              <w:spacing w:after="0" w:line="240" w:lineRule="auto"/>
              <w:rPr>
                <w:rFonts w:ascii="Times New Roman" w:hAnsi="Times New Roman"/>
                <w:sz w:val="18"/>
                <w:szCs w:val="18"/>
              </w:rPr>
            </w:pPr>
          </w:p>
        </w:tc>
        <w:tc>
          <w:tcPr>
            <w:tcW w:w="1134" w:type="dxa"/>
            <w:vMerge w:val="restart"/>
            <w:shd w:val="clear" w:color="auto" w:fill="FFFFFF" w:themeFill="background1"/>
            <w:vAlign w:val="center"/>
          </w:tcPr>
          <w:p w14:paraId="088459CB"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875822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F0F2853"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38AD24A"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FB24E6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6779B04"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582C61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4F72252"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7EC9130"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98A996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52C02C0"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4723CAA"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D8E3973"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43EB5A4"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4CB054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B96778B"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674E7EA"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DF1BC60"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DD4637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7F9066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7786BE5"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1D02A6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9F76EB5"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45F05EC"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C73056D"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3A40682" w14:textId="77777777" w:rsidR="005773EB" w:rsidRPr="00E05B68" w:rsidRDefault="005773EB" w:rsidP="00520C99">
            <w:pPr>
              <w:rPr>
                <w:rFonts w:ascii="Times New Roman" w:hAnsi="Times New Roman" w:cs="Times New Roman"/>
                <w:b/>
                <w:noProof w:val="0"/>
                <w:color w:val="FF0000"/>
                <w:sz w:val="16"/>
                <w:szCs w:val="16"/>
              </w:rPr>
            </w:pPr>
            <w:r w:rsidRPr="00E05B68">
              <w:rPr>
                <w:rFonts w:ascii="Times New Roman" w:hAnsi="Times New Roman" w:cs="Times New Roman"/>
                <w:b/>
                <w:color w:val="FF0000"/>
                <w:sz w:val="16"/>
                <w:szCs w:val="16"/>
              </w:rPr>
              <w:t>400 878 238</w:t>
            </w:r>
          </w:p>
          <w:p w14:paraId="169A6FE3"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DC315F5" w14:textId="77777777" w:rsidR="005773EB" w:rsidRPr="00E05B68" w:rsidRDefault="005773EB" w:rsidP="00520C99">
            <w:pPr>
              <w:spacing w:after="0" w:line="240" w:lineRule="auto"/>
              <w:rPr>
                <w:rFonts w:ascii="Times New Roman" w:hAnsi="Times New Roman" w:cs="Times New Roman"/>
                <w:b/>
                <w:color w:val="FF0000"/>
                <w:sz w:val="16"/>
                <w:szCs w:val="16"/>
              </w:rPr>
            </w:pPr>
          </w:p>
          <w:p w14:paraId="002E1E3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0449DF0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0FDC81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2F2EE11"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CA3DA8D"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504499C" w14:textId="77777777" w:rsidR="005773EB" w:rsidRPr="00E05B68" w:rsidRDefault="005773EB" w:rsidP="00520C99">
            <w:pPr>
              <w:spacing w:after="0" w:line="240" w:lineRule="auto"/>
              <w:rPr>
                <w:rFonts w:ascii="Times New Roman" w:hAnsi="Times New Roman" w:cs="Times New Roman"/>
                <w:b/>
                <w:color w:val="FF0000"/>
                <w:sz w:val="16"/>
                <w:szCs w:val="16"/>
              </w:rPr>
            </w:pPr>
          </w:p>
        </w:tc>
        <w:tc>
          <w:tcPr>
            <w:tcW w:w="1130" w:type="dxa"/>
            <w:vMerge w:val="restart"/>
            <w:shd w:val="clear" w:color="auto" w:fill="FFFFFF" w:themeFill="background1"/>
            <w:vAlign w:val="center"/>
          </w:tcPr>
          <w:p w14:paraId="0088BF3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91C56C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F39FA2A"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E3F1BDA"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61C3C5B"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44457CF"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CE977A4"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39FA771"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EE7843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2C8674F"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D300B0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724EB42"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E620E4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2CAA8B0"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3B63B2F"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1094C5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CC2B6BE"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9AD0AB1" w14:textId="77777777" w:rsidR="005773EB" w:rsidRPr="00E05B68" w:rsidRDefault="005773EB" w:rsidP="00520C99">
            <w:pPr>
              <w:spacing w:after="0" w:line="240" w:lineRule="auto"/>
              <w:rPr>
                <w:rFonts w:ascii="Times New Roman" w:hAnsi="Times New Roman" w:cs="Times New Roman"/>
                <w:b/>
                <w:color w:val="FF0000"/>
                <w:sz w:val="16"/>
                <w:szCs w:val="16"/>
              </w:rPr>
            </w:pPr>
          </w:p>
          <w:p w14:paraId="0E7FFE7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414FFF4" w14:textId="77777777" w:rsidR="005773EB" w:rsidRPr="00E05B68" w:rsidRDefault="005773EB" w:rsidP="00520C99">
            <w:pPr>
              <w:rPr>
                <w:rFonts w:ascii="Times New Roman" w:hAnsi="Times New Roman" w:cs="Times New Roman"/>
                <w:b/>
                <w:noProof w:val="0"/>
                <w:color w:val="FF0000"/>
                <w:sz w:val="16"/>
                <w:szCs w:val="16"/>
              </w:rPr>
            </w:pPr>
            <w:r w:rsidRPr="00E05B68">
              <w:rPr>
                <w:rFonts w:ascii="Times New Roman" w:hAnsi="Times New Roman" w:cs="Times New Roman"/>
                <w:b/>
                <w:color w:val="FF0000"/>
                <w:sz w:val="16"/>
                <w:szCs w:val="16"/>
              </w:rPr>
              <w:t>72 297 500</w:t>
            </w:r>
          </w:p>
          <w:p w14:paraId="74AC1738" w14:textId="77777777" w:rsidR="005773EB" w:rsidRPr="00E05B68" w:rsidRDefault="005773EB" w:rsidP="00520C99">
            <w:pPr>
              <w:spacing w:after="0" w:line="240" w:lineRule="auto"/>
              <w:rPr>
                <w:rFonts w:ascii="Times New Roman" w:hAnsi="Times New Roman" w:cs="Times New Roman"/>
                <w:b/>
                <w:color w:val="FF0000"/>
                <w:sz w:val="16"/>
                <w:szCs w:val="16"/>
              </w:rPr>
            </w:pPr>
          </w:p>
          <w:p w14:paraId="0903A88C" w14:textId="77777777" w:rsidR="005773EB" w:rsidRPr="00E05B68" w:rsidRDefault="005773EB" w:rsidP="00520C99">
            <w:pPr>
              <w:spacing w:after="0" w:line="240" w:lineRule="auto"/>
              <w:rPr>
                <w:rFonts w:ascii="Times New Roman" w:hAnsi="Times New Roman" w:cs="Times New Roman"/>
                <w:b/>
                <w:color w:val="FF0000"/>
                <w:sz w:val="16"/>
                <w:szCs w:val="16"/>
              </w:rPr>
            </w:pPr>
          </w:p>
        </w:tc>
        <w:tc>
          <w:tcPr>
            <w:tcW w:w="1293" w:type="dxa"/>
            <w:gridSpan w:val="2"/>
            <w:vMerge w:val="restart"/>
            <w:shd w:val="clear" w:color="auto" w:fill="FFFFFF" w:themeFill="background1"/>
            <w:vAlign w:val="center"/>
          </w:tcPr>
          <w:p w14:paraId="6C65B73B"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533515D"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CC52B3C"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3187D74" w14:textId="77777777" w:rsidR="005773EB" w:rsidRPr="00E05B68" w:rsidRDefault="005773EB" w:rsidP="00520C99">
            <w:pPr>
              <w:spacing w:after="0" w:line="240" w:lineRule="auto"/>
              <w:rPr>
                <w:rFonts w:ascii="Times New Roman" w:hAnsi="Times New Roman" w:cs="Times New Roman"/>
                <w:b/>
                <w:color w:val="FF0000"/>
                <w:sz w:val="16"/>
                <w:szCs w:val="16"/>
              </w:rPr>
            </w:pPr>
          </w:p>
          <w:p w14:paraId="3D91B145"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94A6DA6"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75D3B04"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EADEDC2"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186F521"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176E20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8CA2E17" w14:textId="77777777" w:rsidR="005773EB" w:rsidRPr="00E05B68" w:rsidRDefault="005773EB" w:rsidP="00520C99">
            <w:pPr>
              <w:spacing w:after="0" w:line="240" w:lineRule="auto"/>
              <w:rPr>
                <w:rFonts w:ascii="Times New Roman" w:hAnsi="Times New Roman" w:cs="Times New Roman"/>
                <w:b/>
                <w:color w:val="FF0000"/>
                <w:sz w:val="16"/>
                <w:szCs w:val="16"/>
              </w:rPr>
            </w:pPr>
          </w:p>
          <w:p w14:paraId="1F56F263"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59D851F" w14:textId="77777777" w:rsidR="005773EB" w:rsidRPr="00E05B68" w:rsidRDefault="005773EB" w:rsidP="00520C99">
            <w:pPr>
              <w:spacing w:after="0" w:line="240" w:lineRule="auto"/>
              <w:rPr>
                <w:rFonts w:ascii="Times New Roman" w:hAnsi="Times New Roman" w:cs="Times New Roman"/>
                <w:b/>
                <w:color w:val="FF0000"/>
                <w:sz w:val="16"/>
                <w:szCs w:val="16"/>
              </w:rPr>
            </w:pPr>
          </w:p>
          <w:p w14:paraId="6708E933"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BE73BCB" w14:textId="77777777" w:rsidR="005773EB" w:rsidRPr="00E05B68" w:rsidRDefault="005773EB" w:rsidP="00520C99">
            <w:pPr>
              <w:spacing w:after="0" w:line="240" w:lineRule="auto"/>
              <w:rPr>
                <w:rFonts w:ascii="Times New Roman" w:hAnsi="Times New Roman" w:cs="Times New Roman"/>
                <w:b/>
                <w:color w:val="FF0000"/>
                <w:sz w:val="16"/>
                <w:szCs w:val="16"/>
              </w:rPr>
            </w:pPr>
          </w:p>
          <w:p w14:paraId="50EDB4A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4A38900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76FA7E89" w14:textId="77777777" w:rsidR="005773EB" w:rsidRPr="00E05B68" w:rsidRDefault="005773EB" w:rsidP="00520C99">
            <w:pPr>
              <w:spacing w:after="0" w:line="240" w:lineRule="auto"/>
              <w:rPr>
                <w:rFonts w:ascii="Times New Roman" w:hAnsi="Times New Roman" w:cs="Times New Roman"/>
                <w:b/>
                <w:color w:val="FF0000"/>
                <w:sz w:val="16"/>
                <w:szCs w:val="16"/>
              </w:rPr>
            </w:pPr>
          </w:p>
          <w:p w14:paraId="2DA907F8" w14:textId="77777777" w:rsidR="005773EB" w:rsidRPr="00E05B68" w:rsidRDefault="005773EB" w:rsidP="00520C99">
            <w:pPr>
              <w:rPr>
                <w:rFonts w:ascii="Times New Roman" w:hAnsi="Times New Roman" w:cs="Times New Roman"/>
                <w:b/>
                <w:noProof w:val="0"/>
                <w:color w:val="FF0000"/>
                <w:sz w:val="16"/>
                <w:szCs w:val="16"/>
              </w:rPr>
            </w:pPr>
            <w:r w:rsidRPr="00E05B68">
              <w:rPr>
                <w:rFonts w:ascii="Times New Roman" w:hAnsi="Times New Roman" w:cs="Times New Roman"/>
                <w:b/>
                <w:color w:val="FF0000"/>
                <w:sz w:val="16"/>
                <w:szCs w:val="16"/>
              </w:rPr>
              <w:t>328 580 738</w:t>
            </w:r>
          </w:p>
          <w:p w14:paraId="48A39261" w14:textId="77777777" w:rsidR="005773EB" w:rsidRPr="00E05B68" w:rsidRDefault="005773EB" w:rsidP="00520C99">
            <w:pPr>
              <w:spacing w:after="0" w:line="240" w:lineRule="auto"/>
              <w:rPr>
                <w:rFonts w:ascii="Times New Roman" w:hAnsi="Times New Roman" w:cs="Times New Roman"/>
                <w:b/>
                <w:color w:val="FF0000"/>
                <w:sz w:val="16"/>
                <w:szCs w:val="16"/>
              </w:rPr>
            </w:pPr>
          </w:p>
        </w:tc>
      </w:tr>
      <w:tr w:rsidR="005773EB" w:rsidRPr="00862219" w14:paraId="3C6205E5" w14:textId="77777777" w:rsidTr="00520C99">
        <w:trPr>
          <w:trHeight w:val="420"/>
        </w:trPr>
        <w:tc>
          <w:tcPr>
            <w:tcW w:w="2769" w:type="dxa"/>
            <w:gridSpan w:val="2"/>
            <w:vMerge/>
            <w:shd w:val="clear" w:color="auto" w:fill="FFFFFF" w:themeFill="background1"/>
          </w:tcPr>
          <w:p w14:paraId="3EBE407F" w14:textId="77777777" w:rsidR="005773EB" w:rsidRPr="00BF5E83"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23BD279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Taux d’accouchement assisté par du personnel qualifié</w:t>
            </w:r>
          </w:p>
        </w:tc>
        <w:tc>
          <w:tcPr>
            <w:tcW w:w="1125" w:type="dxa"/>
            <w:gridSpan w:val="2"/>
            <w:shd w:val="clear" w:color="auto" w:fill="FFFFFF" w:themeFill="background1"/>
          </w:tcPr>
          <w:p w14:paraId="2AA4DBCB"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34%</w:t>
            </w:r>
          </w:p>
        </w:tc>
        <w:tc>
          <w:tcPr>
            <w:tcW w:w="1147" w:type="dxa"/>
            <w:gridSpan w:val="2"/>
            <w:shd w:val="clear" w:color="auto" w:fill="FFFFFF" w:themeFill="background1"/>
          </w:tcPr>
          <w:p w14:paraId="1190D1F7"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70%</w:t>
            </w:r>
          </w:p>
        </w:tc>
        <w:tc>
          <w:tcPr>
            <w:tcW w:w="1701" w:type="dxa"/>
            <w:vMerge/>
            <w:shd w:val="clear" w:color="auto" w:fill="FFFFFF" w:themeFill="background1"/>
          </w:tcPr>
          <w:p w14:paraId="7BD3B4B0" w14:textId="77777777" w:rsidR="005773EB" w:rsidRPr="00862219" w:rsidRDefault="005773EB" w:rsidP="00520C99">
            <w:pPr>
              <w:numPr>
                <w:ilvl w:val="0"/>
                <w:numId w:val="8"/>
              </w:numPr>
              <w:spacing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03C7BA7A" w14:textId="77777777" w:rsidR="005773EB" w:rsidRPr="00862219" w:rsidRDefault="005773EB" w:rsidP="00520C99">
            <w:pPr>
              <w:spacing w:line="240" w:lineRule="auto"/>
              <w:rPr>
                <w:rFonts w:ascii="Times New Roman" w:hAnsi="Times New Roman"/>
                <w:b/>
                <w:sz w:val="18"/>
              </w:rPr>
            </w:pPr>
          </w:p>
        </w:tc>
        <w:tc>
          <w:tcPr>
            <w:tcW w:w="1134" w:type="dxa"/>
            <w:vMerge/>
            <w:shd w:val="clear" w:color="auto" w:fill="FFFFFF" w:themeFill="background1"/>
            <w:vAlign w:val="center"/>
          </w:tcPr>
          <w:p w14:paraId="20499B96" w14:textId="77777777" w:rsidR="005773EB" w:rsidRPr="00862219" w:rsidRDefault="005773EB" w:rsidP="00520C99">
            <w:pPr>
              <w:spacing w:line="240" w:lineRule="auto"/>
              <w:rPr>
                <w:rFonts w:ascii="Times New Roman" w:hAnsi="Times New Roman"/>
                <w:sz w:val="18"/>
                <w:szCs w:val="18"/>
              </w:rPr>
            </w:pPr>
          </w:p>
        </w:tc>
        <w:tc>
          <w:tcPr>
            <w:tcW w:w="1130" w:type="dxa"/>
            <w:vMerge/>
            <w:shd w:val="clear" w:color="auto" w:fill="FFFFFF" w:themeFill="background1"/>
            <w:vAlign w:val="center"/>
          </w:tcPr>
          <w:p w14:paraId="42E284FC" w14:textId="77777777" w:rsidR="005773EB" w:rsidRPr="00862219" w:rsidRDefault="005773EB" w:rsidP="00520C99">
            <w:pPr>
              <w:spacing w:line="240" w:lineRule="auto"/>
              <w:rPr>
                <w:rFonts w:ascii="Times New Roman" w:hAnsi="Times New Roman"/>
                <w:sz w:val="18"/>
                <w:szCs w:val="18"/>
              </w:rPr>
            </w:pPr>
          </w:p>
        </w:tc>
        <w:tc>
          <w:tcPr>
            <w:tcW w:w="1293" w:type="dxa"/>
            <w:gridSpan w:val="2"/>
            <w:vMerge/>
            <w:shd w:val="clear" w:color="auto" w:fill="FFFFFF" w:themeFill="background1"/>
            <w:vAlign w:val="center"/>
          </w:tcPr>
          <w:p w14:paraId="071499EE" w14:textId="77777777" w:rsidR="005773EB" w:rsidRPr="00862219" w:rsidRDefault="005773EB" w:rsidP="00520C99">
            <w:pPr>
              <w:spacing w:line="240" w:lineRule="auto"/>
              <w:rPr>
                <w:rFonts w:ascii="Times New Roman" w:hAnsi="Times New Roman"/>
                <w:sz w:val="18"/>
                <w:szCs w:val="18"/>
              </w:rPr>
            </w:pPr>
          </w:p>
        </w:tc>
      </w:tr>
      <w:tr w:rsidR="005773EB" w:rsidRPr="00862219" w14:paraId="21BD75FC" w14:textId="77777777" w:rsidTr="00520C99">
        <w:trPr>
          <w:trHeight w:val="440"/>
        </w:trPr>
        <w:tc>
          <w:tcPr>
            <w:tcW w:w="2769" w:type="dxa"/>
            <w:gridSpan w:val="2"/>
            <w:vMerge/>
            <w:shd w:val="clear" w:color="auto" w:fill="FFFFFF" w:themeFill="background1"/>
          </w:tcPr>
          <w:p w14:paraId="1788F225"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7BBE21A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Taux de consultations prénatales</w:t>
            </w:r>
          </w:p>
        </w:tc>
        <w:tc>
          <w:tcPr>
            <w:tcW w:w="1125" w:type="dxa"/>
            <w:gridSpan w:val="2"/>
            <w:shd w:val="clear" w:color="auto" w:fill="FFFFFF" w:themeFill="background1"/>
          </w:tcPr>
          <w:p w14:paraId="481DBD96"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64%</w:t>
            </w:r>
          </w:p>
        </w:tc>
        <w:tc>
          <w:tcPr>
            <w:tcW w:w="1147" w:type="dxa"/>
            <w:gridSpan w:val="2"/>
            <w:shd w:val="clear" w:color="auto" w:fill="FFFFFF" w:themeFill="background1"/>
          </w:tcPr>
          <w:p w14:paraId="37FF0D11"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100%</w:t>
            </w:r>
          </w:p>
        </w:tc>
        <w:tc>
          <w:tcPr>
            <w:tcW w:w="1701" w:type="dxa"/>
            <w:vMerge/>
            <w:shd w:val="clear" w:color="auto" w:fill="FFFFFF" w:themeFill="background1"/>
          </w:tcPr>
          <w:p w14:paraId="4EA51C64"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2F3F12A7"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21BB60D8"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2C7EFF95"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1F1FCB0D"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1DA6C40E" w14:textId="77777777" w:rsidTr="00520C99">
        <w:trPr>
          <w:trHeight w:val="440"/>
        </w:trPr>
        <w:tc>
          <w:tcPr>
            <w:tcW w:w="2769" w:type="dxa"/>
            <w:gridSpan w:val="2"/>
            <w:vMerge/>
            <w:shd w:val="clear" w:color="auto" w:fill="FFFFFF" w:themeFill="background1"/>
          </w:tcPr>
          <w:p w14:paraId="7C640A3A"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24E9506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Taux de consultation postnatale</w:t>
            </w:r>
          </w:p>
        </w:tc>
        <w:tc>
          <w:tcPr>
            <w:tcW w:w="1125" w:type="dxa"/>
            <w:gridSpan w:val="2"/>
            <w:shd w:val="clear" w:color="auto" w:fill="FFFFFF" w:themeFill="background1"/>
          </w:tcPr>
          <w:p w14:paraId="25BF3B18"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18%</w:t>
            </w:r>
          </w:p>
        </w:tc>
        <w:tc>
          <w:tcPr>
            <w:tcW w:w="1147" w:type="dxa"/>
            <w:gridSpan w:val="2"/>
            <w:shd w:val="clear" w:color="auto" w:fill="FFFFFF" w:themeFill="background1"/>
          </w:tcPr>
          <w:p w14:paraId="344AC4DC"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75%</w:t>
            </w:r>
          </w:p>
        </w:tc>
        <w:tc>
          <w:tcPr>
            <w:tcW w:w="1701" w:type="dxa"/>
            <w:vMerge/>
            <w:shd w:val="clear" w:color="auto" w:fill="FFFFFF" w:themeFill="background1"/>
          </w:tcPr>
          <w:p w14:paraId="336F0E27"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467ECD07"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098C5DBD"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68F4C71E"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1187B13A"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1234E1C7" w14:textId="77777777" w:rsidTr="00520C99">
        <w:trPr>
          <w:trHeight w:val="440"/>
        </w:trPr>
        <w:tc>
          <w:tcPr>
            <w:tcW w:w="2769" w:type="dxa"/>
            <w:gridSpan w:val="2"/>
            <w:vMerge/>
            <w:shd w:val="clear" w:color="auto" w:fill="FFFFFF" w:themeFill="background1"/>
          </w:tcPr>
          <w:p w14:paraId="21BC1997"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482E7ACA"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Taux de prévalence du VIH</w:t>
            </w:r>
          </w:p>
        </w:tc>
        <w:tc>
          <w:tcPr>
            <w:tcW w:w="1125" w:type="dxa"/>
            <w:gridSpan w:val="2"/>
            <w:shd w:val="clear" w:color="auto" w:fill="FFFFFF" w:themeFill="background1"/>
          </w:tcPr>
          <w:p w14:paraId="3A29756B" w14:textId="77777777" w:rsidR="005773EB" w:rsidRPr="000C124C"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1,6%</w:t>
            </w:r>
          </w:p>
        </w:tc>
        <w:tc>
          <w:tcPr>
            <w:tcW w:w="1147" w:type="dxa"/>
            <w:gridSpan w:val="2"/>
            <w:shd w:val="clear" w:color="auto" w:fill="FFFFFF" w:themeFill="background1"/>
          </w:tcPr>
          <w:p w14:paraId="638A6223" w14:textId="77777777" w:rsidR="005773EB" w:rsidRPr="000C124C"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1%</w:t>
            </w:r>
          </w:p>
        </w:tc>
        <w:tc>
          <w:tcPr>
            <w:tcW w:w="1701" w:type="dxa"/>
            <w:vMerge/>
            <w:shd w:val="clear" w:color="auto" w:fill="FFFFFF" w:themeFill="background1"/>
          </w:tcPr>
          <w:p w14:paraId="4EE3B181"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101D8512" w14:textId="77777777" w:rsidR="005773EB" w:rsidRPr="00862219" w:rsidRDefault="005773EB" w:rsidP="00520C99">
            <w:pPr>
              <w:spacing w:after="0" w:line="240" w:lineRule="auto"/>
              <w:rPr>
                <w:rFonts w:ascii="Times New Roman" w:hAnsi="Times New Roman"/>
                <w:b/>
                <w:sz w:val="18"/>
              </w:rPr>
            </w:pPr>
          </w:p>
        </w:tc>
        <w:tc>
          <w:tcPr>
            <w:tcW w:w="1134" w:type="dxa"/>
            <w:vMerge/>
            <w:shd w:val="clear" w:color="auto" w:fill="FFFFFF" w:themeFill="background1"/>
            <w:vAlign w:val="center"/>
          </w:tcPr>
          <w:p w14:paraId="5786C9E5"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68FC4588"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31046F76"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6640569C" w14:textId="77777777" w:rsidTr="00520C99">
        <w:trPr>
          <w:trHeight w:val="440"/>
        </w:trPr>
        <w:tc>
          <w:tcPr>
            <w:tcW w:w="2769" w:type="dxa"/>
            <w:gridSpan w:val="2"/>
            <w:vMerge/>
            <w:shd w:val="clear" w:color="auto" w:fill="FFFFFF" w:themeFill="background1"/>
          </w:tcPr>
          <w:p w14:paraId="11C655F4"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00DC3023"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Taux de prévalence du VIH chez les jeunes de moins 25 ans</w:t>
            </w:r>
          </w:p>
        </w:tc>
        <w:tc>
          <w:tcPr>
            <w:tcW w:w="1125" w:type="dxa"/>
            <w:gridSpan w:val="2"/>
            <w:shd w:val="clear" w:color="auto" w:fill="FFFFFF" w:themeFill="background1"/>
          </w:tcPr>
          <w:p w14:paraId="1A2F4E90"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2,3%</w:t>
            </w:r>
          </w:p>
        </w:tc>
        <w:tc>
          <w:tcPr>
            <w:tcW w:w="1147" w:type="dxa"/>
            <w:gridSpan w:val="2"/>
            <w:shd w:val="clear" w:color="auto" w:fill="FFFFFF" w:themeFill="background1"/>
          </w:tcPr>
          <w:p w14:paraId="23E5A55C" w14:textId="77777777" w:rsidR="005773EB" w:rsidRDefault="005773EB" w:rsidP="00520C99">
            <w:pPr>
              <w:numPr>
                <w:ilvl w:val="0"/>
                <w:numId w:val="8"/>
              </w:numPr>
              <w:spacing w:after="0" w:line="240" w:lineRule="auto"/>
              <w:ind w:left="144" w:hanging="144"/>
              <w:rPr>
                <w:rFonts w:ascii="Times New Roman" w:hAnsi="Times New Roman"/>
                <w:sz w:val="18"/>
                <w:szCs w:val="18"/>
              </w:rPr>
            </w:pPr>
            <w:r>
              <w:rPr>
                <w:rFonts w:ascii="Times New Roman" w:hAnsi="Times New Roman"/>
                <w:sz w:val="18"/>
                <w:szCs w:val="18"/>
              </w:rPr>
              <w:t>1,7%</w:t>
            </w:r>
          </w:p>
        </w:tc>
        <w:tc>
          <w:tcPr>
            <w:tcW w:w="1701" w:type="dxa"/>
            <w:vMerge/>
            <w:shd w:val="clear" w:color="auto" w:fill="FFFFFF" w:themeFill="background1"/>
          </w:tcPr>
          <w:p w14:paraId="3C057E7F"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39D29595" w14:textId="77777777" w:rsidR="005773EB" w:rsidRPr="00862219" w:rsidRDefault="005773EB" w:rsidP="00520C99">
            <w:pPr>
              <w:spacing w:after="0" w:line="240" w:lineRule="auto"/>
              <w:rPr>
                <w:rFonts w:ascii="Times New Roman" w:hAnsi="Times New Roman"/>
                <w:b/>
                <w:sz w:val="18"/>
              </w:rPr>
            </w:pPr>
          </w:p>
        </w:tc>
        <w:tc>
          <w:tcPr>
            <w:tcW w:w="1134" w:type="dxa"/>
            <w:vMerge/>
            <w:shd w:val="clear" w:color="auto" w:fill="FFFFFF" w:themeFill="background1"/>
            <w:vAlign w:val="center"/>
          </w:tcPr>
          <w:p w14:paraId="5EC14334"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373C0612"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14C1B4C3"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5A740250" w14:textId="77777777" w:rsidTr="00520C99">
        <w:trPr>
          <w:trHeight w:val="440"/>
        </w:trPr>
        <w:tc>
          <w:tcPr>
            <w:tcW w:w="2769" w:type="dxa"/>
            <w:gridSpan w:val="2"/>
            <w:vMerge/>
            <w:shd w:val="clear" w:color="auto" w:fill="FFFFFF" w:themeFill="background1"/>
          </w:tcPr>
          <w:p w14:paraId="4D477A3C" w14:textId="77777777" w:rsidR="005773EB" w:rsidRPr="00546AD5"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4A29284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Proportion de femmes enceintes sous ARV</w:t>
            </w:r>
          </w:p>
        </w:tc>
        <w:tc>
          <w:tcPr>
            <w:tcW w:w="1125" w:type="dxa"/>
            <w:gridSpan w:val="2"/>
            <w:shd w:val="clear" w:color="auto" w:fill="FFFFFF" w:themeFill="background1"/>
          </w:tcPr>
          <w:p w14:paraId="27FB6637"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25%</w:t>
            </w:r>
          </w:p>
        </w:tc>
        <w:tc>
          <w:tcPr>
            <w:tcW w:w="1147" w:type="dxa"/>
            <w:gridSpan w:val="2"/>
            <w:shd w:val="clear" w:color="auto" w:fill="FFFFFF" w:themeFill="background1"/>
          </w:tcPr>
          <w:p w14:paraId="728D22D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60%</w:t>
            </w:r>
          </w:p>
        </w:tc>
        <w:tc>
          <w:tcPr>
            <w:tcW w:w="1701" w:type="dxa"/>
            <w:vMerge/>
            <w:shd w:val="clear" w:color="auto" w:fill="FFFFFF" w:themeFill="background1"/>
          </w:tcPr>
          <w:p w14:paraId="2B7DC023"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1240BD48" w14:textId="77777777" w:rsidR="005773EB" w:rsidRPr="00862219" w:rsidRDefault="005773EB" w:rsidP="00520C99">
            <w:pPr>
              <w:spacing w:after="0" w:line="240" w:lineRule="auto"/>
              <w:rPr>
                <w:rFonts w:ascii="Times New Roman" w:hAnsi="Times New Roman"/>
                <w:b/>
                <w:sz w:val="18"/>
              </w:rPr>
            </w:pPr>
          </w:p>
        </w:tc>
        <w:tc>
          <w:tcPr>
            <w:tcW w:w="1134" w:type="dxa"/>
            <w:vMerge/>
            <w:shd w:val="clear" w:color="auto" w:fill="FFFFFF" w:themeFill="background1"/>
            <w:vAlign w:val="center"/>
          </w:tcPr>
          <w:p w14:paraId="58AA4055"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1672DA2B"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4F285C91"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7A732F90" w14:textId="77777777" w:rsidTr="00520C99">
        <w:trPr>
          <w:trHeight w:val="440"/>
        </w:trPr>
        <w:tc>
          <w:tcPr>
            <w:tcW w:w="2769" w:type="dxa"/>
            <w:gridSpan w:val="2"/>
            <w:vMerge/>
            <w:shd w:val="clear" w:color="auto" w:fill="FFFFFF" w:themeFill="background1"/>
          </w:tcPr>
          <w:p w14:paraId="2F899686"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4C6055E4"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Proportion de femmes enceintes  sous TPI (traitement préventif intermittent du paludisme)</w:t>
            </w:r>
          </w:p>
        </w:tc>
        <w:tc>
          <w:tcPr>
            <w:tcW w:w="1125" w:type="dxa"/>
            <w:gridSpan w:val="2"/>
            <w:shd w:val="clear" w:color="auto" w:fill="FFFFFF" w:themeFill="background1"/>
          </w:tcPr>
          <w:p w14:paraId="26CBE30C"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26%</w:t>
            </w:r>
          </w:p>
        </w:tc>
        <w:tc>
          <w:tcPr>
            <w:tcW w:w="1147" w:type="dxa"/>
            <w:gridSpan w:val="2"/>
            <w:shd w:val="clear" w:color="auto" w:fill="FFFFFF" w:themeFill="background1"/>
          </w:tcPr>
          <w:p w14:paraId="76D20751"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85%</w:t>
            </w:r>
          </w:p>
        </w:tc>
        <w:tc>
          <w:tcPr>
            <w:tcW w:w="1701" w:type="dxa"/>
            <w:vMerge/>
            <w:shd w:val="clear" w:color="auto" w:fill="FFFFFF" w:themeFill="background1"/>
          </w:tcPr>
          <w:p w14:paraId="726FA4F6"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401858FE" w14:textId="77777777" w:rsidR="005773EB" w:rsidRPr="00862219" w:rsidRDefault="005773EB" w:rsidP="00520C99">
            <w:pPr>
              <w:spacing w:after="0" w:line="240" w:lineRule="auto"/>
              <w:rPr>
                <w:rFonts w:ascii="Times New Roman" w:hAnsi="Times New Roman"/>
                <w:b/>
                <w:sz w:val="18"/>
              </w:rPr>
            </w:pPr>
          </w:p>
        </w:tc>
        <w:tc>
          <w:tcPr>
            <w:tcW w:w="1134" w:type="dxa"/>
            <w:vMerge/>
            <w:shd w:val="clear" w:color="auto" w:fill="FFFFFF" w:themeFill="background1"/>
            <w:vAlign w:val="center"/>
          </w:tcPr>
          <w:p w14:paraId="011AEA35"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0097B63E"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57372AD6"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5DC5D2E6" w14:textId="77777777" w:rsidTr="00520C99">
        <w:trPr>
          <w:trHeight w:val="440"/>
        </w:trPr>
        <w:tc>
          <w:tcPr>
            <w:tcW w:w="2769" w:type="dxa"/>
            <w:gridSpan w:val="2"/>
            <w:vMerge/>
            <w:shd w:val="clear" w:color="auto" w:fill="FFFFFF" w:themeFill="background1"/>
          </w:tcPr>
          <w:p w14:paraId="2FF49469"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54EE459A"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rPr>
              <w:t>Proportion des enfants de moins de 5 ans dormant sous MILDA</w:t>
            </w:r>
            <w:r w:rsidRPr="00862219">
              <w:rPr>
                <w:rFonts w:ascii="Times New Roman" w:hAnsi="Times New Roman"/>
                <w:color w:val="FF0000"/>
                <w:sz w:val="18"/>
              </w:rPr>
              <w:t>.</w:t>
            </w:r>
            <w:r w:rsidRPr="00862219">
              <w:rPr>
                <w:rFonts w:ascii="Times New Roman" w:hAnsi="Times New Roman"/>
                <w:noProof w:val="0"/>
                <w:sz w:val="24"/>
                <w:szCs w:val="24"/>
                <w:lang w:eastAsia="fr-FR"/>
              </w:rPr>
              <w:t xml:space="preserve"> </w:t>
            </w:r>
          </w:p>
        </w:tc>
        <w:tc>
          <w:tcPr>
            <w:tcW w:w="1125" w:type="dxa"/>
            <w:gridSpan w:val="2"/>
            <w:shd w:val="clear" w:color="auto" w:fill="FFFFFF" w:themeFill="background1"/>
          </w:tcPr>
          <w:p w14:paraId="53F10D6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26%</w:t>
            </w:r>
          </w:p>
        </w:tc>
        <w:tc>
          <w:tcPr>
            <w:tcW w:w="1147" w:type="dxa"/>
            <w:gridSpan w:val="2"/>
            <w:shd w:val="clear" w:color="auto" w:fill="FFFFFF" w:themeFill="background1"/>
          </w:tcPr>
          <w:p w14:paraId="619BBD7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85%</w:t>
            </w:r>
          </w:p>
        </w:tc>
        <w:tc>
          <w:tcPr>
            <w:tcW w:w="1701" w:type="dxa"/>
            <w:vMerge/>
            <w:shd w:val="clear" w:color="auto" w:fill="FFFFFF" w:themeFill="background1"/>
          </w:tcPr>
          <w:p w14:paraId="2EC0A65F"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2FBB5511"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40BB3CC0"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6A1667D7"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789A97FE"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287847B5" w14:textId="77777777" w:rsidTr="00520C99">
        <w:trPr>
          <w:trHeight w:val="440"/>
        </w:trPr>
        <w:tc>
          <w:tcPr>
            <w:tcW w:w="2769" w:type="dxa"/>
            <w:gridSpan w:val="2"/>
            <w:vMerge/>
            <w:shd w:val="clear" w:color="auto" w:fill="FFFFFF" w:themeFill="background1"/>
          </w:tcPr>
          <w:p w14:paraId="0938A37D"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5CE4B56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Taux de prévalence contraceptive(TPC)</w:t>
            </w:r>
          </w:p>
        </w:tc>
        <w:tc>
          <w:tcPr>
            <w:tcW w:w="1125" w:type="dxa"/>
            <w:gridSpan w:val="2"/>
            <w:shd w:val="clear" w:color="auto" w:fill="FFFFFF" w:themeFill="background1"/>
          </w:tcPr>
          <w:p w14:paraId="4D0FCC5E"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46%</w:t>
            </w:r>
          </w:p>
        </w:tc>
        <w:tc>
          <w:tcPr>
            <w:tcW w:w="1147" w:type="dxa"/>
            <w:gridSpan w:val="2"/>
            <w:shd w:val="clear" w:color="auto" w:fill="FFFFFF" w:themeFill="background1"/>
          </w:tcPr>
          <w:p w14:paraId="72200278"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80%</w:t>
            </w:r>
          </w:p>
        </w:tc>
        <w:tc>
          <w:tcPr>
            <w:tcW w:w="1701" w:type="dxa"/>
            <w:vMerge/>
            <w:shd w:val="clear" w:color="auto" w:fill="FFFFFF" w:themeFill="background1"/>
          </w:tcPr>
          <w:p w14:paraId="510BAB01"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47AC377B"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34D935A9"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0BEC7548"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095BF951"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44F3393D" w14:textId="77777777" w:rsidTr="00520C99">
        <w:trPr>
          <w:trHeight w:val="384"/>
        </w:trPr>
        <w:tc>
          <w:tcPr>
            <w:tcW w:w="2769" w:type="dxa"/>
            <w:gridSpan w:val="2"/>
            <w:vMerge/>
            <w:shd w:val="clear" w:color="auto" w:fill="FFFFFF" w:themeFill="background1"/>
          </w:tcPr>
          <w:p w14:paraId="2963B5D5"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7143865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Besoins non satisfaits en P</w:t>
            </w:r>
            <w:r>
              <w:rPr>
                <w:rFonts w:ascii="Times New Roman" w:hAnsi="Times New Roman"/>
                <w:sz w:val="18"/>
                <w:szCs w:val="18"/>
              </w:rPr>
              <w:t xml:space="preserve">laning </w:t>
            </w:r>
            <w:r w:rsidRPr="00862219">
              <w:rPr>
                <w:rFonts w:ascii="Times New Roman" w:hAnsi="Times New Roman"/>
                <w:sz w:val="18"/>
                <w:szCs w:val="18"/>
              </w:rPr>
              <w:t>F</w:t>
            </w:r>
            <w:r>
              <w:rPr>
                <w:rFonts w:ascii="Times New Roman" w:hAnsi="Times New Roman"/>
                <w:sz w:val="18"/>
                <w:szCs w:val="18"/>
              </w:rPr>
              <w:t>amilial</w:t>
            </w:r>
          </w:p>
        </w:tc>
        <w:tc>
          <w:tcPr>
            <w:tcW w:w="1125" w:type="dxa"/>
            <w:gridSpan w:val="2"/>
            <w:shd w:val="clear" w:color="auto" w:fill="FFFFFF" w:themeFill="background1"/>
          </w:tcPr>
          <w:p w14:paraId="4686A3C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5%</w:t>
            </w:r>
          </w:p>
        </w:tc>
        <w:tc>
          <w:tcPr>
            <w:tcW w:w="1147" w:type="dxa"/>
            <w:gridSpan w:val="2"/>
            <w:shd w:val="clear" w:color="auto" w:fill="FFFFFF" w:themeFill="background1"/>
          </w:tcPr>
          <w:p w14:paraId="36451AA0" w14:textId="77777777" w:rsidR="005773EB" w:rsidRPr="00A82D6D" w:rsidRDefault="005773EB" w:rsidP="00520C99">
            <w:pPr>
              <w:pStyle w:val="ListParagraph"/>
              <w:numPr>
                <w:ilvl w:val="0"/>
                <w:numId w:val="8"/>
              </w:numPr>
              <w:spacing w:after="0" w:line="240" w:lineRule="auto"/>
              <w:rPr>
                <w:rFonts w:ascii="Times New Roman" w:hAnsi="Times New Roman"/>
                <w:sz w:val="18"/>
                <w:szCs w:val="18"/>
                <w:lang w:val="en-GB"/>
              </w:rPr>
            </w:pPr>
            <w:r w:rsidRPr="00A82D6D">
              <w:rPr>
                <w:rFonts w:ascii="Times New Roman" w:hAnsi="Times New Roman"/>
                <w:sz w:val="18"/>
                <w:szCs w:val="18"/>
                <w:lang w:val="en-GB"/>
              </w:rPr>
              <w:t>17%</w:t>
            </w:r>
          </w:p>
        </w:tc>
        <w:tc>
          <w:tcPr>
            <w:tcW w:w="1701" w:type="dxa"/>
            <w:vMerge/>
            <w:shd w:val="clear" w:color="auto" w:fill="FFFFFF" w:themeFill="background1"/>
          </w:tcPr>
          <w:p w14:paraId="141B3B1A"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73B71927"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524CDCA9"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69BA2405"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2504D1D9"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4233912F" w14:textId="77777777" w:rsidTr="00520C99">
        <w:trPr>
          <w:trHeight w:val="440"/>
        </w:trPr>
        <w:tc>
          <w:tcPr>
            <w:tcW w:w="2769" w:type="dxa"/>
            <w:gridSpan w:val="2"/>
            <w:vMerge/>
            <w:shd w:val="clear" w:color="auto" w:fill="FFFFFF" w:themeFill="background1"/>
          </w:tcPr>
          <w:p w14:paraId="41E7B6F8"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716331D1"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rPr>
              <w:t>Pourcentage des adolescents qui utilisent les standards de services adaptés de SSR et de VIH.</w:t>
            </w:r>
          </w:p>
        </w:tc>
        <w:tc>
          <w:tcPr>
            <w:tcW w:w="1125" w:type="dxa"/>
            <w:gridSpan w:val="2"/>
            <w:shd w:val="clear" w:color="auto" w:fill="FFFFFF" w:themeFill="background1"/>
          </w:tcPr>
          <w:p w14:paraId="057B0415"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23%</w:t>
            </w:r>
          </w:p>
        </w:tc>
        <w:tc>
          <w:tcPr>
            <w:tcW w:w="1147" w:type="dxa"/>
            <w:gridSpan w:val="2"/>
            <w:shd w:val="clear" w:color="auto" w:fill="FFFFFF" w:themeFill="background1"/>
          </w:tcPr>
          <w:p w14:paraId="5B58557F"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5</w:t>
            </w:r>
            <w:r>
              <w:rPr>
                <w:rFonts w:ascii="Times New Roman" w:hAnsi="Times New Roman"/>
                <w:sz w:val="18"/>
                <w:szCs w:val="18"/>
                <w:lang w:val="en-GB"/>
              </w:rPr>
              <w:t>0</w:t>
            </w:r>
            <w:r w:rsidRPr="00862219">
              <w:rPr>
                <w:rFonts w:ascii="Times New Roman" w:hAnsi="Times New Roman"/>
                <w:sz w:val="18"/>
                <w:szCs w:val="18"/>
                <w:lang w:val="en-GB"/>
              </w:rPr>
              <w:t>%</w:t>
            </w:r>
          </w:p>
        </w:tc>
        <w:tc>
          <w:tcPr>
            <w:tcW w:w="1701" w:type="dxa"/>
            <w:vMerge/>
            <w:shd w:val="clear" w:color="auto" w:fill="FFFFFF" w:themeFill="background1"/>
          </w:tcPr>
          <w:p w14:paraId="66D4C7FE"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lang w:val="en-GB"/>
              </w:rPr>
            </w:pPr>
          </w:p>
        </w:tc>
        <w:tc>
          <w:tcPr>
            <w:tcW w:w="1434" w:type="dxa"/>
            <w:vMerge/>
            <w:shd w:val="clear" w:color="auto" w:fill="FFFFFF" w:themeFill="background1"/>
            <w:vAlign w:val="center"/>
          </w:tcPr>
          <w:p w14:paraId="0C0959D5" w14:textId="77777777" w:rsidR="005773EB" w:rsidRPr="00862219" w:rsidRDefault="005773EB" w:rsidP="00520C99">
            <w:pPr>
              <w:spacing w:after="0" w:line="240" w:lineRule="auto"/>
              <w:rPr>
                <w:rFonts w:ascii="Times New Roman" w:hAnsi="Times New Roman"/>
                <w:b/>
                <w:sz w:val="18"/>
                <w:lang w:val="en-GB"/>
              </w:rPr>
            </w:pPr>
          </w:p>
        </w:tc>
        <w:tc>
          <w:tcPr>
            <w:tcW w:w="1134" w:type="dxa"/>
            <w:vMerge/>
            <w:shd w:val="clear" w:color="auto" w:fill="FFFFFF" w:themeFill="background1"/>
            <w:vAlign w:val="center"/>
          </w:tcPr>
          <w:p w14:paraId="5DC7EBD6" w14:textId="77777777" w:rsidR="005773EB" w:rsidRPr="00862219" w:rsidRDefault="005773EB" w:rsidP="00520C99">
            <w:pPr>
              <w:spacing w:after="0" w:line="240" w:lineRule="auto"/>
              <w:rPr>
                <w:rFonts w:ascii="Times New Roman" w:hAnsi="Times New Roman"/>
                <w:sz w:val="18"/>
                <w:szCs w:val="18"/>
                <w:lang w:val="en-GB"/>
              </w:rPr>
            </w:pPr>
          </w:p>
        </w:tc>
        <w:tc>
          <w:tcPr>
            <w:tcW w:w="1130" w:type="dxa"/>
            <w:vMerge/>
            <w:shd w:val="clear" w:color="auto" w:fill="FFFFFF" w:themeFill="background1"/>
            <w:vAlign w:val="center"/>
          </w:tcPr>
          <w:p w14:paraId="59AF5811" w14:textId="77777777" w:rsidR="005773EB" w:rsidRPr="00862219" w:rsidRDefault="005773EB" w:rsidP="00520C99">
            <w:pPr>
              <w:spacing w:after="0" w:line="240" w:lineRule="auto"/>
              <w:rPr>
                <w:rFonts w:ascii="Times New Roman" w:hAnsi="Times New Roman"/>
                <w:sz w:val="18"/>
                <w:szCs w:val="18"/>
                <w:lang w:val="en-GB"/>
              </w:rPr>
            </w:pPr>
          </w:p>
        </w:tc>
        <w:tc>
          <w:tcPr>
            <w:tcW w:w="1293" w:type="dxa"/>
            <w:gridSpan w:val="2"/>
            <w:vMerge/>
            <w:shd w:val="clear" w:color="auto" w:fill="FFFFFF" w:themeFill="background1"/>
            <w:vAlign w:val="center"/>
          </w:tcPr>
          <w:p w14:paraId="36D27086" w14:textId="77777777" w:rsidR="005773EB" w:rsidRPr="00862219" w:rsidRDefault="005773EB" w:rsidP="00520C99">
            <w:pPr>
              <w:spacing w:after="0" w:line="240" w:lineRule="auto"/>
              <w:rPr>
                <w:rFonts w:ascii="Times New Roman" w:hAnsi="Times New Roman"/>
                <w:sz w:val="18"/>
                <w:szCs w:val="18"/>
                <w:lang w:val="en-GB"/>
              </w:rPr>
            </w:pPr>
          </w:p>
        </w:tc>
      </w:tr>
      <w:tr w:rsidR="005773EB" w:rsidRPr="00862219" w14:paraId="50374119" w14:textId="77777777" w:rsidTr="00520C99">
        <w:trPr>
          <w:trHeight w:val="707"/>
        </w:trPr>
        <w:tc>
          <w:tcPr>
            <w:tcW w:w="2769" w:type="dxa"/>
            <w:gridSpan w:val="2"/>
            <w:vMerge/>
            <w:shd w:val="clear" w:color="auto" w:fill="FFFFFF" w:themeFill="background1"/>
          </w:tcPr>
          <w:p w14:paraId="4F557D02" w14:textId="77777777" w:rsidR="005773EB" w:rsidRPr="00862219" w:rsidRDefault="005773EB" w:rsidP="00520C99">
            <w:pPr>
              <w:spacing w:after="0" w:line="240" w:lineRule="auto"/>
              <w:jc w:val="both"/>
              <w:rPr>
                <w:rFonts w:ascii="Times New Roman" w:hAnsi="Times New Roman"/>
                <w:b/>
                <w:sz w:val="18"/>
                <w:szCs w:val="18"/>
                <w:lang w:val="en-GB"/>
              </w:rPr>
            </w:pPr>
          </w:p>
        </w:tc>
        <w:tc>
          <w:tcPr>
            <w:tcW w:w="3023" w:type="dxa"/>
            <w:gridSpan w:val="4"/>
            <w:shd w:val="clear" w:color="auto" w:fill="FFFFFF" w:themeFill="background1"/>
          </w:tcPr>
          <w:p w14:paraId="1DA993C4" w14:textId="77777777" w:rsidR="005773EB" w:rsidRPr="00862219" w:rsidRDefault="005773EB" w:rsidP="00520C99">
            <w:pPr>
              <w:spacing w:after="0" w:line="240" w:lineRule="auto"/>
              <w:ind w:left="144"/>
              <w:rPr>
                <w:rFonts w:ascii="Times New Roman" w:hAnsi="Times New Roman"/>
                <w:sz w:val="18"/>
                <w:szCs w:val="18"/>
              </w:rPr>
            </w:pPr>
          </w:p>
          <w:p w14:paraId="0D96781C"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E86829">
              <w:rPr>
                <w:rFonts w:ascii="Times New Roman" w:hAnsi="Times New Roman"/>
                <w:sz w:val="18"/>
              </w:rPr>
              <w:t>Taux d’allaitement exclusif</w:t>
            </w:r>
            <w:r w:rsidRPr="00862219">
              <w:rPr>
                <w:rFonts w:ascii="Times New Roman" w:hAnsi="Times New Roman"/>
                <w:color w:val="FF0000"/>
                <w:sz w:val="18"/>
              </w:rPr>
              <w:t xml:space="preserve"> </w:t>
            </w:r>
            <w:r w:rsidRPr="00A91856">
              <w:rPr>
                <w:rFonts w:ascii="Times New Roman" w:hAnsi="Times New Roman"/>
                <w:sz w:val="18"/>
              </w:rPr>
              <w:t>(enfants 0-5 mois)</w:t>
            </w:r>
          </w:p>
        </w:tc>
        <w:tc>
          <w:tcPr>
            <w:tcW w:w="1125" w:type="dxa"/>
            <w:gridSpan w:val="2"/>
            <w:shd w:val="clear" w:color="auto" w:fill="FFFFFF" w:themeFill="background1"/>
          </w:tcPr>
          <w:p w14:paraId="608A7C99"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5%</w:t>
            </w:r>
          </w:p>
        </w:tc>
        <w:tc>
          <w:tcPr>
            <w:tcW w:w="1147" w:type="dxa"/>
            <w:gridSpan w:val="2"/>
            <w:shd w:val="clear" w:color="auto" w:fill="FFFFFF" w:themeFill="background1"/>
          </w:tcPr>
          <w:p w14:paraId="3BDADCCA"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20%</w:t>
            </w:r>
          </w:p>
        </w:tc>
        <w:tc>
          <w:tcPr>
            <w:tcW w:w="1701" w:type="dxa"/>
            <w:vMerge/>
            <w:shd w:val="clear" w:color="auto" w:fill="FFFFFF" w:themeFill="background1"/>
          </w:tcPr>
          <w:p w14:paraId="5654F7BD" w14:textId="77777777" w:rsidR="005773EB" w:rsidRPr="00862219" w:rsidRDefault="005773EB" w:rsidP="00520C99">
            <w:pPr>
              <w:numPr>
                <w:ilvl w:val="0"/>
                <w:numId w:val="8"/>
              </w:numPr>
              <w:spacing w:after="0" w:line="240" w:lineRule="auto"/>
              <w:ind w:left="144" w:hanging="144"/>
              <w:rPr>
                <w:rFonts w:ascii="Times New Roman" w:hAnsi="Times New Roman"/>
                <w:sz w:val="16"/>
                <w:szCs w:val="16"/>
              </w:rPr>
            </w:pPr>
          </w:p>
        </w:tc>
        <w:tc>
          <w:tcPr>
            <w:tcW w:w="1434" w:type="dxa"/>
            <w:vMerge/>
            <w:shd w:val="clear" w:color="auto" w:fill="FFFFFF" w:themeFill="background1"/>
            <w:vAlign w:val="center"/>
          </w:tcPr>
          <w:p w14:paraId="14B0FD02" w14:textId="77777777" w:rsidR="005773EB" w:rsidRPr="00862219" w:rsidRDefault="005773EB" w:rsidP="00520C99">
            <w:pPr>
              <w:spacing w:after="0" w:line="240" w:lineRule="auto"/>
              <w:rPr>
                <w:rFonts w:ascii="Times New Roman" w:hAnsi="Times New Roman"/>
                <w:b/>
                <w:sz w:val="18"/>
              </w:rPr>
            </w:pPr>
          </w:p>
        </w:tc>
        <w:tc>
          <w:tcPr>
            <w:tcW w:w="1134" w:type="dxa"/>
            <w:vMerge/>
            <w:shd w:val="clear" w:color="auto" w:fill="FFFFFF" w:themeFill="background1"/>
            <w:vAlign w:val="center"/>
          </w:tcPr>
          <w:p w14:paraId="64E6E60E"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vAlign w:val="center"/>
          </w:tcPr>
          <w:p w14:paraId="091486FF"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vAlign w:val="center"/>
          </w:tcPr>
          <w:p w14:paraId="738BAB4B"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3BE93722" w14:textId="77777777" w:rsidTr="00520C99">
        <w:trPr>
          <w:trHeight w:val="453"/>
        </w:trPr>
        <w:tc>
          <w:tcPr>
            <w:tcW w:w="2769" w:type="dxa"/>
            <w:gridSpan w:val="2"/>
            <w:vMerge w:val="restart"/>
            <w:shd w:val="clear" w:color="auto" w:fill="FFFFFF" w:themeFill="background1"/>
          </w:tcPr>
          <w:p w14:paraId="72C948CD" w14:textId="77777777" w:rsidR="005773EB" w:rsidRPr="00862219" w:rsidRDefault="005773EB" w:rsidP="00520C99">
            <w:pPr>
              <w:spacing w:after="0" w:line="240" w:lineRule="auto"/>
              <w:jc w:val="both"/>
              <w:rPr>
                <w:rFonts w:ascii="Times New Roman" w:hAnsi="Times New Roman"/>
                <w:b/>
                <w:sz w:val="18"/>
                <w:szCs w:val="18"/>
              </w:rPr>
            </w:pPr>
            <w:r w:rsidRPr="00862219">
              <w:rPr>
                <w:rFonts w:ascii="Times New Roman" w:hAnsi="Times New Roman"/>
                <w:b/>
                <w:sz w:val="18"/>
                <w:szCs w:val="18"/>
              </w:rPr>
              <w:t>Effet 3</w:t>
            </w:r>
            <w:r w:rsidRPr="00862219">
              <w:rPr>
                <w:rFonts w:ascii="Times New Roman" w:hAnsi="Times New Roman"/>
                <w:sz w:val="18"/>
                <w:szCs w:val="18"/>
              </w:rPr>
              <w:t xml:space="preserve">. D’ici  2021, les populations vulnérables incluant les refugiés, dans </w:t>
            </w:r>
            <w:r w:rsidRPr="00ED31CF">
              <w:rPr>
                <w:rFonts w:ascii="Times New Roman" w:hAnsi="Times New Roman"/>
                <w:sz w:val="18"/>
                <w:szCs w:val="18"/>
              </w:rPr>
              <w:t xml:space="preserve">les </w:t>
            </w:r>
            <w:r w:rsidRPr="00ED31CF">
              <w:rPr>
                <w:rFonts w:ascii="Times New Roman" w:hAnsi="Times New Roman"/>
                <w:sz w:val="18"/>
              </w:rPr>
              <w:t>zones ciblées</w:t>
            </w:r>
            <w:r w:rsidRPr="00862219">
              <w:rPr>
                <w:rFonts w:ascii="Times New Roman" w:hAnsi="Times New Roman"/>
                <w:sz w:val="18"/>
                <w:szCs w:val="18"/>
              </w:rPr>
              <w:t xml:space="preserve"> , utilisent de manière accrue et durable les services d’approvisionnement en eau potable, assurent un meilleur assainissement et adoptent des bonnes pratiques d’hygiène</w:t>
            </w:r>
          </w:p>
        </w:tc>
        <w:tc>
          <w:tcPr>
            <w:tcW w:w="3023" w:type="dxa"/>
            <w:gridSpan w:val="4"/>
            <w:shd w:val="clear" w:color="auto" w:fill="FFFFFF" w:themeFill="background1"/>
          </w:tcPr>
          <w:p w14:paraId="2EFACFD1"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Pr>
                <w:rFonts w:ascii="Times New Roman" w:hAnsi="Times New Roman"/>
                <w:sz w:val="18"/>
                <w:szCs w:val="18"/>
              </w:rPr>
              <w:t>Pourcentage de la population utilisant l’</w:t>
            </w:r>
            <w:r w:rsidRPr="00862219">
              <w:rPr>
                <w:rFonts w:ascii="Times New Roman" w:hAnsi="Times New Roman"/>
                <w:sz w:val="18"/>
                <w:szCs w:val="18"/>
              </w:rPr>
              <w:t xml:space="preserve">eau potable </w:t>
            </w:r>
            <w:r>
              <w:rPr>
                <w:rFonts w:ascii="Times New Roman" w:hAnsi="Times New Roman"/>
                <w:sz w:val="18"/>
                <w:szCs w:val="18"/>
              </w:rPr>
              <w:t>en eau de boisson</w:t>
            </w:r>
          </w:p>
        </w:tc>
        <w:tc>
          <w:tcPr>
            <w:tcW w:w="1125" w:type="dxa"/>
            <w:gridSpan w:val="2"/>
            <w:shd w:val="clear" w:color="auto" w:fill="FFFFFF" w:themeFill="background1"/>
          </w:tcPr>
          <w:p w14:paraId="67035BC4"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56%</w:t>
            </w:r>
          </w:p>
        </w:tc>
        <w:tc>
          <w:tcPr>
            <w:tcW w:w="1147" w:type="dxa"/>
            <w:gridSpan w:val="2"/>
            <w:shd w:val="clear" w:color="auto" w:fill="FFFFFF" w:themeFill="background1"/>
          </w:tcPr>
          <w:p w14:paraId="06E45C0D"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80%</w:t>
            </w:r>
          </w:p>
        </w:tc>
        <w:tc>
          <w:tcPr>
            <w:tcW w:w="1701" w:type="dxa"/>
            <w:vMerge w:val="restart"/>
            <w:shd w:val="clear" w:color="auto" w:fill="FFFFFF" w:themeFill="background1"/>
          </w:tcPr>
          <w:p w14:paraId="01AC1D24" w14:textId="77777777" w:rsidR="005773EB" w:rsidRPr="00862219" w:rsidRDefault="005773EB" w:rsidP="00520C99">
            <w:pPr>
              <w:spacing w:after="0" w:line="240" w:lineRule="auto"/>
              <w:rPr>
                <w:rFonts w:ascii="Times New Roman" w:hAnsi="Times New Roman"/>
                <w:sz w:val="18"/>
                <w:szCs w:val="18"/>
              </w:rPr>
            </w:pPr>
            <w:r w:rsidRPr="00862219">
              <w:rPr>
                <w:rFonts w:ascii="Times New Roman" w:hAnsi="Times New Roman"/>
                <w:sz w:val="18"/>
                <w:szCs w:val="18"/>
              </w:rPr>
              <w:t>Rapports MICS, JMP, GLASS, Rapports annuels</w:t>
            </w:r>
          </w:p>
        </w:tc>
        <w:tc>
          <w:tcPr>
            <w:tcW w:w="1434" w:type="dxa"/>
            <w:vMerge w:val="restart"/>
            <w:shd w:val="clear" w:color="auto" w:fill="FFFFFF" w:themeFill="background1"/>
          </w:tcPr>
          <w:p w14:paraId="42E6AD51" w14:textId="77777777" w:rsidR="005773EB" w:rsidRPr="00862219" w:rsidRDefault="005773EB" w:rsidP="00520C99">
            <w:pPr>
              <w:spacing w:after="0" w:line="240" w:lineRule="auto"/>
              <w:rPr>
                <w:rFonts w:ascii="Times New Roman" w:hAnsi="Times New Roman"/>
                <w:b/>
                <w:sz w:val="18"/>
                <w:szCs w:val="18"/>
                <w:u w:val="single"/>
                <w:lang w:val="en-US"/>
              </w:rPr>
            </w:pPr>
            <w:r w:rsidRPr="00862219">
              <w:rPr>
                <w:rFonts w:ascii="Times New Roman" w:hAnsi="Times New Roman"/>
                <w:b/>
                <w:sz w:val="18"/>
                <w:szCs w:val="18"/>
                <w:u w:val="single"/>
              </w:rPr>
              <w:t xml:space="preserve"> </w:t>
            </w:r>
            <w:r w:rsidRPr="00862219">
              <w:rPr>
                <w:rFonts w:ascii="Times New Roman" w:hAnsi="Times New Roman"/>
                <w:b/>
                <w:sz w:val="18"/>
                <w:szCs w:val="18"/>
                <w:u w:val="single"/>
                <w:lang w:val="en-US"/>
              </w:rPr>
              <w:t>BAD, UE, AFD, DDC, ONG</w:t>
            </w:r>
          </w:p>
          <w:p w14:paraId="2693E1F5" w14:textId="77777777" w:rsidR="005773EB" w:rsidRPr="00862219" w:rsidRDefault="005773EB" w:rsidP="00520C99">
            <w:pPr>
              <w:spacing w:after="0" w:line="240" w:lineRule="auto"/>
              <w:rPr>
                <w:rFonts w:ascii="Times New Roman" w:hAnsi="Times New Roman"/>
                <w:sz w:val="18"/>
                <w:szCs w:val="18"/>
                <w:lang w:val="en-US"/>
              </w:rPr>
            </w:pPr>
          </w:p>
          <w:p w14:paraId="12504335" w14:textId="77777777" w:rsidR="005773EB" w:rsidRPr="00862219" w:rsidRDefault="005773EB" w:rsidP="00520C99">
            <w:pPr>
              <w:numPr>
                <w:ilvl w:val="0"/>
                <w:numId w:val="9"/>
              </w:numPr>
              <w:spacing w:after="0" w:line="240" w:lineRule="auto"/>
              <w:ind w:left="144" w:hanging="144"/>
              <w:rPr>
                <w:rFonts w:ascii="Times New Roman" w:hAnsi="Times New Roman"/>
                <w:sz w:val="18"/>
                <w:szCs w:val="18"/>
              </w:rPr>
            </w:pPr>
            <w:r w:rsidRPr="00862219">
              <w:rPr>
                <w:rFonts w:ascii="Times New Roman" w:hAnsi="Times New Roman"/>
                <w:sz w:val="18"/>
                <w:szCs w:val="18"/>
              </w:rPr>
              <w:t>Financement des projets et programmes</w:t>
            </w:r>
          </w:p>
          <w:p w14:paraId="2C2EFB82" w14:textId="77777777" w:rsidR="005773EB" w:rsidRPr="00862219" w:rsidRDefault="005773EB" w:rsidP="00520C99">
            <w:pPr>
              <w:numPr>
                <w:ilvl w:val="0"/>
                <w:numId w:val="9"/>
              </w:numPr>
              <w:spacing w:after="0" w:line="240" w:lineRule="auto"/>
              <w:ind w:left="144" w:hanging="144"/>
              <w:rPr>
                <w:rFonts w:ascii="Times New Roman" w:hAnsi="Times New Roman"/>
                <w:sz w:val="18"/>
                <w:szCs w:val="18"/>
              </w:rPr>
            </w:pPr>
            <w:r w:rsidRPr="00862219">
              <w:rPr>
                <w:rFonts w:ascii="Times New Roman" w:hAnsi="Times New Roman"/>
                <w:sz w:val="18"/>
                <w:szCs w:val="18"/>
              </w:rPr>
              <w:t>Appui/conseil technique</w:t>
            </w:r>
          </w:p>
          <w:p w14:paraId="217366FF" w14:textId="77777777" w:rsidR="005773EB" w:rsidRPr="00862219" w:rsidRDefault="005773EB" w:rsidP="00520C99">
            <w:pPr>
              <w:numPr>
                <w:ilvl w:val="0"/>
                <w:numId w:val="9"/>
              </w:numPr>
              <w:spacing w:after="0" w:line="240" w:lineRule="auto"/>
              <w:ind w:left="144" w:hanging="144"/>
              <w:rPr>
                <w:rFonts w:ascii="Times New Roman" w:hAnsi="Times New Roman"/>
                <w:sz w:val="18"/>
                <w:szCs w:val="18"/>
              </w:rPr>
            </w:pPr>
            <w:r w:rsidRPr="00862219">
              <w:rPr>
                <w:rFonts w:ascii="Times New Roman" w:hAnsi="Times New Roman"/>
                <w:sz w:val="18"/>
                <w:szCs w:val="18"/>
              </w:rPr>
              <w:t>Mise en œuvre des projets et programmes</w:t>
            </w:r>
          </w:p>
        </w:tc>
        <w:tc>
          <w:tcPr>
            <w:tcW w:w="1134" w:type="dxa"/>
            <w:vMerge w:val="restart"/>
            <w:shd w:val="clear" w:color="auto" w:fill="FFFFFF" w:themeFill="background1"/>
          </w:tcPr>
          <w:p w14:paraId="63430406" w14:textId="77777777" w:rsidR="005773EB" w:rsidRPr="00E05B68" w:rsidRDefault="005773EB" w:rsidP="00520C99">
            <w:pPr>
              <w:rPr>
                <w:rFonts w:ascii="Times New Roman" w:hAnsi="Times New Roman" w:cs="Times New Roman"/>
                <w:b/>
                <w:noProof w:val="0"/>
                <w:color w:val="FF0000"/>
                <w:sz w:val="18"/>
              </w:rPr>
            </w:pPr>
            <w:r w:rsidRPr="00E05B68">
              <w:rPr>
                <w:rFonts w:ascii="Times New Roman" w:hAnsi="Times New Roman" w:cs="Times New Roman"/>
                <w:b/>
                <w:color w:val="FF0000"/>
                <w:sz w:val="18"/>
              </w:rPr>
              <w:t>28 752 751</w:t>
            </w:r>
          </w:p>
          <w:p w14:paraId="1CFE4DA6" w14:textId="77777777" w:rsidR="005773EB" w:rsidRPr="00E05B68" w:rsidRDefault="005773EB" w:rsidP="00520C99">
            <w:pPr>
              <w:spacing w:after="0" w:line="240" w:lineRule="auto"/>
              <w:rPr>
                <w:rFonts w:ascii="Times New Roman" w:hAnsi="Times New Roman" w:cs="Times New Roman"/>
                <w:b/>
                <w:color w:val="FF0000"/>
                <w:sz w:val="18"/>
                <w:szCs w:val="18"/>
              </w:rPr>
            </w:pPr>
          </w:p>
        </w:tc>
        <w:tc>
          <w:tcPr>
            <w:tcW w:w="1130" w:type="dxa"/>
            <w:vMerge w:val="restart"/>
            <w:shd w:val="clear" w:color="auto" w:fill="FFFFFF" w:themeFill="background1"/>
          </w:tcPr>
          <w:p w14:paraId="62F58942" w14:textId="77777777" w:rsidR="005773EB" w:rsidRPr="00E05B68" w:rsidRDefault="005773EB" w:rsidP="00520C99">
            <w:pPr>
              <w:rPr>
                <w:rFonts w:ascii="Times New Roman" w:hAnsi="Times New Roman" w:cs="Times New Roman"/>
                <w:b/>
                <w:noProof w:val="0"/>
                <w:color w:val="FF0000"/>
                <w:sz w:val="18"/>
              </w:rPr>
            </w:pPr>
            <w:r w:rsidRPr="00E05B68">
              <w:rPr>
                <w:rFonts w:ascii="Times New Roman" w:hAnsi="Times New Roman" w:cs="Times New Roman"/>
                <w:b/>
                <w:color w:val="FF0000"/>
                <w:sz w:val="18"/>
              </w:rPr>
              <w:t>5 245 000</w:t>
            </w:r>
          </w:p>
          <w:p w14:paraId="009F8C69" w14:textId="77777777" w:rsidR="005773EB" w:rsidRPr="00E05B68" w:rsidRDefault="005773EB" w:rsidP="00520C99">
            <w:pPr>
              <w:spacing w:after="0" w:line="240" w:lineRule="auto"/>
              <w:rPr>
                <w:rFonts w:ascii="Times New Roman" w:hAnsi="Times New Roman" w:cs="Times New Roman"/>
                <w:b/>
                <w:color w:val="FF0000"/>
                <w:sz w:val="18"/>
                <w:szCs w:val="18"/>
              </w:rPr>
            </w:pPr>
          </w:p>
        </w:tc>
        <w:tc>
          <w:tcPr>
            <w:tcW w:w="1293" w:type="dxa"/>
            <w:gridSpan w:val="2"/>
            <w:vMerge w:val="restart"/>
            <w:shd w:val="clear" w:color="auto" w:fill="FFFFFF" w:themeFill="background1"/>
          </w:tcPr>
          <w:p w14:paraId="03DA4D0C" w14:textId="77777777" w:rsidR="005773EB" w:rsidRPr="00E05B68" w:rsidRDefault="005773EB" w:rsidP="00520C99">
            <w:pPr>
              <w:rPr>
                <w:rFonts w:ascii="Times New Roman" w:hAnsi="Times New Roman" w:cs="Times New Roman"/>
                <w:b/>
                <w:noProof w:val="0"/>
                <w:color w:val="FF0000"/>
                <w:sz w:val="18"/>
              </w:rPr>
            </w:pPr>
            <w:r w:rsidRPr="00E05B68">
              <w:rPr>
                <w:rFonts w:ascii="Times New Roman" w:hAnsi="Times New Roman" w:cs="Times New Roman"/>
                <w:b/>
                <w:color w:val="FF0000"/>
                <w:sz w:val="18"/>
              </w:rPr>
              <w:t>23 507 751</w:t>
            </w:r>
          </w:p>
          <w:p w14:paraId="68CA81FA" w14:textId="77777777" w:rsidR="005773EB" w:rsidRPr="00E05B68" w:rsidRDefault="005773EB" w:rsidP="00520C99">
            <w:pPr>
              <w:spacing w:after="0" w:line="240" w:lineRule="auto"/>
              <w:rPr>
                <w:rFonts w:ascii="Times New Roman" w:hAnsi="Times New Roman" w:cs="Times New Roman"/>
                <w:b/>
                <w:color w:val="FF0000"/>
                <w:sz w:val="18"/>
                <w:szCs w:val="18"/>
              </w:rPr>
            </w:pPr>
          </w:p>
        </w:tc>
      </w:tr>
      <w:tr w:rsidR="005773EB" w:rsidRPr="00862219" w14:paraId="609D2581" w14:textId="77777777" w:rsidTr="00520C99">
        <w:trPr>
          <w:trHeight w:val="820"/>
        </w:trPr>
        <w:tc>
          <w:tcPr>
            <w:tcW w:w="2769" w:type="dxa"/>
            <w:gridSpan w:val="2"/>
            <w:vMerge/>
            <w:shd w:val="clear" w:color="auto" w:fill="FFFFFF" w:themeFill="background1"/>
          </w:tcPr>
          <w:p w14:paraId="7CF4EFBC"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5B9DFE13"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Proportion des populations qui pratiquent la défécation à l’air libre</w:t>
            </w:r>
          </w:p>
        </w:tc>
        <w:tc>
          <w:tcPr>
            <w:tcW w:w="1125" w:type="dxa"/>
            <w:gridSpan w:val="2"/>
            <w:shd w:val="clear" w:color="auto" w:fill="FFFFFF" w:themeFill="background1"/>
          </w:tcPr>
          <w:p w14:paraId="572905A1"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7</w:t>
            </w:r>
            <w:r w:rsidRPr="00862219">
              <w:rPr>
                <w:rFonts w:ascii="Times New Roman" w:hAnsi="Times New Roman"/>
                <w:sz w:val="18"/>
                <w:szCs w:val="18"/>
              </w:rPr>
              <w:t>6</w:t>
            </w:r>
            <w:r w:rsidRPr="00862219">
              <w:rPr>
                <w:rFonts w:ascii="Times New Roman" w:hAnsi="Times New Roman"/>
                <w:sz w:val="18"/>
                <w:szCs w:val="18"/>
                <w:lang w:val="en-GB"/>
              </w:rPr>
              <w:t>%</w:t>
            </w:r>
          </w:p>
        </w:tc>
        <w:tc>
          <w:tcPr>
            <w:tcW w:w="1147" w:type="dxa"/>
            <w:gridSpan w:val="2"/>
            <w:shd w:val="clear" w:color="auto" w:fill="FFFFFF" w:themeFill="background1"/>
          </w:tcPr>
          <w:p w14:paraId="5BC9CC73"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50%</w:t>
            </w:r>
          </w:p>
        </w:tc>
        <w:tc>
          <w:tcPr>
            <w:tcW w:w="1701" w:type="dxa"/>
            <w:vMerge/>
            <w:shd w:val="clear" w:color="auto" w:fill="FFFFFF" w:themeFill="background1"/>
          </w:tcPr>
          <w:p w14:paraId="67B5453F" w14:textId="77777777" w:rsidR="005773EB" w:rsidRPr="00862219" w:rsidRDefault="005773EB" w:rsidP="00520C99">
            <w:pPr>
              <w:spacing w:after="0" w:line="240" w:lineRule="auto"/>
              <w:rPr>
                <w:rFonts w:ascii="Times New Roman" w:hAnsi="Times New Roman"/>
                <w:sz w:val="18"/>
                <w:szCs w:val="18"/>
              </w:rPr>
            </w:pPr>
          </w:p>
        </w:tc>
        <w:tc>
          <w:tcPr>
            <w:tcW w:w="1434" w:type="dxa"/>
            <w:vMerge/>
            <w:shd w:val="clear" w:color="auto" w:fill="FFFFFF" w:themeFill="background1"/>
          </w:tcPr>
          <w:p w14:paraId="302E6A30"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tcPr>
          <w:p w14:paraId="7FAC8747"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18CEB8D0"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tcPr>
          <w:p w14:paraId="4D94CD84"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08B8B0FB" w14:textId="77777777" w:rsidTr="00520C99">
        <w:trPr>
          <w:trHeight w:val="820"/>
        </w:trPr>
        <w:tc>
          <w:tcPr>
            <w:tcW w:w="2769" w:type="dxa"/>
            <w:gridSpan w:val="2"/>
            <w:vMerge/>
            <w:shd w:val="clear" w:color="auto" w:fill="FFFFFF" w:themeFill="background1"/>
          </w:tcPr>
          <w:p w14:paraId="07B4BCEE"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3BC09BA0"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Arial,Calibri" w:eastAsia="Arial,Calibri" w:hAnsi="Arial,Calibri" w:cs="Arial,Calibri"/>
                <w:sz w:val="18"/>
                <w:szCs w:val="18"/>
              </w:rPr>
              <w:t>Pourcentage des personnes affectées par des urgences qui ont accès en permanence à l’eau potable et à l’assainissement de base selon les standards SPHERE</w:t>
            </w:r>
          </w:p>
        </w:tc>
        <w:tc>
          <w:tcPr>
            <w:tcW w:w="1125" w:type="dxa"/>
            <w:gridSpan w:val="2"/>
            <w:shd w:val="clear" w:color="auto" w:fill="FFFFFF" w:themeFill="background1"/>
          </w:tcPr>
          <w:p w14:paraId="671F268F"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55%</w:t>
            </w:r>
          </w:p>
        </w:tc>
        <w:tc>
          <w:tcPr>
            <w:tcW w:w="1147" w:type="dxa"/>
            <w:gridSpan w:val="2"/>
            <w:shd w:val="clear" w:color="auto" w:fill="FFFFFF" w:themeFill="background1"/>
          </w:tcPr>
          <w:p w14:paraId="31172932" w14:textId="77777777" w:rsidR="005773EB" w:rsidRPr="00862219" w:rsidRDefault="005773EB" w:rsidP="00520C99">
            <w:pPr>
              <w:numPr>
                <w:ilvl w:val="0"/>
                <w:numId w:val="8"/>
              </w:numPr>
              <w:spacing w:after="0" w:line="240" w:lineRule="auto"/>
              <w:ind w:left="144" w:hanging="144"/>
              <w:rPr>
                <w:rFonts w:ascii="Times New Roman" w:hAnsi="Times New Roman"/>
                <w:sz w:val="18"/>
                <w:szCs w:val="18"/>
              </w:rPr>
            </w:pPr>
            <w:r w:rsidRPr="00862219">
              <w:rPr>
                <w:rFonts w:ascii="Times New Roman" w:hAnsi="Times New Roman"/>
                <w:sz w:val="18"/>
                <w:szCs w:val="18"/>
                <w:lang w:val="en-GB"/>
              </w:rPr>
              <w:t>75%</w:t>
            </w:r>
          </w:p>
        </w:tc>
        <w:tc>
          <w:tcPr>
            <w:tcW w:w="1701" w:type="dxa"/>
            <w:vMerge/>
            <w:shd w:val="clear" w:color="auto" w:fill="FFFFFF" w:themeFill="background1"/>
          </w:tcPr>
          <w:p w14:paraId="6094368F" w14:textId="77777777" w:rsidR="005773EB" w:rsidRPr="00862219" w:rsidRDefault="005773EB" w:rsidP="00520C99">
            <w:pPr>
              <w:spacing w:after="0" w:line="240" w:lineRule="auto"/>
              <w:rPr>
                <w:rFonts w:ascii="Times New Roman" w:hAnsi="Times New Roman"/>
                <w:sz w:val="18"/>
                <w:szCs w:val="18"/>
              </w:rPr>
            </w:pPr>
          </w:p>
        </w:tc>
        <w:tc>
          <w:tcPr>
            <w:tcW w:w="1434" w:type="dxa"/>
            <w:vMerge/>
            <w:shd w:val="clear" w:color="auto" w:fill="FFFFFF" w:themeFill="background1"/>
          </w:tcPr>
          <w:p w14:paraId="30FDEC29"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tcPr>
          <w:p w14:paraId="18599D11"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40EB432F"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tcPr>
          <w:p w14:paraId="1C7D29C8"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02F0C4F2" w14:textId="77777777" w:rsidTr="00520C99">
        <w:trPr>
          <w:trHeight w:val="820"/>
        </w:trPr>
        <w:tc>
          <w:tcPr>
            <w:tcW w:w="2769" w:type="dxa"/>
            <w:gridSpan w:val="2"/>
            <w:vMerge/>
            <w:shd w:val="clear" w:color="auto" w:fill="FFFFFF" w:themeFill="background1"/>
          </w:tcPr>
          <w:p w14:paraId="306A4010" w14:textId="77777777" w:rsidR="005773EB" w:rsidRPr="00862219" w:rsidRDefault="005773EB" w:rsidP="00520C99">
            <w:pPr>
              <w:spacing w:after="0" w:line="240" w:lineRule="auto"/>
              <w:jc w:val="both"/>
              <w:rPr>
                <w:rFonts w:ascii="Times New Roman" w:hAnsi="Times New Roman"/>
                <w:b/>
                <w:sz w:val="18"/>
                <w:szCs w:val="18"/>
              </w:rPr>
            </w:pPr>
          </w:p>
        </w:tc>
        <w:tc>
          <w:tcPr>
            <w:tcW w:w="3023" w:type="dxa"/>
            <w:gridSpan w:val="4"/>
            <w:shd w:val="clear" w:color="auto" w:fill="FFFFFF" w:themeFill="background1"/>
          </w:tcPr>
          <w:p w14:paraId="77286619" w14:textId="77777777" w:rsidR="005773EB"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Existence d’un cadre opérationnel  et coordination technique Etat et partenaires</w:t>
            </w:r>
          </w:p>
          <w:p w14:paraId="63E1C770" w14:textId="77777777" w:rsidR="005773EB" w:rsidRDefault="005773EB" w:rsidP="00520C99">
            <w:pPr>
              <w:spacing w:after="0" w:line="240" w:lineRule="auto"/>
              <w:rPr>
                <w:rFonts w:ascii="Times New Roman" w:hAnsi="Times New Roman"/>
                <w:sz w:val="18"/>
                <w:szCs w:val="18"/>
              </w:rPr>
            </w:pPr>
          </w:p>
          <w:p w14:paraId="67AD055A" w14:textId="77777777" w:rsidR="005773EB" w:rsidRPr="00862219" w:rsidRDefault="005773EB" w:rsidP="00520C99">
            <w:pPr>
              <w:spacing w:after="0" w:line="240" w:lineRule="auto"/>
              <w:rPr>
                <w:rFonts w:ascii="Times New Roman" w:hAnsi="Times New Roman"/>
                <w:sz w:val="18"/>
                <w:szCs w:val="18"/>
              </w:rPr>
            </w:pPr>
          </w:p>
        </w:tc>
        <w:tc>
          <w:tcPr>
            <w:tcW w:w="1125" w:type="dxa"/>
            <w:gridSpan w:val="2"/>
            <w:shd w:val="clear" w:color="auto" w:fill="FFFFFF" w:themeFill="background1"/>
          </w:tcPr>
          <w:p w14:paraId="73B33C96"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0</w:t>
            </w:r>
          </w:p>
        </w:tc>
        <w:tc>
          <w:tcPr>
            <w:tcW w:w="1147" w:type="dxa"/>
            <w:gridSpan w:val="2"/>
            <w:shd w:val="clear" w:color="auto" w:fill="FFFFFF" w:themeFill="background1"/>
          </w:tcPr>
          <w:p w14:paraId="3E28401A"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1</w:t>
            </w:r>
          </w:p>
        </w:tc>
        <w:tc>
          <w:tcPr>
            <w:tcW w:w="1701" w:type="dxa"/>
            <w:vMerge/>
            <w:shd w:val="clear" w:color="auto" w:fill="FFFFFF" w:themeFill="background1"/>
          </w:tcPr>
          <w:p w14:paraId="292FF7CB" w14:textId="77777777" w:rsidR="005773EB" w:rsidRPr="00862219" w:rsidRDefault="005773EB" w:rsidP="00520C99">
            <w:pPr>
              <w:spacing w:after="0" w:line="240" w:lineRule="auto"/>
              <w:rPr>
                <w:rFonts w:ascii="Times New Roman" w:hAnsi="Times New Roman"/>
                <w:sz w:val="18"/>
                <w:szCs w:val="18"/>
              </w:rPr>
            </w:pPr>
          </w:p>
        </w:tc>
        <w:tc>
          <w:tcPr>
            <w:tcW w:w="1434" w:type="dxa"/>
            <w:vMerge/>
            <w:shd w:val="clear" w:color="auto" w:fill="FFFFFF" w:themeFill="background1"/>
          </w:tcPr>
          <w:p w14:paraId="3041F220" w14:textId="77777777" w:rsidR="005773EB" w:rsidRPr="00862219" w:rsidRDefault="005773EB" w:rsidP="00520C99">
            <w:pPr>
              <w:spacing w:after="0" w:line="240" w:lineRule="auto"/>
              <w:rPr>
                <w:rFonts w:ascii="Times New Roman" w:hAnsi="Times New Roman"/>
                <w:sz w:val="18"/>
                <w:szCs w:val="18"/>
              </w:rPr>
            </w:pPr>
          </w:p>
        </w:tc>
        <w:tc>
          <w:tcPr>
            <w:tcW w:w="1134" w:type="dxa"/>
            <w:vMerge/>
            <w:shd w:val="clear" w:color="auto" w:fill="FFFFFF" w:themeFill="background1"/>
          </w:tcPr>
          <w:p w14:paraId="6CF2851F"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2EE9EBC0" w14:textId="77777777" w:rsidR="005773EB" w:rsidRPr="00862219" w:rsidRDefault="005773EB" w:rsidP="00520C99">
            <w:pPr>
              <w:spacing w:after="0" w:line="240" w:lineRule="auto"/>
              <w:rPr>
                <w:rFonts w:ascii="Times New Roman" w:hAnsi="Times New Roman"/>
                <w:sz w:val="18"/>
                <w:szCs w:val="18"/>
              </w:rPr>
            </w:pPr>
          </w:p>
        </w:tc>
        <w:tc>
          <w:tcPr>
            <w:tcW w:w="1293" w:type="dxa"/>
            <w:gridSpan w:val="2"/>
            <w:vMerge/>
            <w:shd w:val="clear" w:color="auto" w:fill="FFFFFF" w:themeFill="background1"/>
          </w:tcPr>
          <w:p w14:paraId="5F05F765"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7B9AEC13" w14:textId="77777777" w:rsidTr="00520C99">
        <w:trPr>
          <w:gridAfter w:val="1"/>
          <w:wAfter w:w="18" w:type="dxa"/>
          <w:trHeight w:val="463"/>
        </w:trPr>
        <w:tc>
          <w:tcPr>
            <w:tcW w:w="14738" w:type="dxa"/>
            <w:gridSpan w:val="15"/>
            <w:shd w:val="clear" w:color="auto" w:fill="BDD6EE" w:themeFill="accent1" w:themeFillTint="66"/>
            <w:vAlign w:val="center"/>
          </w:tcPr>
          <w:p w14:paraId="69C036ED" w14:textId="77777777" w:rsidR="005773EB" w:rsidRDefault="005773EB" w:rsidP="00520C99">
            <w:pPr>
              <w:spacing w:after="0" w:line="240" w:lineRule="auto"/>
              <w:rPr>
                <w:rFonts w:ascii="Times New Roman" w:hAnsi="Times New Roman"/>
                <w:b/>
                <w:sz w:val="18"/>
                <w:szCs w:val="18"/>
              </w:rPr>
            </w:pPr>
          </w:p>
          <w:p w14:paraId="0E081917" w14:textId="77777777" w:rsidR="005773EB" w:rsidRDefault="005773EB" w:rsidP="00520C99">
            <w:pPr>
              <w:spacing w:after="0" w:line="240" w:lineRule="auto"/>
              <w:rPr>
                <w:rFonts w:ascii="Times New Roman" w:hAnsi="Times New Roman"/>
                <w:sz w:val="18"/>
                <w:szCs w:val="18"/>
              </w:rPr>
            </w:pPr>
            <w:r w:rsidRPr="00862219">
              <w:rPr>
                <w:rFonts w:ascii="Times New Roman" w:hAnsi="Times New Roman"/>
                <w:b/>
                <w:sz w:val="18"/>
                <w:szCs w:val="18"/>
              </w:rPr>
              <w:t>Priorités et Objectifs nationaux pour le développement / ODD:</w:t>
            </w:r>
            <w:r w:rsidRPr="00862219">
              <w:rPr>
                <w:rFonts w:ascii="Times New Roman" w:hAnsi="Times New Roman"/>
                <w:sz w:val="18"/>
                <w:szCs w:val="18"/>
              </w:rPr>
              <w:t xml:space="preserve"> </w:t>
            </w:r>
            <w:r w:rsidRPr="00862219">
              <w:rPr>
                <w:rFonts w:ascii="Times New Roman" w:hAnsi="Times New Roman"/>
                <w:b/>
                <w:sz w:val="18"/>
                <w:szCs w:val="18"/>
              </w:rPr>
              <w:t>VISION 2030</w:t>
            </w:r>
            <w:r w:rsidRPr="00862219">
              <w:rPr>
                <w:rFonts w:ascii="Times New Roman" w:hAnsi="Times New Roman"/>
                <w:sz w:val="18"/>
                <w:szCs w:val="18"/>
              </w:rPr>
              <w:t xml:space="preserve"> – </w:t>
            </w:r>
            <w:r w:rsidRPr="00862219">
              <w:rPr>
                <w:rFonts w:ascii="Times New Roman" w:hAnsi="Times New Roman"/>
                <w:b/>
                <w:sz w:val="18"/>
                <w:szCs w:val="18"/>
              </w:rPr>
              <w:t>Piliers 3.</w:t>
            </w:r>
            <w:r w:rsidRPr="00862219">
              <w:rPr>
                <w:rFonts w:ascii="Times New Roman" w:hAnsi="Times New Roman"/>
                <w:sz w:val="18"/>
                <w:szCs w:val="18"/>
              </w:rPr>
              <w:t xml:space="preserve"> Croissance Economique et la Lutte contre la Pauvreté, </w:t>
            </w:r>
            <w:r w:rsidRPr="00862219">
              <w:rPr>
                <w:rFonts w:ascii="Times New Roman" w:hAnsi="Times New Roman"/>
                <w:b/>
                <w:sz w:val="18"/>
                <w:szCs w:val="18"/>
              </w:rPr>
              <w:t>6.</w:t>
            </w:r>
            <w:r w:rsidRPr="00862219">
              <w:rPr>
                <w:rFonts w:ascii="Times New Roman" w:hAnsi="Times New Roman"/>
                <w:sz w:val="18"/>
                <w:szCs w:val="18"/>
              </w:rPr>
              <w:t xml:space="preserve"> Cohésion sociale Questions transversales </w:t>
            </w:r>
            <w:r w:rsidRPr="00862219">
              <w:rPr>
                <w:rFonts w:ascii="Times New Roman" w:hAnsi="Times New Roman"/>
                <w:b/>
                <w:sz w:val="18"/>
                <w:szCs w:val="18"/>
              </w:rPr>
              <w:t>3</w:t>
            </w:r>
            <w:r w:rsidRPr="00862219">
              <w:rPr>
                <w:rFonts w:ascii="Times New Roman" w:hAnsi="Times New Roman"/>
                <w:sz w:val="18"/>
                <w:szCs w:val="18"/>
              </w:rPr>
              <w:t xml:space="preserve"> Jeunesse; </w:t>
            </w:r>
            <w:r w:rsidRPr="00862219">
              <w:rPr>
                <w:rFonts w:ascii="Times New Roman" w:hAnsi="Times New Roman"/>
                <w:b/>
                <w:sz w:val="18"/>
                <w:szCs w:val="18"/>
              </w:rPr>
              <w:t>ODD1.</w:t>
            </w:r>
            <w:r w:rsidRPr="00862219">
              <w:rPr>
                <w:rFonts w:ascii="Times New Roman" w:hAnsi="Times New Roman"/>
                <w:sz w:val="18"/>
                <w:szCs w:val="18"/>
              </w:rPr>
              <w:t xml:space="preserve"> Éliminer la pauvreté sous toutes ses formes et partout dans le monde; </w:t>
            </w:r>
            <w:r w:rsidRPr="00862219">
              <w:rPr>
                <w:rFonts w:ascii="Times New Roman" w:hAnsi="Times New Roman"/>
                <w:b/>
                <w:sz w:val="18"/>
                <w:szCs w:val="18"/>
              </w:rPr>
              <w:t>ODD10</w:t>
            </w:r>
            <w:r w:rsidRPr="00862219">
              <w:rPr>
                <w:rFonts w:ascii="Times New Roman" w:hAnsi="Times New Roman"/>
                <w:sz w:val="18"/>
                <w:szCs w:val="18"/>
              </w:rPr>
              <w:t xml:space="preserve">. Réduire les inégalités </w:t>
            </w:r>
            <w:r>
              <w:rPr>
                <w:rFonts w:ascii="Times New Roman" w:hAnsi="Times New Roman"/>
                <w:sz w:val="18"/>
                <w:szCs w:val="18"/>
              </w:rPr>
              <w:t>entre les pays et en leur sein</w:t>
            </w:r>
          </w:p>
          <w:p w14:paraId="67B73C8D" w14:textId="77777777" w:rsidR="005773EB" w:rsidRPr="00862219" w:rsidRDefault="005773EB" w:rsidP="00520C99">
            <w:pPr>
              <w:spacing w:after="0" w:line="240" w:lineRule="auto"/>
              <w:rPr>
                <w:rFonts w:ascii="Times New Roman" w:hAnsi="Times New Roman"/>
                <w:b/>
                <w:sz w:val="18"/>
                <w:szCs w:val="18"/>
              </w:rPr>
            </w:pPr>
          </w:p>
        </w:tc>
      </w:tr>
      <w:tr w:rsidR="005773EB" w:rsidRPr="00862219" w14:paraId="151D8E62" w14:textId="77777777" w:rsidTr="00520C99">
        <w:trPr>
          <w:gridAfter w:val="1"/>
          <w:wAfter w:w="18" w:type="dxa"/>
          <w:trHeight w:val="44"/>
        </w:trPr>
        <w:tc>
          <w:tcPr>
            <w:tcW w:w="9765" w:type="dxa"/>
            <w:gridSpan w:val="11"/>
            <w:shd w:val="clear" w:color="auto" w:fill="BDD6EE" w:themeFill="accent1" w:themeFillTint="66"/>
            <w:vAlign w:val="center"/>
          </w:tcPr>
          <w:p w14:paraId="015F829A" w14:textId="77777777" w:rsidR="005773EB" w:rsidRPr="00862219" w:rsidRDefault="005773EB" w:rsidP="00520C99">
            <w:pPr>
              <w:spacing w:after="0" w:line="240" w:lineRule="auto"/>
              <w:rPr>
                <w:rFonts w:ascii="Times New Roman" w:hAnsi="Times New Roman"/>
                <w:b/>
                <w:sz w:val="18"/>
                <w:szCs w:val="18"/>
              </w:rPr>
            </w:pPr>
            <w:r w:rsidRPr="00862219">
              <w:rPr>
                <w:rFonts w:ascii="Times New Roman" w:hAnsi="Times New Roman"/>
                <w:b/>
                <w:color w:val="000000"/>
                <w:sz w:val="18"/>
                <w:szCs w:val="18"/>
              </w:rPr>
              <w:t xml:space="preserve">DC 2. Protection sociale, Durabilité  et Gestion des Crises </w:t>
            </w:r>
          </w:p>
        </w:tc>
        <w:tc>
          <w:tcPr>
            <w:tcW w:w="1434" w:type="dxa"/>
            <w:shd w:val="clear" w:color="auto" w:fill="BDD6EE" w:themeFill="accent1" w:themeFillTint="66"/>
            <w:vAlign w:val="center"/>
          </w:tcPr>
          <w:p w14:paraId="4821FE6C" w14:textId="77777777" w:rsidR="005773EB" w:rsidRPr="00862219" w:rsidRDefault="005773EB" w:rsidP="00520C99">
            <w:pPr>
              <w:spacing w:after="0" w:line="240" w:lineRule="auto"/>
              <w:rPr>
                <w:rFonts w:ascii="Times New Roman" w:hAnsi="Times New Roman"/>
                <w:b/>
                <w:sz w:val="18"/>
                <w:szCs w:val="18"/>
              </w:rPr>
            </w:pPr>
          </w:p>
        </w:tc>
        <w:tc>
          <w:tcPr>
            <w:tcW w:w="1134" w:type="dxa"/>
            <w:shd w:val="clear" w:color="auto" w:fill="BDD6EE" w:themeFill="accent1" w:themeFillTint="66"/>
            <w:vAlign w:val="center"/>
          </w:tcPr>
          <w:p w14:paraId="5B2A6314" w14:textId="77777777" w:rsidR="005773EB" w:rsidRPr="00862219" w:rsidRDefault="005773EB" w:rsidP="00520C99">
            <w:pPr>
              <w:spacing w:after="0" w:line="240" w:lineRule="auto"/>
              <w:rPr>
                <w:rFonts w:ascii="Times New Roman" w:hAnsi="Times New Roman"/>
                <w:b/>
                <w:sz w:val="18"/>
                <w:szCs w:val="18"/>
              </w:rPr>
            </w:pPr>
          </w:p>
        </w:tc>
        <w:tc>
          <w:tcPr>
            <w:tcW w:w="1130" w:type="dxa"/>
            <w:shd w:val="clear" w:color="auto" w:fill="BDD6EE" w:themeFill="accent1" w:themeFillTint="66"/>
            <w:vAlign w:val="center"/>
          </w:tcPr>
          <w:p w14:paraId="0427E683" w14:textId="77777777" w:rsidR="005773EB" w:rsidRPr="00862219" w:rsidRDefault="005773EB" w:rsidP="00520C99">
            <w:pPr>
              <w:spacing w:after="0" w:line="240" w:lineRule="auto"/>
              <w:rPr>
                <w:rFonts w:ascii="Times New Roman" w:hAnsi="Times New Roman"/>
                <w:b/>
                <w:sz w:val="18"/>
                <w:szCs w:val="18"/>
              </w:rPr>
            </w:pPr>
          </w:p>
        </w:tc>
        <w:tc>
          <w:tcPr>
            <w:tcW w:w="1275" w:type="dxa"/>
            <w:shd w:val="clear" w:color="auto" w:fill="BDD6EE" w:themeFill="accent1" w:themeFillTint="66"/>
            <w:vAlign w:val="center"/>
          </w:tcPr>
          <w:p w14:paraId="09C2E6D1" w14:textId="77777777" w:rsidR="005773EB" w:rsidRPr="00862219" w:rsidRDefault="005773EB" w:rsidP="00520C99">
            <w:pPr>
              <w:spacing w:after="0" w:line="240" w:lineRule="auto"/>
              <w:rPr>
                <w:rFonts w:ascii="Times New Roman" w:hAnsi="Times New Roman"/>
                <w:b/>
                <w:sz w:val="18"/>
                <w:szCs w:val="18"/>
              </w:rPr>
            </w:pPr>
          </w:p>
        </w:tc>
      </w:tr>
      <w:tr w:rsidR="005773EB" w:rsidRPr="00862219" w14:paraId="7C6739AB" w14:textId="77777777" w:rsidTr="00520C99">
        <w:trPr>
          <w:gridAfter w:val="1"/>
          <w:wAfter w:w="18" w:type="dxa"/>
          <w:trHeight w:val="281"/>
        </w:trPr>
        <w:tc>
          <w:tcPr>
            <w:tcW w:w="2807" w:type="dxa"/>
            <w:gridSpan w:val="3"/>
            <w:shd w:val="clear" w:color="auto" w:fill="BDD6EE" w:themeFill="accent1" w:themeFillTint="66"/>
          </w:tcPr>
          <w:p w14:paraId="29EC10C2"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 xml:space="preserve">Résultats </w:t>
            </w:r>
          </w:p>
        </w:tc>
        <w:tc>
          <w:tcPr>
            <w:tcW w:w="2976" w:type="dxa"/>
            <w:gridSpan w:val="2"/>
            <w:shd w:val="clear" w:color="auto" w:fill="BDD6EE" w:themeFill="accent1" w:themeFillTint="66"/>
          </w:tcPr>
          <w:p w14:paraId="604B9D12"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Indicateurs</w:t>
            </w:r>
          </w:p>
        </w:tc>
        <w:tc>
          <w:tcPr>
            <w:tcW w:w="1134" w:type="dxa"/>
            <w:gridSpan w:val="3"/>
            <w:shd w:val="clear" w:color="auto" w:fill="BDD6EE" w:themeFill="accent1" w:themeFillTint="66"/>
          </w:tcPr>
          <w:p w14:paraId="4FD59707"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Réf.</w:t>
            </w:r>
          </w:p>
        </w:tc>
        <w:tc>
          <w:tcPr>
            <w:tcW w:w="1134" w:type="dxa"/>
            <w:shd w:val="clear" w:color="auto" w:fill="BDD6EE" w:themeFill="accent1" w:themeFillTint="66"/>
          </w:tcPr>
          <w:p w14:paraId="500FB910"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Cible</w:t>
            </w:r>
          </w:p>
        </w:tc>
        <w:tc>
          <w:tcPr>
            <w:tcW w:w="1714" w:type="dxa"/>
            <w:gridSpan w:val="2"/>
            <w:shd w:val="clear" w:color="auto" w:fill="BDD6EE" w:themeFill="accent1" w:themeFillTint="66"/>
          </w:tcPr>
          <w:p w14:paraId="063B8CA2"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Moyen de vérification</w:t>
            </w:r>
          </w:p>
        </w:tc>
        <w:tc>
          <w:tcPr>
            <w:tcW w:w="1434" w:type="dxa"/>
            <w:shd w:val="clear" w:color="auto" w:fill="BDD6EE" w:themeFill="accent1" w:themeFillTint="66"/>
          </w:tcPr>
          <w:p w14:paraId="358ED2F5" w14:textId="77777777" w:rsidR="005773EB" w:rsidRPr="00862219" w:rsidRDefault="005773EB" w:rsidP="00520C99">
            <w:pPr>
              <w:spacing w:after="0" w:line="240" w:lineRule="auto"/>
              <w:rPr>
                <w:rFonts w:ascii="Times New Roman" w:hAnsi="Times New Roman"/>
                <w:b/>
                <w:sz w:val="18"/>
                <w:szCs w:val="18"/>
                <w:lang w:val="en-GB"/>
              </w:rPr>
            </w:pPr>
            <w:r w:rsidRPr="00862219">
              <w:rPr>
                <w:rFonts w:ascii="Times New Roman" w:hAnsi="Times New Roman"/>
                <w:b/>
                <w:sz w:val="18"/>
                <w:szCs w:val="18"/>
                <w:lang w:val="en-GB"/>
              </w:rPr>
              <w:t>Rôles des partenaires</w:t>
            </w:r>
          </w:p>
        </w:tc>
        <w:tc>
          <w:tcPr>
            <w:tcW w:w="1134" w:type="dxa"/>
            <w:shd w:val="clear" w:color="auto" w:fill="BDD6EE" w:themeFill="accent1" w:themeFillTint="66"/>
            <w:vAlign w:val="center"/>
          </w:tcPr>
          <w:p w14:paraId="433FCC02" w14:textId="77777777" w:rsidR="005773EB" w:rsidRPr="00862219" w:rsidRDefault="005773EB" w:rsidP="00520C99">
            <w:pPr>
              <w:spacing w:after="0" w:line="240" w:lineRule="auto"/>
              <w:rPr>
                <w:rFonts w:ascii="Times New Roman" w:hAnsi="Times New Roman"/>
                <w:b/>
                <w:sz w:val="18"/>
                <w:szCs w:val="18"/>
                <w:lang w:val="en-GB"/>
              </w:rPr>
            </w:pPr>
            <w:r>
              <w:rPr>
                <w:rFonts w:ascii="Times New Roman" w:hAnsi="Times New Roman"/>
                <w:b/>
                <w:sz w:val="18"/>
                <w:szCs w:val="18"/>
              </w:rPr>
              <w:t>Total</w:t>
            </w:r>
          </w:p>
        </w:tc>
        <w:tc>
          <w:tcPr>
            <w:tcW w:w="1130" w:type="dxa"/>
            <w:shd w:val="clear" w:color="auto" w:fill="BDD6EE" w:themeFill="accent1" w:themeFillTint="66"/>
            <w:vAlign w:val="center"/>
          </w:tcPr>
          <w:p w14:paraId="01823BC0" w14:textId="77777777" w:rsidR="005773EB" w:rsidRPr="0038618D" w:rsidRDefault="005773EB" w:rsidP="00520C99">
            <w:pPr>
              <w:spacing w:after="0" w:line="240" w:lineRule="auto"/>
              <w:rPr>
                <w:rFonts w:ascii="Times New Roman" w:hAnsi="Times New Roman"/>
                <w:b/>
                <w:sz w:val="18"/>
                <w:szCs w:val="18"/>
              </w:rPr>
            </w:pPr>
            <w:r>
              <w:rPr>
                <w:rFonts w:ascii="Times New Roman" w:hAnsi="Times New Roman"/>
                <w:b/>
                <w:sz w:val="18"/>
                <w:szCs w:val="18"/>
              </w:rPr>
              <w:t>Dispoponible</w:t>
            </w:r>
          </w:p>
        </w:tc>
        <w:tc>
          <w:tcPr>
            <w:tcW w:w="1275" w:type="dxa"/>
            <w:shd w:val="clear" w:color="auto" w:fill="BDD6EE" w:themeFill="accent1" w:themeFillTint="66"/>
            <w:vAlign w:val="center"/>
          </w:tcPr>
          <w:p w14:paraId="7C3AF21D" w14:textId="77777777" w:rsidR="005773EB" w:rsidRPr="0038618D" w:rsidRDefault="005773EB" w:rsidP="00520C99">
            <w:pPr>
              <w:spacing w:after="0" w:line="240" w:lineRule="auto"/>
              <w:rPr>
                <w:rFonts w:ascii="Times New Roman" w:hAnsi="Times New Roman"/>
                <w:b/>
                <w:sz w:val="18"/>
                <w:szCs w:val="18"/>
              </w:rPr>
            </w:pPr>
            <w:r>
              <w:rPr>
                <w:rFonts w:ascii="Times New Roman" w:hAnsi="Times New Roman"/>
                <w:b/>
                <w:sz w:val="18"/>
                <w:szCs w:val="18"/>
              </w:rPr>
              <w:t>A mobiliser</w:t>
            </w:r>
          </w:p>
        </w:tc>
      </w:tr>
      <w:tr w:rsidR="005773EB" w:rsidRPr="00862219" w14:paraId="3B26BA5E" w14:textId="77777777" w:rsidTr="00520C99">
        <w:trPr>
          <w:gridAfter w:val="1"/>
          <w:wAfter w:w="18" w:type="dxa"/>
          <w:trHeight w:val="800"/>
        </w:trPr>
        <w:tc>
          <w:tcPr>
            <w:tcW w:w="2807" w:type="dxa"/>
            <w:gridSpan w:val="3"/>
            <w:vMerge w:val="restart"/>
            <w:shd w:val="clear" w:color="auto" w:fill="FFFFFF" w:themeFill="background1"/>
          </w:tcPr>
          <w:p w14:paraId="1F1C5986" w14:textId="77777777" w:rsidR="005773EB" w:rsidRPr="00862219" w:rsidRDefault="005773EB" w:rsidP="00520C99">
            <w:pPr>
              <w:spacing w:after="0" w:line="240" w:lineRule="auto"/>
              <w:jc w:val="both"/>
              <w:rPr>
                <w:rFonts w:ascii="Times New Roman" w:hAnsi="Times New Roman"/>
                <w:b/>
                <w:sz w:val="18"/>
                <w:szCs w:val="18"/>
              </w:rPr>
            </w:pPr>
            <w:r w:rsidRPr="00862219">
              <w:rPr>
                <w:rFonts w:ascii="Times New Roman" w:hAnsi="Times New Roman"/>
                <w:b/>
                <w:sz w:val="18"/>
                <w:szCs w:val="18"/>
              </w:rPr>
              <w:t xml:space="preserve">Effet 4: </w:t>
            </w:r>
            <w:r w:rsidRPr="00862219">
              <w:rPr>
                <w:rFonts w:ascii="Times New Roman" w:hAnsi="Times New Roman"/>
                <w:sz w:val="18"/>
                <w:szCs w:val="18"/>
              </w:rPr>
              <w:t>D’ici 2021, l’Etat adopte, met en œuvre et promeut l’utilisation des systèmes de protection sociale, de protection de l’enfance, de préparation et gestion des crises et catastrophes, et de relèvement rapide</w:t>
            </w:r>
          </w:p>
        </w:tc>
        <w:tc>
          <w:tcPr>
            <w:tcW w:w="2976" w:type="dxa"/>
            <w:gridSpan w:val="2"/>
            <w:shd w:val="clear" w:color="auto" w:fill="FFFFFF" w:themeFill="background1"/>
          </w:tcPr>
          <w:p w14:paraId="1DA31BA9"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Pourcentage de personnes vivant dans un m</w:t>
            </w:r>
            <w:r>
              <w:rPr>
                <w:rFonts w:ascii="Times New Roman" w:hAnsi="Times New Roman"/>
                <w:sz w:val="18"/>
                <w:szCs w:val="18"/>
              </w:rPr>
              <w:t>é</w:t>
            </w:r>
            <w:r w:rsidRPr="00862219">
              <w:rPr>
                <w:rFonts w:ascii="Times New Roman" w:hAnsi="Times New Roman"/>
                <w:sz w:val="18"/>
                <w:szCs w:val="18"/>
              </w:rPr>
              <w:t xml:space="preserve">nage couvert par au moins un programme du socle de protection sociale, incluant l'éducation et la santé (selon l'âge, le sexe, le statut économique, l'origine, lieu de résidence, le handicap et l'état civil) </w:t>
            </w:r>
          </w:p>
        </w:tc>
        <w:tc>
          <w:tcPr>
            <w:tcW w:w="1134" w:type="dxa"/>
            <w:gridSpan w:val="3"/>
            <w:shd w:val="clear" w:color="auto" w:fill="FFFFFF" w:themeFill="background1"/>
          </w:tcPr>
          <w:p w14:paraId="1568DBCB"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sz w:val="18"/>
                <w:szCs w:val="18"/>
              </w:rPr>
              <w:t>ND</w:t>
            </w:r>
          </w:p>
        </w:tc>
        <w:tc>
          <w:tcPr>
            <w:tcW w:w="1134" w:type="dxa"/>
            <w:shd w:val="clear" w:color="auto" w:fill="FFFFFF" w:themeFill="background1"/>
          </w:tcPr>
          <w:p w14:paraId="72C4B377"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sz w:val="18"/>
                <w:szCs w:val="18"/>
              </w:rPr>
              <w:t>Accroissement 10%</w:t>
            </w:r>
          </w:p>
        </w:tc>
        <w:tc>
          <w:tcPr>
            <w:tcW w:w="1714" w:type="dxa"/>
            <w:gridSpan w:val="2"/>
            <w:vMerge w:val="restart"/>
            <w:shd w:val="clear" w:color="auto" w:fill="FFFFFF" w:themeFill="background1"/>
          </w:tcPr>
          <w:p w14:paraId="7F25C953" w14:textId="77777777" w:rsidR="005773EB" w:rsidRPr="00862219" w:rsidRDefault="005773EB" w:rsidP="00520C99">
            <w:pPr>
              <w:numPr>
                <w:ilvl w:val="0"/>
                <w:numId w:val="4"/>
              </w:numPr>
              <w:spacing w:after="0" w:line="240" w:lineRule="auto"/>
              <w:rPr>
                <w:rFonts w:ascii="Times New Roman" w:hAnsi="Times New Roman"/>
                <w:sz w:val="18"/>
                <w:szCs w:val="18"/>
              </w:rPr>
            </w:pPr>
            <w:r w:rsidRPr="00862219">
              <w:rPr>
                <w:rFonts w:ascii="Times New Roman" w:hAnsi="Times New Roman"/>
                <w:sz w:val="18"/>
                <w:szCs w:val="18"/>
              </w:rPr>
              <w:t>Données INSEED/enquêtes EVST/SISAAP/</w:t>
            </w:r>
          </w:p>
          <w:p w14:paraId="67A960F9" w14:textId="77777777" w:rsidR="005773EB" w:rsidRPr="00862219" w:rsidRDefault="005773EB" w:rsidP="00520C99">
            <w:pPr>
              <w:numPr>
                <w:ilvl w:val="0"/>
                <w:numId w:val="4"/>
              </w:numPr>
              <w:spacing w:after="0" w:line="240" w:lineRule="auto"/>
              <w:rPr>
                <w:rFonts w:ascii="Times New Roman" w:hAnsi="Times New Roman"/>
                <w:sz w:val="18"/>
                <w:szCs w:val="18"/>
              </w:rPr>
            </w:pPr>
            <w:r w:rsidRPr="00862219">
              <w:rPr>
                <w:rFonts w:ascii="Times New Roman" w:hAnsi="Times New Roman"/>
                <w:sz w:val="18"/>
                <w:szCs w:val="18"/>
                <w:lang w:val="en-GB"/>
              </w:rPr>
              <w:t>CASAGC/</w:t>
            </w:r>
          </w:p>
          <w:p w14:paraId="67FA18FB" w14:textId="77777777" w:rsidR="005773EB" w:rsidRPr="00862219" w:rsidRDefault="005773EB" w:rsidP="00520C99">
            <w:pPr>
              <w:numPr>
                <w:ilvl w:val="0"/>
                <w:numId w:val="4"/>
              </w:numPr>
              <w:spacing w:after="0" w:line="240" w:lineRule="auto"/>
              <w:rPr>
                <w:rFonts w:ascii="Times New Roman" w:hAnsi="Times New Roman"/>
                <w:sz w:val="18"/>
                <w:szCs w:val="18"/>
              </w:rPr>
            </w:pPr>
            <w:r w:rsidRPr="00862219">
              <w:rPr>
                <w:rFonts w:ascii="Times New Roman" w:hAnsi="Times New Roman"/>
                <w:sz w:val="18"/>
                <w:szCs w:val="18"/>
                <w:lang w:val="en-GB"/>
              </w:rPr>
              <w:t>Annuaires statistiques</w:t>
            </w:r>
          </w:p>
          <w:p w14:paraId="009D3DF0" w14:textId="77777777" w:rsidR="005773EB" w:rsidRPr="00862219" w:rsidRDefault="005773EB" w:rsidP="00520C99">
            <w:pPr>
              <w:numPr>
                <w:ilvl w:val="0"/>
                <w:numId w:val="4"/>
              </w:numPr>
              <w:spacing w:after="0" w:line="240" w:lineRule="auto"/>
              <w:rPr>
                <w:rFonts w:ascii="Times New Roman" w:hAnsi="Times New Roman"/>
                <w:sz w:val="18"/>
                <w:szCs w:val="18"/>
              </w:rPr>
            </w:pPr>
            <w:r w:rsidRPr="00862219">
              <w:rPr>
                <w:rFonts w:ascii="Times New Roman" w:hAnsi="Times New Roman"/>
                <w:sz w:val="18"/>
                <w:szCs w:val="18"/>
                <w:lang w:val="en-GB"/>
              </w:rPr>
              <w:t>ECOSIT4/ Enquetes de vulnerabilité</w:t>
            </w:r>
          </w:p>
        </w:tc>
        <w:tc>
          <w:tcPr>
            <w:tcW w:w="1434" w:type="dxa"/>
            <w:vMerge w:val="restart"/>
            <w:shd w:val="clear" w:color="auto" w:fill="FFFFFF" w:themeFill="background1"/>
          </w:tcPr>
          <w:p w14:paraId="2B5DD11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B.M., BAD et UE:</w:t>
            </w:r>
          </w:p>
          <w:p w14:paraId="492C36D4"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Financement,</w:t>
            </w:r>
          </w:p>
          <w:p w14:paraId="40403A9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mise à disposition de ressources financières</w:t>
            </w:r>
          </w:p>
          <w:p w14:paraId="7B13C336"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 xml:space="preserve">Assistance technique </w:t>
            </w:r>
          </w:p>
          <w:p w14:paraId="4034D618"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Appui budgétaire</w:t>
            </w:r>
          </w:p>
        </w:tc>
        <w:tc>
          <w:tcPr>
            <w:tcW w:w="1134" w:type="dxa"/>
            <w:vMerge w:val="restart"/>
            <w:shd w:val="clear" w:color="auto" w:fill="FFFFFF" w:themeFill="background1"/>
          </w:tcPr>
          <w:p w14:paraId="46062AB7" w14:textId="77777777" w:rsidR="005773EB" w:rsidRPr="003B2D8C" w:rsidRDefault="005773EB" w:rsidP="00520C99">
            <w:pPr>
              <w:rPr>
                <w:rFonts w:ascii="Times New Roman" w:hAnsi="Times New Roman" w:cs="Times New Roman"/>
                <w:b/>
                <w:noProof w:val="0"/>
                <w:color w:val="FF0000"/>
                <w:sz w:val="16"/>
              </w:rPr>
            </w:pPr>
            <w:r w:rsidRPr="003B2D8C">
              <w:rPr>
                <w:rFonts w:ascii="Times New Roman" w:hAnsi="Times New Roman" w:cs="Times New Roman"/>
                <w:b/>
                <w:color w:val="FF0000"/>
                <w:sz w:val="16"/>
              </w:rPr>
              <w:t>489 187 139</w:t>
            </w:r>
          </w:p>
          <w:p w14:paraId="75A179B5" w14:textId="77777777" w:rsidR="005773EB" w:rsidRPr="003B2D8C" w:rsidRDefault="005773EB" w:rsidP="00520C99">
            <w:pPr>
              <w:spacing w:after="0" w:line="240" w:lineRule="auto"/>
              <w:rPr>
                <w:rFonts w:ascii="Times New Roman" w:hAnsi="Times New Roman" w:cs="Times New Roman"/>
                <w:b/>
                <w:color w:val="FF0000"/>
                <w:sz w:val="16"/>
                <w:szCs w:val="18"/>
              </w:rPr>
            </w:pPr>
          </w:p>
        </w:tc>
        <w:tc>
          <w:tcPr>
            <w:tcW w:w="1130" w:type="dxa"/>
            <w:vMerge w:val="restart"/>
            <w:shd w:val="clear" w:color="auto" w:fill="FFFFFF" w:themeFill="background1"/>
          </w:tcPr>
          <w:p w14:paraId="4EC6FCAE" w14:textId="77777777" w:rsidR="005773EB" w:rsidRPr="003B2D8C" w:rsidRDefault="005773EB" w:rsidP="00520C99">
            <w:pPr>
              <w:rPr>
                <w:rFonts w:ascii="Times New Roman" w:hAnsi="Times New Roman" w:cs="Times New Roman"/>
                <w:b/>
                <w:noProof w:val="0"/>
                <w:color w:val="FF0000"/>
                <w:sz w:val="16"/>
              </w:rPr>
            </w:pPr>
            <w:r w:rsidRPr="003B2D8C">
              <w:rPr>
                <w:rFonts w:ascii="Times New Roman" w:hAnsi="Times New Roman" w:cs="Times New Roman"/>
                <w:b/>
                <w:color w:val="FF0000"/>
                <w:sz w:val="16"/>
              </w:rPr>
              <w:t>11 255 000</w:t>
            </w:r>
          </w:p>
          <w:p w14:paraId="42D876A7" w14:textId="77777777" w:rsidR="005773EB" w:rsidRPr="003B2D8C" w:rsidRDefault="005773EB" w:rsidP="00520C99">
            <w:pPr>
              <w:spacing w:after="0" w:line="240" w:lineRule="auto"/>
              <w:rPr>
                <w:rFonts w:ascii="Times New Roman" w:hAnsi="Times New Roman" w:cs="Times New Roman"/>
                <w:b/>
                <w:color w:val="FF0000"/>
                <w:sz w:val="16"/>
                <w:szCs w:val="18"/>
              </w:rPr>
            </w:pPr>
          </w:p>
        </w:tc>
        <w:tc>
          <w:tcPr>
            <w:tcW w:w="1275" w:type="dxa"/>
            <w:vMerge w:val="restart"/>
            <w:shd w:val="clear" w:color="auto" w:fill="FFFFFF" w:themeFill="background1"/>
          </w:tcPr>
          <w:p w14:paraId="054CBD89" w14:textId="77777777" w:rsidR="005773EB" w:rsidRPr="003B2D8C" w:rsidRDefault="005773EB" w:rsidP="00520C99">
            <w:pPr>
              <w:rPr>
                <w:rFonts w:ascii="Times New Roman" w:hAnsi="Times New Roman" w:cs="Times New Roman"/>
                <w:b/>
                <w:noProof w:val="0"/>
                <w:color w:val="FF0000"/>
                <w:sz w:val="16"/>
              </w:rPr>
            </w:pPr>
            <w:r w:rsidRPr="003B2D8C">
              <w:rPr>
                <w:rFonts w:ascii="Times New Roman" w:hAnsi="Times New Roman" w:cs="Times New Roman"/>
                <w:b/>
                <w:color w:val="FF0000"/>
                <w:sz w:val="16"/>
              </w:rPr>
              <w:t>477 932 139</w:t>
            </w:r>
          </w:p>
          <w:p w14:paraId="6C0FF494" w14:textId="77777777" w:rsidR="005773EB" w:rsidRPr="003B2D8C" w:rsidRDefault="005773EB" w:rsidP="00520C99">
            <w:pPr>
              <w:spacing w:after="0" w:line="240" w:lineRule="auto"/>
              <w:rPr>
                <w:rFonts w:ascii="Times New Roman" w:hAnsi="Times New Roman" w:cs="Times New Roman"/>
                <w:b/>
                <w:color w:val="FF0000"/>
                <w:sz w:val="16"/>
                <w:szCs w:val="18"/>
              </w:rPr>
            </w:pPr>
          </w:p>
        </w:tc>
      </w:tr>
      <w:tr w:rsidR="005773EB" w:rsidRPr="00862219" w14:paraId="2FEF4CB2" w14:textId="77777777" w:rsidTr="00520C99">
        <w:trPr>
          <w:gridAfter w:val="1"/>
          <w:wAfter w:w="18" w:type="dxa"/>
          <w:trHeight w:val="634"/>
        </w:trPr>
        <w:tc>
          <w:tcPr>
            <w:tcW w:w="2807" w:type="dxa"/>
            <w:gridSpan w:val="3"/>
            <w:vMerge/>
            <w:shd w:val="clear" w:color="auto" w:fill="FFFFFF" w:themeFill="background1"/>
          </w:tcPr>
          <w:p w14:paraId="57C87181" w14:textId="77777777" w:rsidR="005773EB" w:rsidRPr="00862219" w:rsidRDefault="005773EB" w:rsidP="00520C99">
            <w:pPr>
              <w:spacing w:after="0" w:line="240" w:lineRule="auto"/>
              <w:jc w:val="both"/>
              <w:rPr>
                <w:rFonts w:ascii="Times New Roman" w:hAnsi="Times New Roman"/>
                <w:b/>
                <w:sz w:val="18"/>
                <w:szCs w:val="18"/>
                <w:lang w:val="en-GB"/>
              </w:rPr>
            </w:pPr>
          </w:p>
        </w:tc>
        <w:tc>
          <w:tcPr>
            <w:tcW w:w="2976" w:type="dxa"/>
            <w:gridSpan w:val="2"/>
            <w:shd w:val="clear" w:color="auto" w:fill="FFFFFF" w:themeFill="background1"/>
          </w:tcPr>
          <w:p w14:paraId="3FB73509"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Adoption d’une loi sur la resilience et la gestion des risques</w:t>
            </w:r>
          </w:p>
        </w:tc>
        <w:tc>
          <w:tcPr>
            <w:tcW w:w="1134" w:type="dxa"/>
            <w:gridSpan w:val="3"/>
            <w:shd w:val="clear" w:color="auto" w:fill="FFFFFF" w:themeFill="background1"/>
          </w:tcPr>
          <w:p w14:paraId="727A659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0</w:t>
            </w:r>
          </w:p>
        </w:tc>
        <w:tc>
          <w:tcPr>
            <w:tcW w:w="1134" w:type="dxa"/>
            <w:shd w:val="clear" w:color="auto" w:fill="FFFFFF" w:themeFill="background1"/>
          </w:tcPr>
          <w:p w14:paraId="5C9780E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1</w:t>
            </w:r>
          </w:p>
        </w:tc>
        <w:tc>
          <w:tcPr>
            <w:tcW w:w="1714" w:type="dxa"/>
            <w:gridSpan w:val="2"/>
            <w:vMerge/>
            <w:shd w:val="clear" w:color="auto" w:fill="FFFFFF" w:themeFill="background1"/>
          </w:tcPr>
          <w:p w14:paraId="3B3A2412" w14:textId="77777777" w:rsidR="005773EB" w:rsidRPr="00862219" w:rsidRDefault="005773EB" w:rsidP="00520C99">
            <w:pPr>
              <w:numPr>
                <w:ilvl w:val="0"/>
                <w:numId w:val="4"/>
              </w:numPr>
              <w:spacing w:after="0" w:line="240" w:lineRule="auto"/>
              <w:rPr>
                <w:rFonts w:ascii="Times New Roman" w:hAnsi="Times New Roman"/>
                <w:sz w:val="18"/>
                <w:szCs w:val="18"/>
              </w:rPr>
            </w:pPr>
          </w:p>
        </w:tc>
        <w:tc>
          <w:tcPr>
            <w:tcW w:w="1434" w:type="dxa"/>
            <w:vMerge/>
            <w:shd w:val="clear" w:color="auto" w:fill="FFFFFF" w:themeFill="background1"/>
          </w:tcPr>
          <w:p w14:paraId="408698D0"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tcPr>
          <w:p w14:paraId="06A127FA"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130" w:type="dxa"/>
            <w:vMerge/>
            <w:shd w:val="clear" w:color="auto" w:fill="FFFFFF" w:themeFill="background1"/>
          </w:tcPr>
          <w:p w14:paraId="6F874F13"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34F18104"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1EE9BA75" w14:textId="77777777" w:rsidTr="00520C99">
        <w:trPr>
          <w:gridAfter w:val="1"/>
          <w:wAfter w:w="18" w:type="dxa"/>
          <w:trHeight w:val="716"/>
        </w:trPr>
        <w:tc>
          <w:tcPr>
            <w:tcW w:w="2807" w:type="dxa"/>
            <w:gridSpan w:val="3"/>
            <w:vMerge/>
            <w:shd w:val="clear" w:color="auto" w:fill="FFFFFF" w:themeFill="background1"/>
          </w:tcPr>
          <w:p w14:paraId="0A5E2521" w14:textId="77777777" w:rsidR="005773EB" w:rsidRPr="00862219" w:rsidRDefault="005773EB" w:rsidP="00520C99">
            <w:pPr>
              <w:spacing w:after="0" w:line="240" w:lineRule="auto"/>
              <w:jc w:val="both"/>
              <w:rPr>
                <w:rFonts w:ascii="Times New Roman" w:hAnsi="Times New Roman"/>
                <w:b/>
                <w:sz w:val="18"/>
                <w:szCs w:val="18"/>
                <w:lang w:val="en-GB"/>
              </w:rPr>
            </w:pPr>
          </w:p>
        </w:tc>
        <w:tc>
          <w:tcPr>
            <w:tcW w:w="2976" w:type="dxa"/>
            <w:gridSpan w:val="2"/>
            <w:shd w:val="clear" w:color="auto" w:fill="FFFFFF" w:themeFill="background1"/>
          </w:tcPr>
          <w:p w14:paraId="58C31C0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 xml:space="preserve">Pourcentage des cas refférés de la violence sexuelle et VBG contre les femmes et les enfants qui sont </w:t>
            </w:r>
            <w:r>
              <w:rPr>
                <w:rFonts w:ascii="Times New Roman" w:hAnsi="Times New Roman"/>
                <w:sz w:val="18"/>
                <w:szCs w:val="18"/>
              </w:rPr>
              <w:t xml:space="preserve"> sanctionnés</w:t>
            </w:r>
          </w:p>
        </w:tc>
        <w:tc>
          <w:tcPr>
            <w:tcW w:w="1134" w:type="dxa"/>
            <w:gridSpan w:val="3"/>
            <w:shd w:val="clear" w:color="auto" w:fill="FFFFFF" w:themeFill="background1"/>
          </w:tcPr>
          <w:p w14:paraId="50165B55"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0</w:t>
            </w:r>
          </w:p>
        </w:tc>
        <w:tc>
          <w:tcPr>
            <w:tcW w:w="1134" w:type="dxa"/>
            <w:shd w:val="clear" w:color="auto" w:fill="FFFFFF" w:themeFill="background1"/>
          </w:tcPr>
          <w:p w14:paraId="04BAA738"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60</w:t>
            </w:r>
          </w:p>
        </w:tc>
        <w:tc>
          <w:tcPr>
            <w:tcW w:w="1714" w:type="dxa"/>
            <w:gridSpan w:val="2"/>
            <w:vMerge/>
            <w:shd w:val="clear" w:color="auto" w:fill="FFFFFF" w:themeFill="background1"/>
          </w:tcPr>
          <w:p w14:paraId="07ADD2EF" w14:textId="77777777" w:rsidR="005773EB" w:rsidRPr="00862219" w:rsidRDefault="005773EB" w:rsidP="00520C99">
            <w:pPr>
              <w:numPr>
                <w:ilvl w:val="0"/>
                <w:numId w:val="4"/>
              </w:numPr>
              <w:spacing w:line="240" w:lineRule="auto"/>
              <w:rPr>
                <w:rFonts w:ascii="Times New Roman" w:hAnsi="Times New Roman"/>
                <w:sz w:val="18"/>
                <w:szCs w:val="18"/>
              </w:rPr>
            </w:pPr>
          </w:p>
        </w:tc>
        <w:tc>
          <w:tcPr>
            <w:tcW w:w="1434" w:type="dxa"/>
            <w:vMerge/>
            <w:shd w:val="clear" w:color="auto" w:fill="FFFFFF" w:themeFill="background1"/>
          </w:tcPr>
          <w:p w14:paraId="3281C828" w14:textId="77777777" w:rsidR="005773EB" w:rsidRPr="00862219" w:rsidRDefault="005773EB" w:rsidP="00520C99">
            <w:pPr>
              <w:spacing w:line="240" w:lineRule="auto"/>
              <w:rPr>
                <w:rFonts w:ascii="Times New Roman" w:hAnsi="Times New Roman"/>
                <w:b/>
                <w:sz w:val="18"/>
                <w:szCs w:val="18"/>
                <w:u w:val="single"/>
              </w:rPr>
            </w:pPr>
          </w:p>
        </w:tc>
        <w:tc>
          <w:tcPr>
            <w:tcW w:w="1134" w:type="dxa"/>
            <w:vMerge/>
            <w:shd w:val="clear" w:color="auto" w:fill="FFFFFF" w:themeFill="background1"/>
          </w:tcPr>
          <w:p w14:paraId="37E87C40" w14:textId="77777777" w:rsidR="005773EB" w:rsidRPr="00862219" w:rsidRDefault="005773EB" w:rsidP="00520C99">
            <w:pPr>
              <w:numPr>
                <w:ilvl w:val="0"/>
                <w:numId w:val="3"/>
              </w:numPr>
              <w:spacing w:line="240" w:lineRule="auto"/>
              <w:ind w:left="144" w:hanging="144"/>
              <w:rPr>
                <w:rFonts w:ascii="Times New Roman" w:hAnsi="Times New Roman"/>
                <w:sz w:val="18"/>
                <w:szCs w:val="18"/>
              </w:rPr>
            </w:pPr>
          </w:p>
        </w:tc>
        <w:tc>
          <w:tcPr>
            <w:tcW w:w="1130" w:type="dxa"/>
            <w:vMerge/>
            <w:shd w:val="clear" w:color="auto" w:fill="FFFFFF" w:themeFill="background1"/>
          </w:tcPr>
          <w:p w14:paraId="6CF3754B" w14:textId="77777777" w:rsidR="005773EB" w:rsidRPr="00862219" w:rsidRDefault="005773EB" w:rsidP="00520C99">
            <w:pPr>
              <w:spacing w:line="240" w:lineRule="auto"/>
              <w:rPr>
                <w:rFonts w:ascii="Times New Roman" w:hAnsi="Times New Roman"/>
                <w:sz w:val="18"/>
                <w:szCs w:val="18"/>
              </w:rPr>
            </w:pPr>
          </w:p>
        </w:tc>
        <w:tc>
          <w:tcPr>
            <w:tcW w:w="1275" w:type="dxa"/>
            <w:vMerge/>
            <w:shd w:val="clear" w:color="auto" w:fill="FFFFFF" w:themeFill="background1"/>
          </w:tcPr>
          <w:p w14:paraId="52E7BA7A" w14:textId="77777777" w:rsidR="005773EB" w:rsidRPr="00862219" w:rsidRDefault="005773EB" w:rsidP="00520C99">
            <w:pPr>
              <w:spacing w:line="240" w:lineRule="auto"/>
              <w:rPr>
                <w:rFonts w:ascii="Times New Roman" w:hAnsi="Times New Roman"/>
                <w:sz w:val="18"/>
                <w:szCs w:val="18"/>
              </w:rPr>
            </w:pPr>
          </w:p>
        </w:tc>
      </w:tr>
      <w:tr w:rsidR="005773EB" w:rsidRPr="00862219" w14:paraId="79367D6A" w14:textId="77777777" w:rsidTr="00520C99">
        <w:trPr>
          <w:gridAfter w:val="1"/>
          <w:wAfter w:w="18" w:type="dxa"/>
          <w:trHeight w:val="301"/>
        </w:trPr>
        <w:tc>
          <w:tcPr>
            <w:tcW w:w="2807" w:type="dxa"/>
            <w:gridSpan w:val="3"/>
            <w:vMerge/>
            <w:shd w:val="clear" w:color="auto" w:fill="FFFFFF" w:themeFill="background1"/>
          </w:tcPr>
          <w:p w14:paraId="07A2CFB5" w14:textId="77777777" w:rsidR="005773EB" w:rsidRPr="00862219" w:rsidRDefault="005773EB" w:rsidP="00520C99">
            <w:pPr>
              <w:spacing w:after="0" w:line="240" w:lineRule="auto"/>
              <w:jc w:val="both"/>
              <w:rPr>
                <w:rFonts w:ascii="Times New Roman" w:hAnsi="Times New Roman"/>
                <w:b/>
                <w:sz w:val="18"/>
                <w:szCs w:val="18"/>
              </w:rPr>
            </w:pPr>
          </w:p>
        </w:tc>
        <w:tc>
          <w:tcPr>
            <w:tcW w:w="2976" w:type="dxa"/>
            <w:gridSpan w:val="2"/>
            <w:shd w:val="clear" w:color="auto" w:fill="FFFFFF" w:themeFill="background1"/>
          </w:tcPr>
          <w:p w14:paraId="0C0704E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 xml:space="preserve">Taux d’excision dans les regions d’intervention </w:t>
            </w:r>
          </w:p>
        </w:tc>
        <w:tc>
          <w:tcPr>
            <w:tcW w:w="1134" w:type="dxa"/>
            <w:gridSpan w:val="3"/>
            <w:shd w:val="clear" w:color="auto" w:fill="FFFFFF" w:themeFill="background1"/>
          </w:tcPr>
          <w:p w14:paraId="04531970"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38%,</w:t>
            </w:r>
          </w:p>
        </w:tc>
        <w:tc>
          <w:tcPr>
            <w:tcW w:w="1134" w:type="dxa"/>
            <w:shd w:val="clear" w:color="auto" w:fill="FFFFFF" w:themeFill="background1"/>
          </w:tcPr>
          <w:p w14:paraId="03038E2C"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34%</w:t>
            </w:r>
          </w:p>
        </w:tc>
        <w:tc>
          <w:tcPr>
            <w:tcW w:w="1714" w:type="dxa"/>
            <w:gridSpan w:val="2"/>
            <w:vMerge/>
            <w:shd w:val="clear" w:color="auto" w:fill="FFFFFF" w:themeFill="background1"/>
          </w:tcPr>
          <w:p w14:paraId="3A71CF1A" w14:textId="77777777" w:rsidR="005773EB" w:rsidRPr="00862219" w:rsidRDefault="005773EB" w:rsidP="00520C99">
            <w:pPr>
              <w:numPr>
                <w:ilvl w:val="0"/>
                <w:numId w:val="4"/>
              </w:numPr>
              <w:spacing w:after="0" w:line="240" w:lineRule="auto"/>
              <w:rPr>
                <w:rFonts w:ascii="Times New Roman" w:hAnsi="Times New Roman"/>
                <w:sz w:val="18"/>
                <w:szCs w:val="18"/>
              </w:rPr>
            </w:pPr>
          </w:p>
        </w:tc>
        <w:tc>
          <w:tcPr>
            <w:tcW w:w="1434" w:type="dxa"/>
            <w:vMerge/>
            <w:shd w:val="clear" w:color="auto" w:fill="FFFFFF" w:themeFill="background1"/>
          </w:tcPr>
          <w:p w14:paraId="3B22FD3A"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tcPr>
          <w:p w14:paraId="48597050"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130" w:type="dxa"/>
            <w:vMerge/>
            <w:shd w:val="clear" w:color="auto" w:fill="FFFFFF" w:themeFill="background1"/>
          </w:tcPr>
          <w:p w14:paraId="2A368987"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0946B911"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6BB03BD9" w14:textId="77777777" w:rsidTr="00520C99">
        <w:trPr>
          <w:gridAfter w:val="1"/>
          <w:wAfter w:w="18" w:type="dxa"/>
          <w:trHeight w:val="634"/>
        </w:trPr>
        <w:tc>
          <w:tcPr>
            <w:tcW w:w="2807" w:type="dxa"/>
            <w:gridSpan w:val="3"/>
            <w:vMerge/>
            <w:shd w:val="clear" w:color="auto" w:fill="FFFFFF" w:themeFill="background1"/>
          </w:tcPr>
          <w:p w14:paraId="3A764D36" w14:textId="77777777" w:rsidR="005773EB" w:rsidRPr="00862219" w:rsidRDefault="005773EB" w:rsidP="00520C99">
            <w:pPr>
              <w:spacing w:after="0" w:line="240" w:lineRule="auto"/>
              <w:jc w:val="both"/>
              <w:rPr>
                <w:rFonts w:ascii="Times New Roman" w:hAnsi="Times New Roman"/>
                <w:b/>
                <w:sz w:val="18"/>
                <w:szCs w:val="18"/>
              </w:rPr>
            </w:pPr>
          </w:p>
        </w:tc>
        <w:tc>
          <w:tcPr>
            <w:tcW w:w="2976" w:type="dxa"/>
            <w:gridSpan w:val="2"/>
            <w:shd w:val="clear" w:color="auto" w:fill="FFFFFF" w:themeFill="background1"/>
          </w:tcPr>
          <w:p w14:paraId="677CD446"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Pr>
                <w:rFonts w:ascii="Times New Roman" w:hAnsi="Times New Roman"/>
                <w:sz w:val="18"/>
                <w:szCs w:val="18"/>
              </w:rPr>
              <w:t>Pourcentage d’adolescentes âgées</w:t>
            </w:r>
            <w:r w:rsidRPr="00862219">
              <w:rPr>
                <w:rFonts w:ascii="Times New Roman" w:hAnsi="Times New Roman"/>
                <w:sz w:val="18"/>
                <w:szCs w:val="18"/>
              </w:rPr>
              <w:t xml:space="preserve"> de 20-24 mariées avant l’age de 18 ans </w:t>
            </w:r>
          </w:p>
        </w:tc>
        <w:tc>
          <w:tcPr>
            <w:tcW w:w="1134" w:type="dxa"/>
            <w:gridSpan w:val="3"/>
            <w:shd w:val="clear" w:color="auto" w:fill="FFFFFF" w:themeFill="background1"/>
          </w:tcPr>
          <w:p w14:paraId="3AE88275"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68%</w:t>
            </w:r>
          </w:p>
        </w:tc>
        <w:tc>
          <w:tcPr>
            <w:tcW w:w="1134" w:type="dxa"/>
            <w:shd w:val="clear" w:color="auto" w:fill="FFFFFF" w:themeFill="background1"/>
          </w:tcPr>
          <w:p w14:paraId="04E1941B"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38%</w:t>
            </w:r>
          </w:p>
        </w:tc>
        <w:tc>
          <w:tcPr>
            <w:tcW w:w="1714" w:type="dxa"/>
            <w:gridSpan w:val="2"/>
            <w:vMerge/>
            <w:shd w:val="clear" w:color="auto" w:fill="FFFFFF" w:themeFill="background1"/>
          </w:tcPr>
          <w:p w14:paraId="5CFB7BDD" w14:textId="77777777" w:rsidR="005773EB" w:rsidRPr="00862219" w:rsidRDefault="005773EB" w:rsidP="00520C99">
            <w:pPr>
              <w:numPr>
                <w:ilvl w:val="0"/>
                <w:numId w:val="4"/>
              </w:numPr>
              <w:spacing w:after="0" w:line="240" w:lineRule="auto"/>
              <w:rPr>
                <w:rFonts w:ascii="Times New Roman" w:hAnsi="Times New Roman"/>
                <w:sz w:val="18"/>
                <w:szCs w:val="18"/>
              </w:rPr>
            </w:pPr>
          </w:p>
        </w:tc>
        <w:tc>
          <w:tcPr>
            <w:tcW w:w="1434" w:type="dxa"/>
            <w:vMerge/>
            <w:shd w:val="clear" w:color="auto" w:fill="FFFFFF" w:themeFill="background1"/>
          </w:tcPr>
          <w:p w14:paraId="36CBC5FF" w14:textId="77777777" w:rsidR="005773EB" w:rsidRPr="00862219" w:rsidRDefault="005773EB" w:rsidP="00520C99">
            <w:pPr>
              <w:spacing w:after="0" w:line="240" w:lineRule="auto"/>
              <w:rPr>
                <w:rFonts w:ascii="Times New Roman" w:hAnsi="Times New Roman"/>
                <w:b/>
                <w:sz w:val="18"/>
                <w:szCs w:val="18"/>
                <w:u w:val="single"/>
              </w:rPr>
            </w:pPr>
          </w:p>
        </w:tc>
        <w:tc>
          <w:tcPr>
            <w:tcW w:w="1134" w:type="dxa"/>
            <w:vMerge/>
            <w:shd w:val="clear" w:color="auto" w:fill="FFFFFF" w:themeFill="background1"/>
          </w:tcPr>
          <w:p w14:paraId="42779304"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130" w:type="dxa"/>
            <w:vMerge/>
            <w:shd w:val="clear" w:color="auto" w:fill="FFFFFF" w:themeFill="background1"/>
          </w:tcPr>
          <w:p w14:paraId="004FCFF5"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10E992C5"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2A2F792C" w14:textId="77777777" w:rsidTr="00520C99">
        <w:trPr>
          <w:gridAfter w:val="1"/>
          <w:wAfter w:w="18" w:type="dxa"/>
          <w:trHeight w:val="649"/>
        </w:trPr>
        <w:tc>
          <w:tcPr>
            <w:tcW w:w="2807" w:type="dxa"/>
            <w:gridSpan w:val="3"/>
            <w:vMerge/>
            <w:tcBorders>
              <w:bottom w:val="single" w:sz="4" w:space="0" w:color="auto"/>
            </w:tcBorders>
            <w:shd w:val="clear" w:color="auto" w:fill="FFFFFF" w:themeFill="background1"/>
          </w:tcPr>
          <w:p w14:paraId="62F4E973" w14:textId="77777777" w:rsidR="005773EB" w:rsidRPr="00862219" w:rsidRDefault="005773EB" w:rsidP="00520C99">
            <w:pPr>
              <w:spacing w:after="0" w:line="240" w:lineRule="auto"/>
              <w:rPr>
                <w:rFonts w:ascii="Times New Roman" w:hAnsi="Times New Roman"/>
                <w:b/>
                <w:sz w:val="18"/>
                <w:szCs w:val="18"/>
              </w:rPr>
            </w:pPr>
          </w:p>
        </w:tc>
        <w:tc>
          <w:tcPr>
            <w:tcW w:w="2976" w:type="dxa"/>
            <w:gridSpan w:val="2"/>
            <w:shd w:val="clear" w:color="auto" w:fill="FFFFFF" w:themeFill="background1"/>
          </w:tcPr>
          <w:p w14:paraId="68ACC94D"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Nombre de centres intrégrés de prise en charge de VBG fonctionnels</w:t>
            </w:r>
          </w:p>
        </w:tc>
        <w:tc>
          <w:tcPr>
            <w:tcW w:w="1134" w:type="dxa"/>
            <w:gridSpan w:val="3"/>
            <w:shd w:val="clear" w:color="auto" w:fill="FFFFFF" w:themeFill="background1"/>
          </w:tcPr>
          <w:p w14:paraId="47B377B9"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sz w:val="18"/>
                <w:szCs w:val="18"/>
              </w:rPr>
              <w:t>0</w:t>
            </w:r>
          </w:p>
        </w:tc>
        <w:tc>
          <w:tcPr>
            <w:tcW w:w="1134" w:type="dxa"/>
            <w:shd w:val="clear" w:color="auto" w:fill="FFFFFF" w:themeFill="background1"/>
          </w:tcPr>
          <w:p w14:paraId="4B04CB80"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sz w:val="18"/>
                <w:szCs w:val="18"/>
              </w:rPr>
              <w:t>3</w:t>
            </w:r>
          </w:p>
        </w:tc>
        <w:tc>
          <w:tcPr>
            <w:tcW w:w="1714" w:type="dxa"/>
            <w:gridSpan w:val="2"/>
            <w:vMerge/>
            <w:tcBorders>
              <w:bottom w:val="single" w:sz="4" w:space="0" w:color="auto"/>
            </w:tcBorders>
            <w:shd w:val="clear" w:color="auto" w:fill="FFFFFF" w:themeFill="background1"/>
          </w:tcPr>
          <w:p w14:paraId="11FFB86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434" w:type="dxa"/>
            <w:vMerge/>
            <w:tcBorders>
              <w:bottom w:val="single" w:sz="4" w:space="0" w:color="auto"/>
            </w:tcBorders>
            <w:shd w:val="clear" w:color="auto" w:fill="FFFFFF" w:themeFill="background1"/>
          </w:tcPr>
          <w:p w14:paraId="1A532004" w14:textId="77777777" w:rsidR="005773EB" w:rsidRPr="00862219" w:rsidRDefault="005773EB" w:rsidP="00520C99">
            <w:pPr>
              <w:spacing w:after="0" w:line="240" w:lineRule="auto"/>
              <w:ind w:left="144"/>
              <w:rPr>
                <w:rFonts w:ascii="Times New Roman" w:hAnsi="Times New Roman"/>
                <w:sz w:val="18"/>
                <w:szCs w:val="18"/>
              </w:rPr>
            </w:pPr>
          </w:p>
        </w:tc>
        <w:tc>
          <w:tcPr>
            <w:tcW w:w="1134" w:type="dxa"/>
            <w:vMerge/>
            <w:tcBorders>
              <w:bottom w:val="single" w:sz="4" w:space="0" w:color="auto"/>
            </w:tcBorders>
            <w:shd w:val="clear" w:color="auto" w:fill="FFFFFF" w:themeFill="background1"/>
          </w:tcPr>
          <w:p w14:paraId="01FFFAF2" w14:textId="77777777" w:rsidR="005773EB" w:rsidRPr="00862219" w:rsidRDefault="005773EB" w:rsidP="00520C99">
            <w:pPr>
              <w:spacing w:after="0" w:line="240" w:lineRule="auto"/>
              <w:ind w:left="144"/>
              <w:rPr>
                <w:rFonts w:ascii="Times New Roman" w:hAnsi="Times New Roman"/>
                <w:sz w:val="18"/>
                <w:szCs w:val="18"/>
              </w:rPr>
            </w:pPr>
          </w:p>
        </w:tc>
        <w:tc>
          <w:tcPr>
            <w:tcW w:w="1130" w:type="dxa"/>
            <w:vMerge/>
            <w:tcBorders>
              <w:bottom w:val="single" w:sz="4" w:space="0" w:color="auto"/>
            </w:tcBorders>
            <w:shd w:val="clear" w:color="auto" w:fill="FFFFFF" w:themeFill="background1"/>
          </w:tcPr>
          <w:p w14:paraId="544ABFF3" w14:textId="77777777" w:rsidR="005773EB" w:rsidRPr="00862219" w:rsidRDefault="005773EB" w:rsidP="00520C99">
            <w:pPr>
              <w:spacing w:after="0" w:line="240" w:lineRule="auto"/>
              <w:rPr>
                <w:rFonts w:ascii="Times New Roman" w:hAnsi="Times New Roman"/>
                <w:sz w:val="18"/>
                <w:szCs w:val="18"/>
              </w:rPr>
            </w:pPr>
          </w:p>
        </w:tc>
        <w:tc>
          <w:tcPr>
            <w:tcW w:w="1275" w:type="dxa"/>
            <w:vMerge/>
            <w:tcBorders>
              <w:bottom w:val="single" w:sz="4" w:space="0" w:color="auto"/>
            </w:tcBorders>
            <w:shd w:val="clear" w:color="auto" w:fill="FFFFFF" w:themeFill="background1"/>
          </w:tcPr>
          <w:p w14:paraId="52B2A34C"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348E1E64" w14:textId="77777777" w:rsidTr="00520C99">
        <w:trPr>
          <w:gridAfter w:val="1"/>
          <w:wAfter w:w="18" w:type="dxa"/>
          <w:trHeight w:val="506"/>
        </w:trPr>
        <w:tc>
          <w:tcPr>
            <w:tcW w:w="2807" w:type="dxa"/>
            <w:gridSpan w:val="3"/>
            <w:vMerge/>
            <w:shd w:val="clear" w:color="auto" w:fill="FFFFFF" w:themeFill="background1"/>
          </w:tcPr>
          <w:p w14:paraId="7A48494C" w14:textId="77777777" w:rsidR="005773EB" w:rsidRPr="00862219" w:rsidRDefault="005773EB" w:rsidP="00520C99">
            <w:pPr>
              <w:spacing w:after="0" w:line="240" w:lineRule="auto"/>
              <w:rPr>
                <w:rFonts w:ascii="Times New Roman" w:hAnsi="Times New Roman"/>
                <w:b/>
                <w:sz w:val="18"/>
                <w:szCs w:val="18"/>
                <w:lang w:val="en-GB"/>
              </w:rPr>
            </w:pPr>
          </w:p>
        </w:tc>
        <w:tc>
          <w:tcPr>
            <w:tcW w:w="2976" w:type="dxa"/>
            <w:gridSpan w:val="2"/>
            <w:shd w:val="clear" w:color="auto" w:fill="FFFFFF" w:themeFill="background1"/>
          </w:tcPr>
          <w:p w14:paraId="4230F147"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Existence d’un Plan national de contingence régulièrement  mis à jour</w:t>
            </w:r>
          </w:p>
        </w:tc>
        <w:tc>
          <w:tcPr>
            <w:tcW w:w="1134" w:type="dxa"/>
            <w:gridSpan w:val="3"/>
            <w:shd w:val="clear" w:color="auto" w:fill="FFFFFF" w:themeFill="background1"/>
          </w:tcPr>
          <w:p w14:paraId="6AA5169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0</w:t>
            </w:r>
          </w:p>
        </w:tc>
        <w:tc>
          <w:tcPr>
            <w:tcW w:w="1134" w:type="dxa"/>
            <w:shd w:val="clear" w:color="auto" w:fill="FFFFFF" w:themeFill="background1"/>
          </w:tcPr>
          <w:p w14:paraId="5A61A5D4"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1</w:t>
            </w:r>
          </w:p>
        </w:tc>
        <w:tc>
          <w:tcPr>
            <w:tcW w:w="1714" w:type="dxa"/>
            <w:gridSpan w:val="2"/>
            <w:vMerge/>
            <w:shd w:val="clear" w:color="auto" w:fill="FFFFFF" w:themeFill="background1"/>
          </w:tcPr>
          <w:p w14:paraId="6F23AE93"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46ED2135" w14:textId="77777777" w:rsidR="005773EB" w:rsidRPr="00862219" w:rsidRDefault="005773EB" w:rsidP="00520C99">
            <w:pPr>
              <w:spacing w:after="0" w:line="240" w:lineRule="auto"/>
              <w:rPr>
                <w:rFonts w:ascii="Times New Roman" w:hAnsi="Times New Roman"/>
                <w:sz w:val="18"/>
                <w:szCs w:val="18"/>
              </w:rPr>
            </w:pPr>
          </w:p>
        </w:tc>
        <w:tc>
          <w:tcPr>
            <w:tcW w:w="1134" w:type="dxa"/>
            <w:vMerge/>
            <w:shd w:val="clear" w:color="auto" w:fill="FFFFFF" w:themeFill="background1"/>
          </w:tcPr>
          <w:p w14:paraId="121FC600"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67FB9602"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39B6CAC8"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19FD1FB2" w14:textId="77777777" w:rsidTr="00520C99">
        <w:trPr>
          <w:gridAfter w:val="1"/>
          <w:wAfter w:w="18" w:type="dxa"/>
          <w:trHeight w:val="505"/>
        </w:trPr>
        <w:tc>
          <w:tcPr>
            <w:tcW w:w="2807" w:type="dxa"/>
            <w:gridSpan w:val="3"/>
            <w:vMerge w:val="restart"/>
            <w:shd w:val="clear" w:color="auto" w:fill="FFFFFF" w:themeFill="background1"/>
            <w:vAlign w:val="center"/>
          </w:tcPr>
          <w:p w14:paraId="4B30C3F6" w14:textId="77777777" w:rsidR="005773EB" w:rsidRPr="00862219" w:rsidRDefault="005773EB" w:rsidP="00520C99">
            <w:pPr>
              <w:spacing w:after="0" w:line="240" w:lineRule="auto"/>
              <w:rPr>
                <w:rFonts w:ascii="Times New Roman" w:hAnsi="Times New Roman"/>
                <w:sz w:val="18"/>
                <w:szCs w:val="18"/>
              </w:rPr>
            </w:pPr>
            <w:r w:rsidRPr="00862219">
              <w:rPr>
                <w:rFonts w:ascii="Times New Roman" w:hAnsi="Times New Roman"/>
                <w:b/>
                <w:sz w:val="18"/>
                <w:szCs w:val="18"/>
              </w:rPr>
              <w:t xml:space="preserve">Effet 5. </w:t>
            </w:r>
            <w:r w:rsidRPr="00862219">
              <w:rPr>
                <w:rFonts w:ascii="Times New Roman" w:hAnsi="Times New Roman"/>
                <w:sz w:val="18"/>
                <w:szCs w:val="18"/>
              </w:rPr>
              <w:t>D’ici à fin 2021, les agriculteurs, les éleveurs, les pêcheurs et les petits producteurs, notamment les jeunes et les femmes, des régions ciblées emploient des systèmes de production durable leur permettant de répondre à leurs besoins de base, d’alimenter le marché et adoptent un cadre de vie plus résilient au Changement Climatique et aux autres défis environnementaux.</w:t>
            </w:r>
          </w:p>
          <w:p w14:paraId="28DA81D8" w14:textId="77777777" w:rsidR="005773EB" w:rsidRPr="00862219" w:rsidRDefault="005773EB" w:rsidP="00520C99">
            <w:pPr>
              <w:spacing w:after="0" w:line="240" w:lineRule="auto"/>
              <w:rPr>
                <w:rFonts w:ascii="Times New Roman" w:hAnsi="Times New Roman"/>
                <w:sz w:val="18"/>
                <w:szCs w:val="18"/>
              </w:rPr>
            </w:pPr>
          </w:p>
          <w:p w14:paraId="61B40E43" w14:textId="77777777" w:rsidR="005773EB" w:rsidRPr="00862219" w:rsidRDefault="005773EB" w:rsidP="00520C99">
            <w:pPr>
              <w:spacing w:after="0" w:line="240" w:lineRule="auto"/>
              <w:rPr>
                <w:rFonts w:ascii="Times New Roman" w:hAnsi="Times New Roman"/>
                <w:b/>
                <w:sz w:val="18"/>
                <w:szCs w:val="18"/>
              </w:rPr>
            </w:pPr>
          </w:p>
        </w:tc>
        <w:tc>
          <w:tcPr>
            <w:tcW w:w="2976" w:type="dxa"/>
            <w:gridSpan w:val="2"/>
            <w:shd w:val="clear" w:color="auto" w:fill="FFFFFF" w:themeFill="background1"/>
          </w:tcPr>
          <w:p w14:paraId="53941587"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 xml:space="preserve">Pourcentage de producteurs ayant accès aux informations générées par le système d’alerte précoce et les systèmes d’information sur la sécurité alimentaire </w:t>
            </w:r>
          </w:p>
        </w:tc>
        <w:tc>
          <w:tcPr>
            <w:tcW w:w="1134" w:type="dxa"/>
            <w:gridSpan w:val="3"/>
            <w:shd w:val="clear" w:color="auto" w:fill="FFFFFF" w:themeFill="background1"/>
          </w:tcPr>
          <w:p w14:paraId="730AB92D"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25%</w:t>
            </w:r>
          </w:p>
        </w:tc>
        <w:tc>
          <w:tcPr>
            <w:tcW w:w="1134" w:type="dxa"/>
            <w:shd w:val="clear" w:color="auto" w:fill="FFFFFF" w:themeFill="background1"/>
          </w:tcPr>
          <w:p w14:paraId="7D6EEB14"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75%</w:t>
            </w:r>
          </w:p>
        </w:tc>
        <w:tc>
          <w:tcPr>
            <w:tcW w:w="1714" w:type="dxa"/>
            <w:gridSpan w:val="2"/>
            <w:vMerge w:val="restart"/>
            <w:shd w:val="clear" w:color="auto" w:fill="FFFFFF" w:themeFill="background1"/>
          </w:tcPr>
          <w:p w14:paraId="233D68A9"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Enquête des ménages dans les zones cibles</w:t>
            </w:r>
          </w:p>
          <w:p w14:paraId="05E4E1C2" w14:textId="77777777" w:rsidR="005773EB" w:rsidRPr="00862219" w:rsidRDefault="005773EB" w:rsidP="00520C99">
            <w:pPr>
              <w:spacing w:after="0" w:line="240" w:lineRule="auto"/>
              <w:ind w:left="144"/>
              <w:rPr>
                <w:rFonts w:ascii="Times New Roman" w:hAnsi="Times New Roman"/>
                <w:sz w:val="18"/>
                <w:szCs w:val="18"/>
              </w:rPr>
            </w:pPr>
          </w:p>
          <w:p w14:paraId="38B57218"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en-GB"/>
              </w:rPr>
            </w:pPr>
            <w:r w:rsidRPr="00862219">
              <w:rPr>
                <w:rFonts w:ascii="Times New Roman" w:hAnsi="Times New Roman"/>
                <w:sz w:val="18"/>
                <w:szCs w:val="18"/>
                <w:lang w:val="en-GB"/>
              </w:rPr>
              <w:t>Rapports de suivi-évaluation</w:t>
            </w:r>
          </w:p>
          <w:p w14:paraId="23E6D96A" w14:textId="77777777" w:rsidR="005773EB" w:rsidRPr="00862219" w:rsidRDefault="005773EB" w:rsidP="00520C99">
            <w:pPr>
              <w:spacing w:after="0" w:line="240" w:lineRule="auto"/>
              <w:ind w:left="144"/>
              <w:rPr>
                <w:rFonts w:ascii="Times New Roman" w:hAnsi="Times New Roman"/>
                <w:sz w:val="18"/>
                <w:szCs w:val="18"/>
                <w:lang w:val="en-GB"/>
              </w:rPr>
            </w:pPr>
          </w:p>
          <w:p w14:paraId="6A2F710D"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Rapport de l’Observatoire de l’Habitat et du Développement Urbain (OHDU)</w:t>
            </w:r>
          </w:p>
          <w:p w14:paraId="3910ECBE" w14:textId="77777777" w:rsidR="005773EB" w:rsidRPr="00862219" w:rsidRDefault="005773EB" w:rsidP="00520C99">
            <w:pPr>
              <w:spacing w:after="0" w:line="240" w:lineRule="auto"/>
              <w:rPr>
                <w:rFonts w:ascii="Times New Roman" w:hAnsi="Times New Roman"/>
                <w:b/>
                <w:sz w:val="18"/>
                <w:szCs w:val="18"/>
              </w:rPr>
            </w:pPr>
          </w:p>
        </w:tc>
        <w:tc>
          <w:tcPr>
            <w:tcW w:w="1434" w:type="dxa"/>
            <w:vMerge w:val="restart"/>
            <w:shd w:val="clear" w:color="auto" w:fill="FFFFFF" w:themeFill="background1"/>
          </w:tcPr>
          <w:p w14:paraId="595719E0" w14:textId="77777777" w:rsidR="005773EB" w:rsidRPr="00862219" w:rsidRDefault="005773EB" w:rsidP="00520C99">
            <w:pPr>
              <w:spacing w:after="0" w:line="240" w:lineRule="auto"/>
              <w:rPr>
                <w:rFonts w:ascii="Times New Roman" w:hAnsi="Times New Roman"/>
                <w:bCs/>
                <w:color w:val="000000"/>
                <w:sz w:val="18"/>
                <w:szCs w:val="18"/>
              </w:rPr>
            </w:pPr>
            <w:r w:rsidRPr="00862219">
              <w:rPr>
                <w:rFonts w:ascii="Times New Roman" w:hAnsi="Times New Roman"/>
                <w:bCs/>
                <w:color w:val="000000"/>
                <w:sz w:val="18"/>
                <w:szCs w:val="18"/>
              </w:rPr>
              <w:t>PTF </w:t>
            </w:r>
          </w:p>
          <w:p w14:paraId="7D8892F1" w14:textId="77777777" w:rsidR="005773EB" w:rsidRPr="00862219" w:rsidRDefault="005773EB" w:rsidP="00520C99">
            <w:pPr>
              <w:spacing w:after="0" w:line="240" w:lineRule="auto"/>
              <w:rPr>
                <w:rFonts w:ascii="Times New Roman" w:hAnsi="Times New Roman"/>
                <w:bCs/>
                <w:color w:val="000000"/>
                <w:sz w:val="18"/>
                <w:szCs w:val="18"/>
              </w:rPr>
            </w:pPr>
            <w:r w:rsidRPr="00862219">
              <w:rPr>
                <w:rFonts w:ascii="Times New Roman" w:hAnsi="Times New Roman"/>
                <w:bCs/>
                <w:color w:val="000000"/>
                <w:sz w:val="18"/>
                <w:szCs w:val="18"/>
              </w:rPr>
              <w:t>Financement</w:t>
            </w:r>
          </w:p>
          <w:p w14:paraId="7B7A2F51" w14:textId="77777777" w:rsidR="005773EB" w:rsidRPr="00862219" w:rsidRDefault="005773EB" w:rsidP="00520C99">
            <w:pPr>
              <w:spacing w:after="0" w:line="240" w:lineRule="auto"/>
              <w:rPr>
                <w:rFonts w:ascii="Times New Roman" w:hAnsi="Times New Roman"/>
                <w:bCs/>
                <w:color w:val="000000"/>
                <w:sz w:val="18"/>
                <w:szCs w:val="18"/>
              </w:rPr>
            </w:pPr>
            <w:r w:rsidRPr="00862219">
              <w:rPr>
                <w:rFonts w:ascii="Times New Roman" w:hAnsi="Times New Roman"/>
                <w:bCs/>
                <w:color w:val="000000"/>
                <w:sz w:val="18"/>
                <w:szCs w:val="18"/>
              </w:rPr>
              <w:t>ITC</w:t>
            </w:r>
          </w:p>
          <w:p w14:paraId="19763BBA" w14:textId="77777777" w:rsidR="005773EB" w:rsidRPr="00862219" w:rsidRDefault="005773EB" w:rsidP="00520C99">
            <w:pPr>
              <w:spacing w:after="0" w:line="240" w:lineRule="auto"/>
              <w:rPr>
                <w:rFonts w:ascii="Times New Roman" w:hAnsi="Times New Roman"/>
                <w:bCs/>
                <w:color w:val="000000"/>
                <w:sz w:val="18"/>
                <w:szCs w:val="18"/>
              </w:rPr>
            </w:pPr>
            <w:r w:rsidRPr="00862219">
              <w:rPr>
                <w:rFonts w:ascii="Times New Roman" w:hAnsi="Times New Roman"/>
                <w:bCs/>
                <w:color w:val="000000"/>
                <w:sz w:val="18"/>
                <w:szCs w:val="18"/>
              </w:rPr>
              <w:t>Financement, Assistance technique</w:t>
            </w:r>
          </w:p>
          <w:p w14:paraId="67DE0770" w14:textId="77777777" w:rsidR="005773EB" w:rsidRPr="00862219" w:rsidRDefault="005773EB" w:rsidP="00520C99">
            <w:pPr>
              <w:spacing w:after="0" w:line="240" w:lineRule="auto"/>
              <w:rPr>
                <w:rFonts w:ascii="Times New Roman" w:hAnsi="Times New Roman"/>
                <w:bCs/>
                <w:color w:val="000000"/>
                <w:sz w:val="18"/>
                <w:szCs w:val="18"/>
              </w:rPr>
            </w:pPr>
            <w:r w:rsidRPr="00862219">
              <w:rPr>
                <w:rFonts w:ascii="Times New Roman" w:hAnsi="Times New Roman"/>
                <w:bCs/>
                <w:color w:val="000000"/>
                <w:sz w:val="18"/>
                <w:szCs w:val="18"/>
              </w:rPr>
              <w:t>Gouvernement et ONG</w:t>
            </w:r>
          </w:p>
          <w:p w14:paraId="4BD04EB8" w14:textId="77777777" w:rsidR="005773EB" w:rsidRPr="00862219" w:rsidRDefault="005773EB" w:rsidP="00520C99">
            <w:pPr>
              <w:spacing w:after="0" w:line="240" w:lineRule="auto"/>
              <w:rPr>
                <w:rFonts w:ascii="Times New Roman" w:hAnsi="Times New Roman"/>
                <w:bCs/>
                <w:sz w:val="18"/>
                <w:szCs w:val="18"/>
              </w:rPr>
            </w:pPr>
            <w:r w:rsidRPr="00862219">
              <w:rPr>
                <w:rFonts w:ascii="Times New Roman" w:hAnsi="Times New Roman"/>
                <w:bCs/>
                <w:color w:val="000000"/>
                <w:sz w:val="18"/>
                <w:szCs w:val="18"/>
              </w:rPr>
              <w:t>Mise en œuvre, coordination</w:t>
            </w:r>
          </w:p>
        </w:tc>
        <w:tc>
          <w:tcPr>
            <w:tcW w:w="1134" w:type="dxa"/>
            <w:vMerge w:val="restart"/>
            <w:shd w:val="clear" w:color="auto" w:fill="FFFFFF" w:themeFill="background1"/>
          </w:tcPr>
          <w:p w14:paraId="1168CC6D" w14:textId="77777777" w:rsidR="005773EB" w:rsidRPr="0073025E" w:rsidRDefault="005773EB" w:rsidP="00520C99">
            <w:pPr>
              <w:rPr>
                <w:rFonts w:ascii="Times New Roman" w:hAnsi="Times New Roman" w:cs="Times New Roman"/>
                <w:b/>
                <w:noProof w:val="0"/>
                <w:color w:val="FF0000"/>
                <w:sz w:val="16"/>
              </w:rPr>
            </w:pPr>
            <w:r w:rsidRPr="0073025E">
              <w:rPr>
                <w:rFonts w:ascii="Times New Roman" w:hAnsi="Times New Roman" w:cs="Times New Roman"/>
                <w:b/>
                <w:color w:val="FF0000"/>
                <w:sz w:val="16"/>
              </w:rPr>
              <w:t>217 326 167</w:t>
            </w:r>
          </w:p>
          <w:p w14:paraId="7C77346E" w14:textId="77777777" w:rsidR="005773EB" w:rsidRPr="0073025E" w:rsidRDefault="005773EB" w:rsidP="00520C99">
            <w:pPr>
              <w:spacing w:after="0" w:line="240" w:lineRule="auto"/>
              <w:rPr>
                <w:rFonts w:ascii="Times New Roman" w:hAnsi="Times New Roman" w:cs="Times New Roman"/>
                <w:b/>
                <w:color w:val="FF0000"/>
                <w:sz w:val="16"/>
                <w:szCs w:val="18"/>
              </w:rPr>
            </w:pPr>
          </w:p>
        </w:tc>
        <w:tc>
          <w:tcPr>
            <w:tcW w:w="1130" w:type="dxa"/>
            <w:vMerge w:val="restart"/>
            <w:shd w:val="clear" w:color="auto" w:fill="FFFFFF" w:themeFill="background1"/>
          </w:tcPr>
          <w:p w14:paraId="04236111" w14:textId="77777777" w:rsidR="005773EB" w:rsidRPr="0073025E" w:rsidRDefault="005773EB" w:rsidP="00520C99">
            <w:pPr>
              <w:rPr>
                <w:rFonts w:ascii="Times New Roman" w:hAnsi="Times New Roman" w:cs="Times New Roman"/>
                <w:b/>
                <w:noProof w:val="0"/>
                <w:color w:val="FF0000"/>
                <w:sz w:val="16"/>
              </w:rPr>
            </w:pPr>
            <w:r w:rsidRPr="0073025E">
              <w:rPr>
                <w:rFonts w:ascii="Times New Roman" w:hAnsi="Times New Roman" w:cs="Times New Roman"/>
                <w:b/>
                <w:color w:val="FF0000"/>
                <w:sz w:val="16"/>
              </w:rPr>
              <w:t>34 542 868</w:t>
            </w:r>
          </w:p>
          <w:p w14:paraId="5C4F7B74" w14:textId="77777777" w:rsidR="005773EB" w:rsidRPr="0073025E" w:rsidRDefault="005773EB" w:rsidP="00520C99">
            <w:pPr>
              <w:spacing w:after="0" w:line="240" w:lineRule="auto"/>
              <w:rPr>
                <w:rFonts w:ascii="Times New Roman" w:hAnsi="Times New Roman" w:cs="Times New Roman"/>
                <w:b/>
                <w:color w:val="FF0000"/>
                <w:sz w:val="16"/>
                <w:szCs w:val="18"/>
              </w:rPr>
            </w:pPr>
          </w:p>
        </w:tc>
        <w:tc>
          <w:tcPr>
            <w:tcW w:w="1275" w:type="dxa"/>
            <w:vMerge w:val="restart"/>
            <w:shd w:val="clear" w:color="auto" w:fill="FFFFFF" w:themeFill="background1"/>
          </w:tcPr>
          <w:p w14:paraId="703FE668" w14:textId="77777777" w:rsidR="005773EB" w:rsidRPr="0073025E" w:rsidRDefault="005773EB" w:rsidP="00520C99">
            <w:pPr>
              <w:rPr>
                <w:rFonts w:ascii="Times New Roman" w:hAnsi="Times New Roman" w:cs="Times New Roman"/>
                <w:b/>
                <w:noProof w:val="0"/>
                <w:color w:val="FF0000"/>
                <w:sz w:val="16"/>
              </w:rPr>
            </w:pPr>
            <w:r w:rsidRPr="0073025E">
              <w:rPr>
                <w:rFonts w:ascii="Times New Roman" w:hAnsi="Times New Roman" w:cs="Times New Roman"/>
                <w:b/>
                <w:color w:val="FF0000"/>
                <w:sz w:val="16"/>
              </w:rPr>
              <w:t>182 783 299</w:t>
            </w:r>
          </w:p>
          <w:p w14:paraId="5E7718BE" w14:textId="77777777" w:rsidR="005773EB" w:rsidRPr="0073025E" w:rsidRDefault="005773EB" w:rsidP="00520C99">
            <w:pPr>
              <w:spacing w:after="0" w:line="240" w:lineRule="auto"/>
              <w:rPr>
                <w:rFonts w:ascii="Times New Roman" w:hAnsi="Times New Roman" w:cs="Times New Roman"/>
                <w:b/>
                <w:color w:val="FF0000"/>
                <w:sz w:val="16"/>
                <w:szCs w:val="18"/>
              </w:rPr>
            </w:pPr>
          </w:p>
        </w:tc>
      </w:tr>
      <w:tr w:rsidR="005773EB" w:rsidRPr="00862219" w14:paraId="7F1D7117" w14:textId="77777777" w:rsidTr="00520C99">
        <w:trPr>
          <w:gridAfter w:val="1"/>
          <w:wAfter w:w="18" w:type="dxa"/>
          <w:trHeight w:val="500"/>
        </w:trPr>
        <w:tc>
          <w:tcPr>
            <w:tcW w:w="2807" w:type="dxa"/>
            <w:gridSpan w:val="3"/>
            <w:vMerge/>
            <w:shd w:val="clear" w:color="auto" w:fill="FFFFFF" w:themeFill="background1"/>
            <w:vAlign w:val="center"/>
          </w:tcPr>
          <w:p w14:paraId="1EB5AE02" w14:textId="77777777" w:rsidR="005773EB" w:rsidRPr="00862219" w:rsidRDefault="005773EB" w:rsidP="00520C99">
            <w:pPr>
              <w:spacing w:after="0" w:line="240" w:lineRule="auto"/>
              <w:rPr>
                <w:rFonts w:ascii="Times New Roman" w:hAnsi="Times New Roman"/>
                <w:b/>
                <w:sz w:val="18"/>
                <w:szCs w:val="18"/>
              </w:rPr>
            </w:pPr>
          </w:p>
        </w:tc>
        <w:tc>
          <w:tcPr>
            <w:tcW w:w="2976" w:type="dxa"/>
            <w:gridSpan w:val="2"/>
            <w:shd w:val="clear" w:color="auto" w:fill="FFFFFF" w:themeFill="background1"/>
          </w:tcPr>
          <w:p w14:paraId="3AE13B00"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Pr>
                <w:rFonts w:ascii="Times New Roman" w:hAnsi="Times New Roman"/>
                <w:sz w:val="18"/>
                <w:szCs w:val="18"/>
              </w:rPr>
              <w:t>Nombre</w:t>
            </w:r>
            <w:r w:rsidRPr="00862219">
              <w:rPr>
                <w:rFonts w:ascii="Times New Roman" w:hAnsi="Times New Roman"/>
                <w:sz w:val="18"/>
                <w:szCs w:val="18"/>
              </w:rPr>
              <w:t xml:space="preserve"> de producteurs et éleveurs qui adoptent les techniques de production végétale et animale appropriées</w:t>
            </w:r>
          </w:p>
        </w:tc>
        <w:tc>
          <w:tcPr>
            <w:tcW w:w="1134" w:type="dxa"/>
            <w:gridSpan w:val="3"/>
            <w:shd w:val="clear" w:color="auto" w:fill="FFFFFF" w:themeFill="background1"/>
          </w:tcPr>
          <w:p w14:paraId="6DA13248"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10000</w:t>
            </w:r>
          </w:p>
        </w:tc>
        <w:tc>
          <w:tcPr>
            <w:tcW w:w="1134" w:type="dxa"/>
            <w:shd w:val="clear" w:color="auto" w:fill="FFFFFF" w:themeFill="background1"/>
          </w:tcPr>
          <w:p w14:paraId="5C12F8B4"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50000</w:t>
            </w:r>
          </w:p>
        </w:tc>
        <w:tc>
          <w:tcPr>
            <w:tcW w:w="1714" w:type="dxa"/>
            <w:gridSpan w:val="2"/>
            <w:vMerge/>
            <w:shd w:val="clear" w:color="auto" w:fill="FFFFFF" w:themeFill="background1"/>
          </w:tcPr>
          <w:p w14:paraId="5EDBF7AB"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37B932A3" w14:textId="77777777" w:rsidR="005773EB" w:rsidRPr="00862219" w:rsidRDefault="005773EB" w:rsidP="00520C99">
            <w:pPr>
              <w:spacing w:after="0" w:line="240" w:lineRule="auto"/>
              <w:rPr>
                <w:rFonts w:ascii="Times New Roman" w:hAnsi="Times New Roman"/>
                <w:b/>
                <w:bCs/>
                <w:sz w:val="18"/>
                <w:szCs w:val="18"/>
                <w:u w:val="single"/>
                <w:lang w:val="en-GB"/>
              </w:rPr>
            </w:pPr>
          </w:p>
        </w:tc>
        <w:tc>
          <w:tcPr>
            <w:tcW w:w="1134" w:type="dxa"/>
            <w:vMerge/>
            <w:shd w:val="clear" w:color="auto" w:fill="FFFFFF" w:themeFill="background1"/>
          </w:tcPr>
          <w:p w14:paraId="56D8770C" w14:textId="77777777" w:rsidR="005773EB" w:rsidRPr="00862219" w:rsidRDefault="005773EB" w:rsidP="00520C99">
            <w:pPr>
              <w:spacing w:after="0" w:line="240" w:lineRule="auto"/>
              <w:rPr>
                <w:rFonts w:ascii="Times New Roman" w:hAnsi="Times New Roman"/>
                <w:bCs/>
                <w:color w:val="000000"/>
                <w:sz w:val="18"/>
                <w:szCs w:val="18"/>
                <w:lang w:val="en-GB"/>
              </w:rPr>
            </w:pPr>
          </w:p>
        </w:tc>
        <w:tc>
          <w:tcPr>
            <w:tcW w:w="1130" w:type="dxa"/>
            <w:vMerge/>
            <w:shd w:val="clear" w:color="auto" w:fill="FFFFFF" w:themeFill="background1"/>
          </w:tcPr>
          <w:p w14:paraId="495BED69" w14:textId="77777777" w:rsidR="005773EB" w:rsidRPr="00862219" w:rsidRDefault="005773EB" w:rsidP="00520C99">
            <w:pPr>
              <w:spacing w:after="0" w:line="240" w:lineRule="auto"/>
              <w:rPr>
                <w:rFonts w:ascii="Times New Roman" w:hAnsi="Times New Roman"/>
                <w:b/>
                <w:sz w:val="18"/>
                <w:szCs w:val="18"/>
                <w:lang w:val="en-GB"/>
              </w:rPr>
            </w:pPr>
          </w:p>
        </w:tc>
        <w:tc>
          <w:tcPr>
            <w:tcW w:w="1275" w:type="dxa"/>
            <w:vMerge/>
            <w:shd w:val="clear" w:color="auto" w:fill="FFFFFF" w:themeFill="background1"/>
          </w:tcPr>
          <w:p w14:paraId="66AFBE1E" w14:textId="77777777" w:rsidR="005773EB" w:rsidRPr="00862219" w:rsidRDefault="005773EB" w:rsidP="00520C99">
            <w:pPr>
              <w:spacing w:after="0" w:line="240" w:lineRule="auto"/>
              <w:rPr>
                <w:rFonts w:ascii="Times New Roman" w:hAnsi="Times New Roman"/>
                <w:b/>
                <w:sz w:val="18"/>
                <w:szCs w:val="18"/>
                <w:lang w:val="en-GB"/>
              </w:rPr>
            </w:pPr>
          </w:p>
        </w:tc>
      </w:tr>
      <w:tr w:rsidR="005773EB" w:rsidRPr="00862219" w14:paraId="5855A1A8" w14:textId="77777777" w:rsidTr="00520C99">
        <w:trPr>
          <w:gridAfter w:val="1"/>
          <w:wAfter w:w="18" w:type="dxa"/>
          <w:trHeight w:val="331"/>
        </w:trPr>
        <w:tc>
          <w:tcPr>
            <w:tcW w:w="2807" w:type="dxa"/>
            <w:gridSpan w:val="3"/>
            <w:vMerge/>
            <w:shd w:val="clear" w:color="auto" w:fill="FFFFFF" w:themeFill="background1"/>
            <w:vAlign w:val="center"/>
          </w:tcPr>
          <w:p w14:paraId="27888AA6" w14:textId="77777777" w:rsidR="005773EB" w:rsidRPr="00862219" w:rsidRDefault="005773EB" w:rsidP="00520C99">
            <w:pPr>
              <w:spacing w:after="0" w:line="240" w:lineRule="auto"/>
              <w:rPr>
                <w:rFonts w:ascii="Times New Roman" w:hAnsi="Times New Roman"/>
                <w:b/>
                <w:sz w:val="18"/>
                <w:szCs w:val="18"/>
                <w:lang w:val="en-GB"/>
              </w:rPr>
            </w:pPr>
          </w:p>
        </w:tc>
        <w:tc>
          <w:tcPr>
            <w:tcW w:w="2976" w:type="dxa"/>
            <w:gridSpan w:val="2"/>
            <w:shd w:val="clear" w:color="auto" w:fill="FFFFFF" w:themeFill="background1"/>
          </w:tcPr>
          <w:p w14:paraId="3C3BCF8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Proportion de la production écoulée via les marchés</w:t>
            </w:r>
          </w:p>
        </w:tc>
        <w:tc>
          <w:tcPr>
            <w:tcW w:w="1134" w:type="dxa"/>
            <w:gridSpan w:val="3"/>
            <w:shd w:val="clear" w:color="auto" w:fill="FFFFFF" w:themeFill="background1"/>
          </w:tcPr>
          <w:p w14:paraId="5D965ED7"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10%</w:t>
            </w:r>
          </w:p>
        </w:tc>
        <w:tc>
          <w:tcPr>
            <w:tcW w:w="1134" w:type="dxa"/>
            <w:shd w:val="clear" w:color="auto" w:fill="FFFFFF" w:themeFill="background1"/>
          </w:tcPr>
          <w:p w14:paraId="6CC1394A"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rPr>
            </w:pPr>
            <w:r w:rsidRPr="00862219">
              <w:rPr>
                <w:rFonts w:ascii="Times New Roman" w:hAnsi="Times New Roman"/>
                <w:b/>
                <w:sz w:val="18"/>
                <w:szCs w:val="18"/>
              </w:rPr>
              <w:t>40%</w:t>
            </w:r>
          </w:p>
        </w:tc>
        <w:tc>
          <w:tcPr>
            <w:tcW w:w="1714" w:type="dxa"/>
            <w:gridSpan w:val="2"/>
            <w:vMerge/>
            <w:shd w:val="clear" w:color="auto" w:fill="FFFFFF" w:themeFill="background1"/>
          </w:tcPr>
          <w:p w14:paraId="4BBFCE4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185895EB" w14:textId="77777777" w:rsidR="005773EB" w:rsidRPr="00862219" w:rsidRDefault="005773EB" w:rsidP="00520C99">
            <w:pPr>
              <w:spacing w:after="0" w:line="240" w:lineRule="auto"/>
              <w:rPr>
                <w:rFonts w:ascii="Times New Roman" w:hAnsi="Times New Roman"/>
                <w:b/>
                <w:bCs/>
                <w:sz w:val="18"/>
                <w:szCs w:val="18"/>
                <w:u w:val="single"/>
                <w:lang w:val="en-GB"/>
              </w:rPr>
            </w:pPr>
          </w:p>
        </w:tc>
        <w:tc>
          <w:tcPr>
            <w:tcW w:w="1134" w:type="dxa"/>
            <w:vMerge/>
            <w:shd w:val="clear" w:color="auto" w:fill="FFFFFF" w:themeFill="background1"/>
          </w:tcPr>
          <w:p w14:paraId="197C06FB" w14:textId="77777777" w:rsidR="005773EB" w:rsidRPr="00862219" w:rsidRDefault="005773EB" w:rsidP="00520C99">
            <w:pPr>
              <w:spacing w:after="0" w:line="240" w:lineRule="auto"/>
              <w:rPr>
                <w:rFonts w:ascii="Times New Roman" w:hAnsi="Times New Roman"/>
                <w:bCs/>
                <w:color w:val="000000"/>
                <w:sz w:val="18"/>
                <w:szCs w:val="18"/>
                <w:lang w:val="en-GB"/>
              </w:rPr>
            </w:pPr>
          </w:p>
        </w:tc>
        <w:tc>
          <w:tcPr>
            <w:tcW w:w="1130" w:type="dxa"/>
            <w:vMerge/>
            <w:shd w:val="clear" w:color="auto" w:fill="FFFFFF" w:themeFill="background1"/>
          </w:tcPr>
          <w:p w14:paraId="46247DE9" w14:textId="77777777" w:rsidR="005773EB" w:rsidRPr="00862219" w:rsidRDefault="005773EB" w:rsidP="00520C99">
            <w:pPr>
              <w:spacing w:after="0" w:line="240" w:lineRule="auto"/>
              <w:rPr>
                <w:rFonts w:ascii="Times New Roman" w:hAnsi="Times New Roman"/>
                <w:b/>
                <w:sz w:val="18"/>
                <w:szCs w:val="18"/>
                <w:lang w:val="en-GB"/>
              </w:rPr>
            </w:pPr>
          </w:p>
        </w:tc>
        <w:tc>
          <w:tcPr>
            <w:tcW w:w="1275" w:type="dxa"/>
            <w:vMerge/>
            <w:shd w:val="clear" w:color="auto" w:fill="FFFFFF" w:themeFill="background1"/>
          </w:tcPr>
          <w:p w14:paraId="00FF2C5D" w14:textId="77777777" w:rsidR="005773EB" w:rsidRPr="00862219" w:rsidRDefault="005773EB" w:rsidP="00520C99">
            <w:pPr>
              <w:spacing w:after="0" w:line="240" w:lineRule="auto"/>
              <w:rPr>
                <w:rFonts w:ascii="Times New Roman" w:hAnsi="Times New Roman"/>
                <w:b/>
                <w:sz w:val="18"/>
                <w:szCs w:val="18"/>
                <w:lang w:val="en-GB"/>
              </w:rPr>
            </w:pPr>
          </w:p>
        </w:tc>
      </w:tr>
      <w:tr w:rsidR="005773EB" w:rsidRPr="00862219" w14:paraId="48A6AD95" w14:textId="77777777" w:rsidTr="00520C99">
        <w:trPr>
          <w:gridAfter w:val="1"/>
          <w:wAfter w:w="18" w:type="dxa"/>
          <w:trHeight w:val="500"/>
        </w:trPr>
        <w:tc>
          <w:tcPr>
            <w:tcW w:w="2807" w:type="dxa"/>
            <w:gridSpan w:val="3"/>
            <w:vMerge/>
            <w:shd w:val="clear" w:color="auto" w:fill="FFFFFF" w:themeFill="background1"/>
            <w:vAlign w:val="center"/>
          </w:tcPr>
          <w:p w14:paraId="68279ADF" w14:textId="77777777" w:rsidR="005773EB" w:rsidRPr="00862219" w:rsidRDefault="005773EB" w:rsidP="00520C99">
            <w:pPr>
              <w:spacing w:after="0" w:line="240" w:lineRule="auto"/>
              <w:rPr>
                <w:rFonts w:ascii="Times New Roman" w:hAnsi="Times New Roman"/>
                <w:b/>
                <w:sz w:val="18"/>
                <w:szCs w:val="18"/>
                <w:lang w:val="en-GB"/>
              </w:rPr>
            </w:pPr>
          </w:p>
        </w:tc>
        <w:tc>
          <w:tcPr>
            <w:tcW w:w="2976" w:type="dxa"/>
            <w:gridSpan w:val="2"/>
            <w:shd w:val="clear" w:color="auto" w:fill="FFFFFF" w:themeFill="background1"/>
          </w:tcPr>
          <w:p w14:paraId="526D577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Taux de pénétration des établissements de Micro Finance  (EMF)</w:t>
            </w:r>
          </w:p>
        </w:tc>
        <w:tc>
          <w:tcPr>
            <w:tcW w:w="1134" w:type="dxa"/>
            <w:gridSpan w:val="3"/>
            <w:shd w:val="clear" w:color="auto" w:fill="FFFFFF" w:themeFill="background1"/>
          </w:tcPr>
          <w:p w14:paraId="47C0829C"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2%</w:t>
            </w:r>
          </w:p>
        </w:tc>
        <w:tc>
          <w:tcPr>
            <w:tcW w:w="1134" w:type="dxa"/>
            <w:shd w:val="clear" w:color="auto" w:fill="FFFFFF" w:themeFill="background1"/>
          </w:tcPr>
          <w:p w14:paraId="3F5F7E7A"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7%</w:t>
            </w:r>
          </w:p>
        </w:tc>
        <w:tc>
          <w:tcPr>
            <w:tcW w:w="1714" w:type="dxa"/>
            <w:gridSpan w:val="2"/>
            <w:vMerge/>
            <w:shd w:val="clear" w:color="auto" w:fill="FFFFFF" w:themeFill="background1"/>
          </w:tcPr>
          <w:p w14:paraId="4D83E610"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581DC230" w14:textId="77777777" w:rsidR="005773EB" w:rsidRPr="00862219" w:rsidRDefault="005773EB" w:rsidP="00520C99">
            <w:pPr>
              <w:spacing w:after="0" w:line="240" w:lineRule="auto"/>
              <w:rPr>
                <w:rFonts w:ascii="Times New Roman" w:hAnsi="Times New Roman"/>
                <w:b/>
                <w:bCs/>
                <w:sz w:val="18"/>
                <w:szCs w:val="18"/>
                <w:u w:val="single"/>
                <w:lang w:val="en-GB"/>
              </w:rPr>
            </w:pPr>
          </w:p>
        </w:tc>
        <w:tc>
          <w:tcPr>
            <w:tcW w:w="1134" w:type="dxa"/>
            <w:vMerge/>
            <w:shd w:val="clear" w:color="auto" w:fill="FFFFFF" w:themeFill="background1"/>
          </w:tcPr>
          <w:p w14:paraId="08AF8521" w14:textId="77777777" w:rsidR="005773EB" w:rsidRPr="00862219" w:rsidRDefault="005773EB" w:rsidP="00520C99">
            <w:pPr>
              <w:spacing w:after="0" w:line="240" w:lineRule="auto"/>
              <w:rPr>
                <w:rFonts w:ascii="Times New Roman" w:hAnsi="Times New Roman"/>
                <w:bCs/>
                <w:color w:val="000000"/>
                <w:sz w:val="18"/>
                <w:szCs w:val="18"/>
                <w:lang w:val="en-GB"/>
              </w:rPr>
            </w:pPr>
          </w:p>
        </w:tc>
        <w:tc>
          <w:tcPr>
            <w:tcW w:w="1130" w:type="dxa"/>
            <w:vMerge/>
            <w:shd w:val="clear" w:color="auto" w:fill="FFFFFF" w:themeFill="background1"/>
          </w:tcPr>
          <w:p w14:paraId="509306B9" w14:textId="77777777" w:rsidR="005773EB" w:rsidRPr="00862219" w:rsidRDefault="005773EB" w:rsidP="00520C99">
            <w:pPr>
              <w:spacing w:after="0" w:line="240" w:lineRule="auto"/>
              <w:rPr>
                <w:rFonts w:ascii="Times New Roman" w:hAnsi="Times New Roman"/>
                <w:b/>
                <w:sz w:val="18"/>
                <w:szCs w:val="18"/>
                <w:lang w:val="en-GB"/>
              </w:rPr>
            </w:pPr>
          </w:p>
        </w:tc>
        <w:tc>
          <w:tcPr>
            <w:tcW w:w="1275" w:type="dxa"/>
            <w:vMerge/>
            <w:shd w:val="clear" w:color="auto" w:fill="FFFFFF" w:themeFill="background1"/>
          </w:tcPr>
          <w:p w14:paraId="3375C8D7" w14:textId="77777777" w:rsidR="005773EB" w:rsidRPr="00862219" w:rsidRDefault="005773EB" w:rsidP="00520C99">
            <w:pPr>
              <w:spacing w:after="0" w:line="240" w:lineRule="auto"/>
              <w:rPr>
                <w:rFonts w:ascii="Times New Roman" w:hAnsi="Times New Roman"/>
                <w:b/>
                <w:sz w:val="18"/>
                <w:szCs w:val="18"/>
                <w:lang w:val="en-GB"/>
              </w:rPr>
            </w:pPr>
          </w:p>
        </w:tc>
      </w:tr>
      <w:tr w:rsidR="005773EB" w:rsidRPr="00862219" w14:paraId="45606070" w14:textId="77777777" w:rsidTr="00520C99">
        <w:trPr>
          <w:gridAfter w:val="1"/>
          <w:wAfter w:w="18" w:type="dxa"/>
          <w:trHeight w:val="207"/>
        </w:trPr>
        <w:tc>
          <w:tcPr>
            <w:tcW w:w="2807" w:type="dxa"/>
            <w:gridSpan w:val="3"/>
            <w:vMerge/>
            <w:shd w:val="clear" w:color="auto" w:fill="FFFFFF" w:themeFill="background1"/>
            <w:vAlign w:val="center"/>
          </w:tcPr>
          <w:p w14:paraId="3D5DFFED" w14:textId="77777777" w:rsidR="005773EB" w:rsidRPr="00862219" w:rsidRDefault="005773EB" w:rsidP="00520C99">
            <w:pPr>
              <w:spacing w:after="0" w:line="240" w:lineRule="auto"/>
              <w:rPr>
                <w:rFonts w:ascii="Times New Roman" w:hAnsi="Times New Roman"/>
                <w:b/>
                <w:sz w:val="18"/>
                <w:szCs w:val="18"/>
                <w:lang w:val="en-GB"/>
              </w:rPr>
            </w:pPr>
          </w:p>
        </w:tc>
        <w:tc>
          <w:tcPr>
            <w:tcW w:w="2976" w:type="dxa"/>
            <w:gridSpan w:val="2"/>
            <w:vMerge w:val="restart"/>
            <w:shd w:val="clear" w:color="auto" w:fill="FFFFFF" w:themeFill="background1"/>
          </w:tcPr>
          <w:p w14:paraId="5A2FF5EC"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Pourcentage de ménages ayant accès aux Services Energétiques Modernes (selon le sexe du chef de ménage)</w:t>
            </w:r>
          </w:p>
        </w:tc>
        <w:tc>
          <w:tcPr>
            <w:tcW w:w="1134" w:type="dxa"/>
            <w:gridSpan w:val="3"/>
            <w:vMerge w:val="restart"/>
            <w:shd w:val="clear" w:color="auto" w:fill="FFFFFF" w:themeFill="background1"/>
          </w:tcPr>
          <w:p w14:paraId="7CFA3BDE"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2%</w:t>
            </w:r>
          </w:p>
        </w:tc>
        <w:tc>
          <w:tcPr>
            <w:tcW w:w="1134" w:type="dxa"/>
            <w:vMerge w:val="restart"/>
            <w:shd w:val="clear" w:color="auto" w:fill="FFFFFF" w:themeFill="background1"/>
          </w:tcPr>
          <w:p w14:paraId="26D7AB63"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10%</w:t>
            </w:r>
          </w:p>
          <w:p w14:paraId="3AD6B2A2" w14:textId="77777777" w:rsidR="005773EB" w:rsidRPr="00862219" w:rsidRDefault="005773EB" w:rsidP="00520C99">
            <w:pPr>
              <w:spacing w:after="0" w:line="240" w:lineRule="auto"/>
              <w:rPr>
                <w:rFonts w:ascii="Times New Roman" w:hAnsi="Times New Roman"/>
                <w:sz w:val="18"/>
                <w:szCs w:val="18"/>
              </w:rPr>
            </w:pPr>
          </w:p>
        </w:tc>
        <w:tc>
          <w:tcPr>
            <w:tcW w:w="1714" w:type="dxa"/>
            <w:gridSpan w:val="2"/>
            <w:vMerge/>
            <w:shd w:val="clear" w:color="auto" w:fill="FFFFFF" w:themeFill="background1"/>
          </w:tcPr>
          <w:p w14:paraId="598FB722"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en-GB"/>
              </w:rPr>
            </w:pPr>
          </w:p>
        </w:tc>
        <w:tc>
          <w:tcPr>
            <w:tcW w:w="1434" w:type="dxa"/>
            <w:vMerge/>
            <w:shd w:val="clear" w:color="auto" w:fill="FFFFFF" w:themeFill="background1"/>
          </w:tcPr>
          <w:p w14:paraId="79717BB9" w14:textId="77777777" w:rsidR="005773EB" w:rsidRPr="00862219" w:rsidRDefault="005773EB" w:rsidP="00520C99">
            <w:pPr>
              <w:spacing w:after="0" w:line="240" w:lineRule="auto"/>
              <w:rPr>
                <w:rFonts w:ascii="Times New Roman" w:hAnsi="Times New Roman"/>
                <w:b/>
                <w:bCs/>
                <w:sz w:val="18"/>
                <w:szCs w:val="18"/>
                <w:u w:val="single"/>
                <w:lang w:val="en-GB"/>
              </w:rPr>
            </w:pPr>
          </w:p>
        </w:tc>
        <w:tc>
          <w:tcPr>
            <w:tcW w:w="1134" w:type="dxa"/>
            <w:vMerge/>
            <w:shd w:val="clear" w:color="auto" w:fill="FFFFFF" w:themeFill="background1"/>
          </w:tcPr>
          <w:p w14:paraId="11A46963" w14:textId="77777777" w:rsidR="005773EB" w:rsidRPr="00862219" w:rsidRDefault="005773EB" w:rsidP="00520C99">
            <w:pPr>
              <w:spacing w:after="0" w:line="240" w:lineRule="auto"/>
              <w:rPr>
                <w:rFonts w:ascii="Times New Roman" w:hAnsi="Times New Roman"/>
                <w:bCs/>
                <w:color w:val="000000"/>
                <w:sz w:val="18"/>
                <w:szCs w:val="18"/>
                <w:lang w:val="en-GB"/>
              </w:rPr>
            </w:pPr>
          </w:p>
        </w:tc>
        <w:tc>
          <w:tcPr>
            <w:tcW w:w="1130" w:type="dxa"/>
            <w:vMerge/>
            <w:shd w:val="clear" w:color="auto" w:fill="FFFFFF" w:themeFill="background1"/>
          </w:tcPr>
          <w:p w14:paraId="6B6BB422" w14:textId="77777777" w:rsidR="005773EB" w:rsidRPr="00862219" w:rsidRDefault="005773EB" w:rsidP="00520C99">
            <w:pPr>
              <w:spacing w:after="0" w:line="240" w:lineRule="auto"/>
              <w:rPr>
                <w:rFonts w:ascii="Times New Roman" w:hAnsi="Times New Roman"/>
                <w:b/>
                <w:sz w:val="18"/>
                <w:szCs w:val="18"/>
                <w:lang w:val="en-GB"/>
              </w:rPr>
            </w:pPr>
          </w:p>
        </w:tc>
        <w:tc>
          <w:tcPr>
            <w:tcW w:w="1275" w:type="dxa"/>
            <w:vMerge/>
            <w:shd w:val="clear" w:color="auto" w:fill="FFFFFF" w:themeFill="background1"/>
          </w:tcPr>
          <w:p w14:paraId="1DEA6CE5" w14:textId="77777777" w:rsidR="005773EB" w:rsidRPr="00862219" w:rsidRDefault="005773EB" w:rsidP="00520C99">
            <w:pPr>
              <w:spacing w:after="0" w:line="240" w:lineRule="auto"/>
              <w:rPr>
                <w:rFonts w:ascii="Times New Roman" w:hAnsi="Times New Roman"/>
                <w:b/>
                <w:sz w:val="18"/>
                <w:szCs w:val="18"/>
                <w:lang w:val="en-GB"/>
              </w:rPr>
            </w:pPr>
          </w:p>
        </w:tc>
      </w:tr>
      <w:tr w:rsidR="005773EB" w:rsidRPr="00862219" w14:paraId="4B553B51" w14:textId="77777777" w:rsidTr="00520C99">
        <w:trPr>
          <w:gridAfter w:val="1"/>
          <w:wAfter w:w="18" w:type="dxa"/>
          <w:trHeight w:val="422"/>
        </w:trPr>
        <w:tc>
          <w:tcPr>
            <w:tcW w:w="2807" w:type="dxa"/>
            <w:gridSpan w:val="3"/>
            <w:vMerge/>
            <w:tcBorders>
              <w:bottom w:val="single" w:sz="4" w:space="0" w:color="auto"/>
            </w:tcBorders>
            <w:shd w:val="clear" w:color="auto" w:fill="FFFFFF" w:themeFill="background1"/>
            <w:vAlign w:val="center"/>
          </w:tcPr>
          <w:p w14:paraId="1D607AF6" w14:textId="77777777" w:rsidR="005773EB" w:rsidRPr="00862219" w:rsidRDefault="005773EB" w:rsidP="00520C99">
            <w:pPr>
              <w:spacing w:after="0" w:line="240" w:lineRule="auto"/>
              <w:rPr>
                <w:rFonts w:ascii="Times New Roman" w:hAnsi="Times New Roman"/>
                <w:b/>
                <w:color w:val="FF0000"/>
                <w:sz w:val="18"/>
                <w:szCs w:val="18"/>
                <w:lang w:val="fr-CH"/>
              </w:rPr>
            </w:pPr>
          </w:p>
        </w:tc>
        <w:tc>
          <w:tcPr>
            <w:tcW w:w="2976" w:type="dxa"/>
            <w:gridSpan w:val="2"/>
            <w:vMerge/>
            <w:tcBorders>
              <w:bottom w:val="single" w:sz="4" w:space="0" w:color="auto"/>
            </w:tcBorders>
            <w:shd w:val="clear" w:color="auto" w:fill="FFFFFF" w:themeFill="background1"/>
          </w:tcPr>
          <w:p w14:paraId="1959F3C8"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lang w:val="fr-CH"/>
              </w:rPr>
            </w:pPr>
          </w:p>
        </w:tc>
        <w:tc>
          <w:tcPr>
            <w:tcW w:w="1134" w:type="dxa"/>
            <w:gridSpan w:val="3"/>
            <w:vMerge/>
            <w:tcBorders>
              <w:bottom w:val="single" w:sz="4" w:space="0" w:color="auto"/>
            </w:tcBorders>
            <w:shd w:val="clear" w:color="auto" w:fill="FFFFFF" w:themeFill="background1"/>
          </w:tcPr>
          <w:p w14:paraId="2AE9ECEA"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lang w:val="fr-CH"/>
              </w:rPr>
            </w:pPr>
          </w:p>
        </w:tc>
        <w:tc>
          <w:tcPr>
            <w:tcW w:w="1134" w:type="dxa"/>
            <w:vMerge/>
            <w:tcBorders>
              <w:bottom w:val="single" w:sz="4" w:space="0" w:color="auto"/>
            </w:tcBorders>
            <w:shd w:val="clear" w:color="auto" w:fill="FFFFFF" w:themeFill="background1"/>
          </w:tcPr>
          <w:p w14:paraId="6B329BC1" w14:textId="77777777" w:rsidR="005773EB" w:rsidRPr="00862219" w:rsidRDefault="005773EB" w:rsidP="00520C99">
            <w:pPr>
              <w:numPr>
                <w:ilvl w:val="0"/>
                <w:numId w:val="3"/>
              </w:numPr>
              <w:spacing w:after="0" w:line="240" w:lineRule="auto"/>
              <w:ind w:left="144" w:hanging="144"/>
              <w:rPr>
                <w:rFonts w:ascii="Times New Roman" w:hAnsi="Times New Roman"/>
                <w:b/>
                <w:sz w:val="18"/>
                <w:szCs w:val="18"/>
                <w:lang w:val="fr-CH"/>
              </w:rPr>
            </w:pPr>
          </w:p>
        </w:tc>
        <w:tc>
          <w:tcPr>
            <w:tcW w:w="1714" w:type="dxa"/>
            <w:gridSpan w:val="2"/>
            <w:vMerge/>
            <w:tcBorders>
              <w:bottom w:val="single" w:sz="4" w:space="0" w:color="auto"/>
            </w:tcBorders>
            <w:shd w:val="clear" w:color="auto" w:fill="FFFFFF" w:themeFill="background1"/>
          </w:tcPr>
          <w:p w14:paraId="0F8E37A6" w14:textId="77777777" w:rsidR="005773EB" w:rsidRPr="00862219" w:rsidRDefault="005773EB" w:rsidP="00520C99">
            <w:pPr>
              <w:spacing w:after="0" w:line="240" w:lineRule="auto"/>
              <w:rPr>
                <w:rFonts w:ascii="Times New Roman" w:hAnsi="Times New Roman"/>
                <w:sz w:val="18"/>
                <w:szCs w:val="18"/>
                <w:lang w:val="fr-CH"/>
              </w:rPr>
            </w:pPr>
          </w:p>
        </w:tc>
        <w:tc>
          <w:tcPr>
            <w:tcW w:w="1434" w:type="dxa"/>
            <w:vMerge/>
            <w:tcBorders>
              <w:bottom w:val="single" w:sz="4" w:space="0" w:color="auto"/>
            </w:tcBorders>
            <w:shd w:val="clear" w:color="auto" w:fill="FFFFFF" w:themeFill="background1"/>
          </w:tcPr>
          <w:p w14:paraId="5DF98A95" w14:textId="77777777" w:rsidR="005773EB" w:rsidRPr="00862219" w:rsidRDefault="005773EB" w:rsidP="00520C99">
            <w:pPr>
              <w:spacing w:after="0" w:line="240" w:lineRule="auto"/>
              <w:ind w:left="144"/>
              <w:rPr>
                <w:rFonts w:ascii="Times New Roman" w:hAnsi="Times New Roman"/>
                <w:b/>
                <w:sz w:val="18"/>
                <w:szCs w:val="18"/>
                <w:lang w:val="fr-CH"/>
              </w:rPr>
            </w:pPr>
          </w:p>
        </w:tc>
        <w:tc>
          <w:tcPr>
            <w:tcW w:w="1134" w:type="dxa"/>
            <w:tcBorders>
              <w:bottom w:val="single" w:sz="4" w:space="0" w:color="auto"/>
            </w:tcBorders>
            <w:shd w:val="clear" w:color="auto" w:fill="FFFFFF" w:themeFill="background1"/>
          </w:tcPr>
          <w:p w14:paraId="49466792" w14:textId="77777777" w:rsidR="005773EB" w:rsidRPr="00862219" w:rsidRDefault="005773EB" w:rsidP="00520C99">
            <w:pPr>
              <w:spacing w:after="0" w:line="240" w:lineRule="auto"/>
              <w:ind w:left="144"/>
              <w:rPr>
                <w:rFonts w:ascii="Times New Roman" w:hAnsi="Times New Roman"/>
                <w:sz w:val="18"/>
                <w:szCs w:val="18"/>
              </w:rPr>
            </w:pPr>
          </w:p>
        </w:tc>
        <w:tc>
          <w:tcPr>
            <w:tcW w:w="1130" w:type="dxa"/>
            <w:tcBorders>
              <w:bottom w:val="single" w:sz="4" w:space="0" w:color="auto"/>
            </w:tcBorders>
            <w:shd w:val="clear" w:color="auto" w:fill="FFFFFF" w:themeFill="background1"/>
          </w:tcPr>
          <w:p w14:paraId="2D002608" w14:textId="77777777" w:rsidR="005773EB" w:rsidRPr="00862219" w:rsidRDefault="005773EB" w:rsidP="00520C99">
            <w:pPr>
              <w:spacing w:after="0"/>
              <w:rPr>
                <w:rFonts w:ascii="Times New Roman" w:hAnsi="Times New Roman"/>
                <w:sz w:val="18"/>
                <w:szCs w:val="18"/>
              </w:rPr>
            </w:pPr>
          </w:p>
        </w:tc>
        <w:tc>
          <w:tcPr>
            <w:tcW w:w="1275" w:type="dxa"/>
            <w:tcBorders>
              <w:bottom w:val="single" w:sz="4" w:space="0" w:color="auto"/>
            </w:tcBorders>
            <w:shd w:val="clear" w:color="auto" w:fill="FFFFFF" w:themeFill="background1"/>
          </w:tcPr>
          <w:p w14:paraId="79BFBA26" w14:textId="77777777" w:rsidR="005773EB" w:rsidRPr="00862219" w:rsidRDefault="005773EB" w:rsidP="00520C99">
            <w:pPr>
              <w:spacing w:after="0"/>
              <w:rPr>
                <w:rFonts w:ascii="Times New Roman" w:hAnsi="Times New Roman"/>
                <w:sz w:val="18"/>
                <w:szCs w:val="18"/>
              </w:rPr>
            </w:pPr>
          </w:p>
        </w:tc>
      </w:tr>
      <w:tr w:rsidR="005773EB" w:rsidRPr="00862219" w14:paraId="3E955100" w14:textId="77777777" w:rsidTr="00520C99">
        <w:trPr>
          <w:gridAfter w:val="1"/>
          <w:wAfter w:w="18" w:type="dxa"/>
          <w:trHeight w:val="279"/>
        </w:trPr>
        <w:tc>
          <w:tcPr>
            <w:tcW w:w="14738" w:type="dxa"/>
            <w:gridSpan w:val="15"/>
            <w:shd w:val="clear" w:color="auto" w:fill="BDD6EE" w:themeFill="accent1" w:themeFillTint="66"/>
            <w:vAlign w:val="center"/>
          </w:tcPr>
          <w:p w14:paraId="1FD1617A" w14:textId="77777777" w:rsidR="005773EB" w:rsidRPr="00862219" w:rsidRDefault="005773EB" w:rsidP="00520C99">
            <w:pPr>
              <w:spacing w:after="0"/>
              <w:rPr>
                <w:rFonts w:ascii="Times New Roman" w:hAnsi="Times New Roman"/>
                <w:sz w:val="18"/>
                <w:szCs w:val="18"/>
              </w:rPr>
            </w:pPr>
            <w:r w:rsidRPr="00862219">
              <w:rPr>
                <w:rFonts w:ascii="Times New Roman" w:hAnsi="Times New Roman"/>
                <w:b/>
                <w:sz w:val="18"/>
                <w:szCs w:val="18"/>
              </w:rPr>
              <w:t xml:space="preserve">Priorités et Objectifs nationaux pour le développement : VISION 2030. Pilier 1. </w:t>
            </w:r>
            <w:r w:rsidRPr="00862219">
              <w:rPr>
                <w:rFonts w:ascii="Times New Roman" w:hAnsi="Times New Roman"/>
                <w:sz w:val="18"/>
                <w:szCs w:val="18"/>
              </w:rPr>
              <w:t>Bonne Gouvernance et Renforcement des Capacités de l’Etat</w:t>
            </w:r>
            <w:r w:rsidRPr="00862219">
              <w:rPr>
                <w:rFonts w:ascii="Times New Roman" w:hAnsi="Times New Roman"/>
                <w:b/>
                <w:sz w:val="18"/>
                <w:szCs w:val="18"/>
              </w:rPr>
              <w:t xml:space="preserve"> ODD13. </w:t>
            </w:r>
            <w:r w:rsidRPr="00862219">
              <w:rPr>
                <w:rFonts w:ascii="Times New Roman" w:hAnsi="Times New Roman"/>
                <w:sz w:val="18"/>
                <w:szCs w:val="18"/>
              </w:rPr>
              <w:t>Prendre d’urgence des mesures pour lutter contre les changements climatiques et leurs répercussions;</w:t>
            </w:r>
            <w:r>
              <w:t xml:space="preserve"> </w:t>
            </w:r>
            <w:r w:rsidRPr="00845FB2">
              <w:rPr>
                <w:rFonts w:ascii="Times New Roman" w:hAnsi="Times New Roman"/>
                <w:b/>
                <w:sz w:val="18"/>
                <w:szCs w:val="18"/>
              </w:rPr>
              <w:t xml:space="preserve">ODD 5 </w:t>
            </w:r>
            <w:r w:rsidRPr="00845FB2">
              <w:rPr>
                <w:rFonts w:ascii="Times New Roman" w:hAnsi="Times New Roman"/>
                <w:sz w:val="18"/>
                <w:szCs w:val="18"/>
              </w:rPr>
              <w:t>: Réaliser l’égalité des sexes et autonomiser toutes les femmes et les filles</w:t>
            </w:r>
            <w:r>
              <w:rPr>
                <w:rFonts w:ascii="Times New Roman" w:hAnsi="Times New Roman"/>
                <w:sz w:val="18"/>
                <w:szCs w:val="18"/>
              </w:rPr>
              <w:t> ;</w:t>
            </w:r>
            <w:r w:rsidRPr="00845FB2">
              <w:rPr>
                <w:rFonts w:ascii="Times New Roman" w:hAnsi="Times New Roman"/>
                <w:b/>
                <w:sz w:val="18"/>
                <w:szCs w:val="18"/>
              </w:rPr>
              <w:t>ODD 8</w:t>
            </w:r>
            <w:r w:rsidRPr="00845FB2">
              <w:rPr>
                <w:rFonts w:ascii="Times New Roman" w:hAnsi="Times New Roman"/>
                <w:sz w:val="18"/>
                <w:szCs w:val="18"/>
              </w:rPr>
              <w:t xml:space="preserve"> : Promouvoir une croissance économique soutenue, partagée et durable, le plein emploi productif et un travail décent pour tous</w:t>
            </w:r>
            <w:r>
              <w:rPr>
                <w:rFonts w:ascii="Times New Roman" w:hAnsi="Times New Roman"/>
                <w:sz w:val="18"/>
                <w:szCs w:val="18"/>
              </w:rPr>
              <w:t xml:space="preserve"> ; </w:t>
            </w:r>
            <w:r w:rsidRPr="00845FB2">
              <w:rPr>
                <w:rFonts w:ascii="Times New Roman" w:hAnsi="Times New Roman"/>
                <w:b/>
                <w:sz w:val="18"/>
                <w:szCs w:val="18"/>
              </w:rPr>
              <w:t>ODD16</w:t>
            </w:r>
            <w:r w:rsidRPr="00845FB2">
              <w:rPr>
                <w:rFonts w:ascii="Times New Roman" w:hAnsi="Times New Roman"/>
                <w:sz w:val="18"/>
                <w:szCs w:val="18"/>
              </w:rPr>
              <w:t xml:space="preserve"> : Promouvoir l’avènement de sociétés pacifiques et ouvertes aux fins du développement durable, assurer à tous l’accès à la justice et mettre en place, à tous les niveaux, des institutions efficaces, responsables et ouvertes</w:t>
            </w:r>
          </w:p>
        </w:tc>
      </w:tr>
      <w:tr w:rsidR="005773EB" w:rsidRPr="00862219" w14:paraId="3E7188EF" w14:textId="77777777" w:rsidTr="00520C99">
        <w:trPr>
          <w:gridAfter w:val="1"/>
          <w:wAfter w:w="18" w:type="dxa"/>
          <w:trHeight w:val="101"/>
        </w:trPr>
        <w:tc>
          <w:tcPr>
            <w:tcW w:w="9765" w:type="dxa"/>
            <w:gridSpan w:val="11"/>
            <w:shd w:val="clear" w:color="auto" w:fill="BDD6EE" w:themeFill="accent1" w:themeFillTint="66"/>
            <w:vAlign w:val="center"/>
          </w:tcPr>
          <w:p w14:paraId="01513203"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color w:val="000000"/>
                <w:sz w:val="18"/>
                <w:szCs w:val="18"/>
                <w:lang w:val="en-GB"/>
              </w:rPr>
              <w:t>DC 3. Gouvernance –Paix –Sécurité</w:t>
            </w:r>
          </w:p>
        </w:tc>
        <w:tc>
          <w:tcPr>
            <w:tcW w:w="1434" w:type="dxa"/>
            <w:shd w:val="clear" w:color="auto" w:fill="BDD6EE" w:themeFill="accent1" w:themeFillTint="66"/>
            <w:vAlign w:val="center"/>
          </w:tcPr>
          <w:p w14:paraId="22F85BBB" w14:textId="77777777" w:rsidR="005773EB" w:rsidRPr="00862219" w:rsidRDefault="005773EB" w:rsidP="00520C99">
            <w:pPr>
              <w:spacing w:after="0"/>
              <w:rPr>
                <w:rFonts w:ascii="Times New Roman" w:hAnsi="Times New Roman"/>
                <w:b/>
                <w:sz w:val="18"/>
                <w:szCs w:val="18"/>
                <w:lang w:val="en-GB"/>
              </w:rPr>
            </w:pPr>
          </w:p>
        </w:tc>
        <w:tc>
          <w:tcPr>
            <w:tcW w:w="3539" w:type="dxa"/>
            <w:gridSpan w:val="3"/>
            <w:shd w:val="clear" w:color="auto" w:fill="BDD6EE" w:themeFill="accent1" w:themeFillTint="66"/>
            <w:vAlign w:val="center"/>
          </w:tcPr>
          <w:p w14:paraId="2CE3E915"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Ressources</w:t>
            </w:r>
          </w:p>
        </w:tc>
      </w:tr>
      <w:tr w:rsidR="005773EB" w:rsidRPr="00862219" w14:paraId="56593BEE" w14:textId="77777777" w:rsidTr="00520C99">
        <w:trPr>
          <w:gridAfter w:val="1"/>
          <w:wAfter w:w="18" w:type="dxa"/>
          <w:trHeight w:val="360"/>
        </w:trPr>
        <w:tc>
          <w:tcPr>
            <w:tcW w:w="2569" w:type="dxa"/>
            <w:shd w:val="clear" w:color="auto" w:fill="BDD6EE" w:themeFill="accent1" w:themeFillTint="66"/>
            <w:vAlign w:val="center"/>
          </w:tcPr>
          <w:p w14:paraId="249F00CB"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 xml:space="preserve">Résultats </w:t>
            </w:r>
          </w:p>
        </w:tc>
        <w:tc>
          <w:tcPr>
            <w:tcW w:w="2510" w:type="dxa"/>
            <w:gridSpan w:val="3"/>
            <w:shd w:val="clear" w:color="auto" w:fill="BDD6EE" w:themeFill="accent1" w:themeFillTint="66"/>
            <w:vAlign w:val="center"/>
          </w:tcPr>
          <w:p w14:paraId="02EE4451"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Indicateurs</w:t>
            </w:r>
          </w:p>
        </w:tc>
        <w:tc>
          <w:tcPr>
            <w:tcW w:w="713" w:type="dxa"/>
            <w:gridSpan w:val="2"/>
            <w:shd w:val="clear" w:color="auto" w:fill="BDD6EE" w:themeFill="accent1" w:themeFillTint="66"/>
          </w:tcPr>
          <w:p w14:paraId="09BF7F5E"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Référence</w:t>
            </w:r>
          </w:p>
        </w:tc>
        <w:tc>
          <w:tcPr>
            <w:tcW w:w="1012" w:type="dxa"/>
            <w:shd w:val="clear" w:color="auto" w:fill="BDD6EE" w:themeFill="accent1" w:themeFillTint="66"/>
          </w:tcPr>
          <w:p w14:paraId="1285E583"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Cible</w:t>
            </w:r>
          </w:p>
        </w:tc>
        <w:tc>
          <w:tcPr>
            <w:tcW w:w="2961" w:type="dxa"/>
            <w:gridSpan w:val="4"/>
            <w:shd w:val="clear" w:color="auto" w:fill="BDD6EE" w:themeFill="accent1" w:themeFillTint="66"/>
            <w:vAlign w:val="center"/>
          </w:tcPr>
          <w:p w14:paraId="35C28B14"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Moyen de vérification</w:t>
            </w:r>
          </w:p>
        </w:tc>
        <w:tc>
          <w:tcPr>
            <w:tcW w:w="1434" w:type="dxa"/>
            <w:shd w:val="clear" w:color="auto" w:fill="BDD6EE" w:themeFill="accent1" w:themeFillTint="66"/>
            <w:vAlign w:val="center"/>
          </w:tcPr>
          <w:p w14:paraId="035E4736" w14:textId="77777777" w:rsidR="005773EB" w:rsidRPr="00862219" w:rsidRDefault="005773EB" w:rsidP="00520C99">
            <w:pPr>
              <w:spacing w:after="0"/>
              <w:rPr>
                <w:rFonts w:ascii="Times New Roman" w:hAnsi="Times New Roman"/>
                <w:b/>
                <w:sz w:val="18"/>
                <w:szCs w:val="18"/>
                <w:lang w:val="en-GB"/>
              </w:rPr>
            </w:pPr>
            <w:r w:rsidRPr="00862219">
              <w:rPr>
                <w:rFonts w:ascii="Times New Roman" w:hAnsi="Times New Roman"/>
                <w:b/>
                <w:sz w:val="18"/>
                <w:szCs w:val="18"/>
                <w:lang w:val="en-GB"/>
              </w:rPr>
              <w:t>Rôles des partenaires</w:t>
            </w:r>
          </w:p>
        </w:tc>
        <w:tc>
          <w:tcPr>
            <w:tcW w:w="1134" w:type="dxa"/>
            <w:shd w:val="clear" w:color="auto" w:fill="BDD6EE" w:themeFill="accent1" w:themeFillTint="66"/>
            <w:vAlign w:val="center"/>
          </w:tcPr>
          <w:p w14:paraId="52DEA29B" w14:textId="77777777" w:rsidR="005773EB" w:rsidRPr="00862219" w:rsidRDefault="005773EB" w:rsidP="00520C99">
            <w:pPr>
              <w:spacing w:after="0" w:line="240" w:lineRule="auto"/>
              <w:rPr>
                <w:rFonts w:ascii="Times New Roman" w:hAnsi="Times New Roman"/>
                <w:b/>
                <w:sz w:val="18"/>
                <w:szCs w:val="18"/>
              </w:rPr>
            </w:pPr>
            <w:r>
              <w:rPr>
                <w:rFonts w:ascii="Times New Roman" w:hAnsi="Times New Roman"/>
                <w:b/>
                <w:sz w:val="18"/>
                <w:szCs w:val="18"/>
              </w:rPr>
              <w:t>Total</w:t>
            </w:r>
          </w:p>
        </w:tc>
        <w:tc>
          <w:tcPr>
            <w:tcW w:w="1130" w:type="dxa"/>
            <w:shd w:val="clear" w:color="auto" w:fill="BDD6EE" w:themeFill="accent1" w:themeFillTint="66"/>
            <w:vAlign w:val="center"/>
          </w:tcPr>
          <w:p w14:paraId="4210F2CB" w14:textId="77777777" w:rsidR="005773EB" w:rsidRPr="00862219" w:rsidRDefault="005773EB" w:rsidP="00520C99">
            <w:pPr>
              <w:spacing w:after="0" w:line="240" w:lineRule="auto"/>
              <w:rPr>
                <w:rFonts w:ascii="Times New Roman" w:hAnsi="Times New Roman"/>
                <w:b/>
                <w:sz w:val="18"/>
                <w:szCs w:val="18"/>
              </w:rPr>
            </w:pPr>
            <w:r>
              <w:rPr>
                <w:rFonts w:ascii="Times New Roman" w:hAnsi="Times New Roman"/>
                <w:b/>
                <w:sz w:val="18"/>
                <w:szCs w:val="18"/>
              </w:rPr>
              <w:t>Disponible</w:t>
            </w:r>
          </w:p>
        </w:tc>
        <w:tc>
          <w:tcPr>
            <w:tcW w:w="1275" w:type="dxa"/>
            <w:shd w:val="clear" w:color="auto" w:fill="BDD6EE" w:themeFill="accent1" w:themeFillTint="66"/>
            <w:vAlign w:val="center"/>
          </w:tcPr>
          <w:p w14:paraId="1F3F3176" w14:textId="77777777" w:rsidR="005773EB" w:rsidRPr="00862219" w:rsidRDefault="005773EB" w:rsidP="00520C99">
            <w:pPr>
              <w:spacing w:after="0" w:line="240" w:lineRule="auto"/>
              <w:rPr>
                <w:rFonts w:ascii="Times New Roman" w:hAnsi="Times New Roman"/>
                <w:b/>
                <w:sz w:val="18"/>
                <w:szCs w:val="18"/>
              </w:rPr>
            </w:pPr>
            <w:r>
              <w:rPr>
                <w:rFonts w:ascii="Times New Roman" w:hAnsi="Times New Roman"/>
                <w:b/>
                <w:sz w:val="18"/>
                <w:szCs w:val="18"/>
              </w:rPr>
              <w:t>A mobiliser</w:t>
            </w:r>
          </w:p>
        </w:tc>
      </w:tr>
      <w:tr w:rsidR="005773EB" w:rsidRPr="00862219" w14:paraId="5B25B247" w14:textId="77777777" w:rsidTr="00520C99">
        <w:trPr>
          <w:gridAfter w:val="1"/>
          <w:wAfter w:w="18" w:type="dxa"/>
          <w:trHeight w:val="567"/>
        </w:trPr>
        <w:tc>
          <w:tcPr>
            <w:tcW w:w="2569" w:type="dxa"/>
            <w:vMerge w:val="restart"/>
            <w:shd w:val="clear" w:color="auto" w:fill="FFFFFF" w:themeFill="background1"/>
          </w:tcPr>
          <w:p w14:paraId="385CFEEA" w14:textId="77777777" w:rsidR="005773EB" w:rsidRPr="00862219" w:rsidRDefault="005773EB" w:rsidP="00520C99">
            <w:pPr>
              <w:spacing w:after="0" w:line="240" w:lineRule="auto"/>
              <w:contextualSpacing/>
              <w:rPr>
                <w:rFonts w:ascii="Times New Roman" w:hAnsi="Times New Roman"/>
                <w:b/>
                <w:sz w:val="18"/>
                <w:szCs w:val="18"/>
              </w:rPr>
            </w:pPr>
            <w:r w:rsidRPr="00862219">
              <w:rPr>
                <w:rFonts w:ascii="Times New Roman" w:hAnsi="Times New Roman"/>
                <w:b/>
                <w:sz w:val="18"/>
                <w:szCs w:val="18"/>
              </w:rPr>
              <w:t xml:space="preserve">Effet 6. </w:t>
            </w:r>
            <w:r w:rsidRPr="00862219">
              <w:rPr>
                <w:rFonts w:ascii="Times New Roman" w:hAnsi="Times New Roman"/>
                <w:sz w:val="18"/>
                <w:szCs w:val="18"/>
              </w:rPr>
              <w:t>D’ici 2021, les institutions nationales et locales appliquent davantage les bonnes pratiques de gouvernance inclusive, promouvant la démocratie, l’Etat de droit, la cohésion sociale et l’utilisation équitable des services publics de qualité, y compris pour les réfugiés</w:t>
            </w:r>
          </w:p>
        </w:tc>
        <w:tc>
          <w:tcPr>
            <w:tcW w:w="2510" w:type="dxa"/>
            <w:gridSpan w:val="3"/>
            <w:shd w:val="clear" w:color="auto" w:fill="FFFFFF" w:themeFill="background1"/>
          </w:tcPr>
          <w:p w14:paraId="62AC2E99"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Indice de perception de la gouvernance</w:t>
            </w:r>
          </w:p>
        </w:tc>
        <w:tc>
          <w:tcPr>
            <w:tcW w:w="713" w:type="dxa"/>
            <w:gridSpan w:val="2"/>
            <w:shd w:val="clear" w:color="auto" w:fill="FFFFFF" w:themeFill="background1"/>
          </w:tcPr>
          <w:p w14:paraId="02848A63" w14:textId="77777777" w:rsidR="005773EB" w:rsidRPr="00862219" w:rsidRDefault="005773EB" w:rsidP="00520C99">
            <w:pPr>
              <w:tabs>
                <w:tab w:val="left" w:pos="368"/>
              </w:tabs>
              <w:spacing w:after="0" w:line="240" w:lineRule="auto"/>
              <w:contextualSpacing/>
              <w:rPr>
                <w:rFonts w:ascii="Times New Roman" w:hAnsi="Times New Roman"/>
                <w:b/>
                <w:sz w:val="18"/>
                <w:szCs w:val="18"/>
              </w:rPr>
            </w:pPr>
            <w:r w:rsidRPr="00862219">
              <w:rPr>
                <w:rFonts w:ascii="Times New Roman" w:hAnsi="Times New Roman"/>
                <w:b/>
                <w:sz w:val="18"/>
                <w:szCs w:val="18"/>
              </w:rPr>
              <w:t>22</w:t>
            </w:r>
          </w:p>
        </w:tc>
        <w:tc>
          <w:tcPr>
            <w:tcW w:w="1012" w:type="dxa"/>
            <w:shd w:val="clear" w:color="auto" w:fill="FFFFFF" w:themeFill="background1"/>
          </w:tcPr>
          <w:p w14:paraId="31BDB389"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30</w:t>
            </w:r>
          </w:p>
        </w:tc>
        <w:tc>
          <w:tcPr>
            <w:tcW w:w="2961" w:type="dxa"/>
            <w:gridSpan w:val="4"/>
            <w:vMerge w:val="restart"/>
            <w:shd w:val="clear" w:color="auto" w:fill="FFFFFF" w:themeFill="background1"/>
          </w:tcPr>
          <w:p w14:paraId="559D51C2" w14:textId="77777777" w:rsidR="005773EB" w:rsidRPr="00D57D75" w:rsidRDefault="005773EB" w:rsidP="00520C99">
            <w:pPr>
              <w:numPr>
                <w:ilvl w:val="0"/>
                <w:numId w:val="13"/>
              </w:numPr>
              <w:spacing w:after="0" w:line="240" w:lineRule="auto"/>
              <w:ind w:left="189" w:hanging="180"/>
              <w:rPr>
                <w:rFonts w:ascii="Times New Roman" w:hAnsi="Times New Roman"/>
                <w:sz w:val="18"/>
                <w:szCs w:val="18"/>
              </w:rPr>
            </w:pPr>
            <w:r w:rsidRPr="00D57D75">
              <w:rPr>
                <w:rFonts w:ascii="Times New Roman" w:hAnsi="Times New Roman"/>
                <w:sz w:val="18"/>
                <w:szCs w:val="18"/>
              </w:rPr>
              <w:t>Rapport Banque Mondiale</w:t>
            </w:r>
          </w:p>
          <w:p w14:paraId="0F5658CB" w14:textId="77777777" w:rsidR="005773EB" w:rsidRPr="00D57D75" w:rsidRDefault="005773EB" w:rsidP="00520C99">
            <w:pPr>
              <w:numPr>
                <w:ilvl w:val="0"/>
                <w:numId w:val="13"/>
              </w:numPr>
              <w:spacing w:after="0" w:line="240" w:lineRule="auto"/>
              <w:ind w:left="189" w:hanging="180"/>
              <w:rPr>
                <w:rFonts w:ascii="Times New Roman" w:hAnsi="Times New Roman"/>
                <w:sz w:val="18"/>
                <w:szCs w:val="18"/>
              </w:rPr>
            </w:pPr>
            <w:r w:rsidRPr="00D57D75">
              <w:rPr>
                <w:rFonts w:ascii="Times New Roman" w:hAnsi="Times New Roman"/>
                <w:sz w:val="18"/>
                <w:szCs w:val="18"/>
              </w:rPr>
              <w:t>Rapport CNIE</w:t>
            </w:r>
          </w:p>
          <w:p w14:paraId="7E992B00"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lang w:val="en-GB"/>
              </w:rPr>
            </w:pPr>
            <w:r w:rsidRPr="00D57D75">
              <w:rPr>
                <w:rFonts w:ascii="Times New Roman" w:hAnsi="Times New Roman"/>
                <w:sz w:val="18"/>
                <w:szCs w:val="18"/>
              </w:rPr>
              <w:t>Enquêtes INSEED/EDS/MICS</w:t>
            </w:r>
          </w:p>
        </w:tc>
        <w:tc>
          <w:tcPr>
            <w:tcW w:w="1434" w:type="dxa"/>
            <w:vMerge w:val="restart"/>
            <w:shd w:val="clear" w:color="auto" w:fill="FFFFFF" w:themeFill="background1"/>
          </w:tcPr>
          <w:p w14:paraId="5513953C" w14:textId="77777777" w:rsidR="005773EB" w:rsidRPr="00862219" w:rsidRDefault="005773EB" w:rsidP="00520C99">
            <w:pPr>
              <w:spacing w:after="0"/>
              <w:jc w:val="both"/>
              <w:rPr>
                <w:rFonts w:ascii="Times New Roman" w:hAnsi="Times New Roman"/>
                <w:b/>
                <w:sz w:val="18"/>
                <w:szCs w:val="18"/>
                <w:u w:val="single"/>
              </w:rPr>
            </w:pPr>
            <w:r w:rsidRPr="00862219">
              <w:rPr>
                <w:rFonts w:ascii="Times New Roman" w:hAnsi="Times New Roman"/>
                <w:b/>
                <w:sz w:val="18"/>
                <w:szCs w:val="18"/>
                <w:u w:val="single"/>
              </w:rPr>
              <w:t>Gouvernement</w:t>
            </w:r>
          </w:p>
          <w:p w14:paraId="6B5110E9"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Planification</w:t>
            </w:r>
          </w:p>
          <w:p w14:paraId="2002ACFD"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Plaidoyer</w:t>
            </w:r>
          </w:p>
          <w:p w14:paraId="21B32095"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 xml:space="preserve"> Suivi et évaluation</w:t>
            </w:r>
          </w:p>
          <w:p w14:paraId="6FF5B038" w14:textId="77777777" w:rsidR="005773EB" w:rsidRPr="00862219" w:rsidRDefault="005773EB" w:rsidP="00520C99">
            <w:pPr>
              <w:spacing w:after="0"/>
              <w:jc w:val="both"/>
              <w:rPr>
                <w:rFonts w:ascii="Times New Roman" w:hAnsi="Times New Roman"/>
                <w:b/>
                <w:sz w:val="18"/>
                <w:szCs w:val="18"/>
                <w:u w:val="single"/>
              </w:rPr>
            </w:pPr>
          </w:p>
          <w:p w14:paraId="3F76481C" w14:textId="77777777" w:rsidR="005773EB" w:rsidRPr="00862219" w:rsidRDefault="005773EB" w:rsidP="00520C99">
            <w:pPr>
              <w:spacing w:after="0"/>
              <w:jc w:val="both"/>
              <w:rPr>
                <w:rFonts w:ascii="Times New Roman" w:hAnsi="Times New Roman"/>
                <w:b/>
                <w:sz w:val="18"/>
                <w:szCs w:val="18"/>
                <w:u w:val="single"/>
              </w:rPr>
            </w:pPr>
            <w:r w:rsidRPr="00862219">
              <w:rPr>
                <w:rFonts w:ascii="Times New Roman" w:hAnsi="Times New Roman"/>
                <w:b/>
                <w:sz w:val="18"/>
                <w:szCs w:val="18"/>
                <w:u w:val="single"/>
              </w:rPr>
              <w:t>Société Civile</w:t>
            </w:r>
          </w:p>
          <w:p w14:paraId="37B92613"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Veille citoyenne</w:t>
            </w:r>
          </w:p>
          <w:p w14:paraId="54F680D1"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Plaidoyer</w:t>
            </w:r>
          </w:p>
          <w:p w14:paraId="0FB8AA92"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Information</w:t>
            </w:r>
          </w:p>
          <w:p w14:paraId="3A7451F2" w14:textId="77777777" w:rsidR="005773EB" w:rsidRPr="005B50E0" w:rsidRDefault="005773EB" w:rsidP="00520C99">
            <w:pPr>
              <w:numPr>
                <w:ilvl w:val="0"/>
                <w:numId w:val="13"/>
              </w:numPr>
              <w:spacing w:after="0" w:line="240" w:lineRule="auto"/>
              <w:ind w:left="189" w:hanging="180"/>
              <w:rPr>
                <w:rFonts w:ascii="Times New Roman" w:hAnsi="Times New Roman"/>
                <w:b/>
                <w:sz w:val="18"/>
                <w:szCs w:val="18"/>
                <w:u w:val="single"/>
                <w:lang w:val="en-GB"/>
              </w:rPr>
            </w:pPr>
            <w:r w:rsidRPr="00862219">
              <w:rPr>
                <w:rFonts w:ascii="Times New Roman" w:hAnsi="Times New Roman"/>
                <w:sz w:val="18"/>
                <w:szCs w:val="18"/>
              </w:rPr>
              <w:t>Partenariat</w:t>
            </w:r>
          </w:p>
          <w:p w14:paraId="1B787F84" w14:textId="77777777" w:rsidR="005773EB" w:rsidRDefault="005773EB" w:rsidP="00520C99">
            <w:pPr>
              <w:spacing w:after="0" w:line="240" w:lineRule="auto"/>
              <w:rPr>
                <w:rFonts w:ascii="Times New Roman" w:hAnsi="Times New Roman"/>
                <w:sz w:val="18"/>
                <w:szCs w:val="18"/>
              </w:rPr>
            </w:pPr>
          </w:p>
          <w:p w14:paraId="78C0B32E" w14:textId="77777777" w:rsidR="005773EB" w:rsidRDefault="005773EB" w:rsidP="00520C99">
            <w:pPr>
              <w:spacing w:after="0" w:line="240" w:lineRule="auto"/>
              <w:rPr>
                <w:rFonts w:ascii="Times New Roman" w:hAnsi="Times New Roman"/>
                <w:sz w:val="18"/>
                <w:szCs w:val="18"/>
              </w:rPr>
            </w:pPr>
          </w:p>
          <w:p w14:paraId="13A6EFD0" w14:textId="77777777" w:rsidR="005773EB" w:rsidRDefault="005773EB" w:rsidP="00520C99">
            <w:pPr>
              <w:spacing w:after="0" w:line="240" w:lineRule="auto"/>
              <w:rPr>
                <w:rFonts w:ascii="Times New Roman" w:hAnsi="Times New Roman"/>
                <w:sz w:val="18"/>
                <w:szCs w:val="18"/>
              </w:rPr>
            </w:pPr>
          </w:p>
          <w:p w14:paraId="064ABB09" w14:textId="77777777" w:rsidR="005773EB" w:rsidRDefault="005773EB" w:rsidP="00520C99">
            <w:pPr>
              <w:spacing w:after="0" w:line="240" w:lineRule="auto"/>
              <w:rPr>
                <w:rFonts w:ascii="Times New Roman" w:hAnsi="Times New Roman"/>
                <w:sz w:val="18"/>
                <w:szCs w:val="18"/>
              </w:rPr>
            </w:pPr>
          </w:p>
          <w:p w14:paraId="7BF5EBC8" w14:textId="77777777" w:rsidR="005773EB" w:rsidRDefault="005773EB" w:rsidP="00520C99">
            <w:pPr>
              <w:spacing w:after="0" w:line="240" w:lineRule="auto"/>
              <w:rPr>
                <w:rFonts w:ascii="Times New Roman" w:hAnsi="Times New Roman"/>
                <w:sz w:val="18"/>
                <w:szCs w:val="18"/>
              </w:rPr>
            </w:pPr>
          </w:p>
          <w:p w14:paraId="24635B9B" w14:textId="77777777" w:rsidR="005773EB" w:rsidRDefault="005773EB" w:rsidP="00520C99">
            <w:pPr>
              <w:spacing w:after="0" w:line="240" w:lineRule="auto"/>
              <w:rPr>
                <w:rFonts w:ascii="Times New Roman" w:hAnsi="Times New Roman"/>
                <w:sz w:val="18"/>
                <w:szCs w:val="18"/>
              </w:rPr>
            </w:pPr>
          </w:p>
          <w:p w14:paraId="12BE1E35" w14:textId="77777777" w:rsidR="005773EB" w:rsidRDefault="005773EB" w:rsidP="00520C99">
            <w:pPr>
              <w:spacing w:after="0" w:line="240" w:lineRule="auto"/>
              <w:rPr>
                <w:rFonts w:ascii="Times New Roman" w:hAnsi="Times New Roman"/>
                <w:sz w:val="18"/>
                <w:szCs w:val="18"/>
              </w:rPr>
            </w:pPr>
          </w:p>
          <w:p w14:paraId="22998304" w14:textId="77777777" w:rsidR="005773EB" w:rsidRDefault="005773EB" w:rsidP="00520C99">
            <w:pPr>
              <w:spacing w:after="0" w:line="240" w:lineRule="auto"/>
              <w:rPr>
                <w:rFonts w:ascii="Times New Roman" w:hAnsi="Times New Roman"/>
                <w:sz w:val="18"/>
                <w:szCs w:val="18"/>
              </w:rPr>
            </w:pPr>
          </w:p>
          <w:p w14:paraId="7643E6EC" w14:textId="77777777" w:rsidR="005773EB" w:rsidRDefault="005773EB" w:rsidP="00520C99">
            <w:pPr>
              <w:spacing w:after="0" w:line="240" w:lineRule="auto"/>
              <w:rPr>
                <w:rFonts w:ascii="Times New Roman" w:hAnsi="Times New Roman"/>
                <w:sz w:val="18"/>
                <w:szCs w:val="18"/>
              </w:rPr>
            </w:pPr>
          </w:p>
          <w:p w14:paraId="25FEEDF6" w14:textId="77777777" w:rsidR="005773EB" w:rsidRDefault="005773EB" w:rsidP="00520C99">
            <w:pPr>
              <w:spacing w:after="0" w:line="240" w:lineRule="auto"/>
              <w:rPr>
                <w:rFonts w:ascii="Times New Roman" w:hAnsi="Times New Roman"/>
                <w:sz w:val="18"/>
                <w:szCs w:val="18"/>
              </w:rPr>
            </w:pPr>
          </w:p>
          <w:p w14:paraId="3FFBC485" w14:textId="77777777" w:rsidR="005773EB" w:rsidRDefault="005773EB" w:rsidP="00520C99">
            <w:pPr>
              <w:spacing w:after="0" w:line="240" w:lineRule="auto"/>
              <w:rPr>
                <w:rFonts w:ascii="Times New Roman" w:hAnsi="Times New Roman"/>
                <w:sz w:val="18"/>
                <w:szCs w:val="18"/>
              </w:rPr>
            </w:pPr>
          </w:p>
          <w:p w14:paraId="38AEE71A" w14:textId="77777777" w:rsidR="005773EB" w:rsidRDefault="005773EB" w:rsidP="00520C99">
            <w:pPr>
              <w:spacing w:after="0" w:line="240" w:lineRule="auto"/>
              <w:rPr>
                <w:rFonts w:ascii="Times New Roman" w:hAnsi="Times New Roman"/>
                <w:sz w:val="18"/>
                <w:szCs w:val="18"/>
              </w:rPr>
            </w:pPr>
          </w:p>
          <w:p w14:paraId="28E4A08C" w14:textId="77777777" w:rsidR="005773EB" w:rsidRDefault="005773EB" w:rsidP="00520C99">
            <w:pPr>
              <w:spacing w:after="0" w:line="240" w:lineRule="auto"/>
              <w:rPr>
                <w:rFonts w:ascii="Times New Roman" w:hAnsi="Times New Roman"/>
                <w:sz w:val="18"/>
                <w:szCs w:val="18"/>
              </w:rPr>
            </w:pPr>
          </w:p>
          <w:p w14:paraId="65EFD500" w14:textId="77777777" w:rsidR="005773EB" w:rsidRDefault="005773EB" w:rsidP="00520C99">
            <w:pPr>
              <w:spacing w:after="0" w:line="240" w:lineRule="auto"/>
              <w:rPr>
                <w:rFonts w:ascii="Times New Roman" w:hAnsi="Times New Roman"/>
                <w:sz w:val="18"/>
                <w:szCs w:val="18"/>
              </w:rPr>
            </w:pPr>
          </w:p>
          <w:p w14:paraId="3CCB5F68" w14:textId="77777777" w:rsidR="005773EB" w:rsidRDefault="005773EB" w:rsidP="00520C99">
            <w:pPr>
              <w:spacing w:after="0" w:line="240" w:lineRule="auto"/>
              <w:rPr>
                <w:rFonts w:ascii="Times New Roman" w:hAnsi="Times New Roman"/>
                <w:sz w:val="18"/>
                <w:szCs w:val="18"/>
              </w:rPr>
            </w:pPr>
          </w:p>
          <w:p w14:paraId="6117DCAA" w14:textId="77777777" w:rsidR="005773EB" w:rsidRDefault="005773EB" w:rsidP="00520C99">
            <w:pPr>
              <w:spacing w:after="0" w:line="240" w:lineRule="auto"/>
              <w:rPr>
                <w:rFonts w:ascii="Times New Roman" w:hAnsi="Times New Roman"/>
                <w:sz w:val="18"/>
                <w:szCs w:val="18"/>
              </w:rPr>
            </w:pPr>
          </w:p>
          <w:p w14:paraId="6B795553" w14:textId="77777777" w:rsidR="005773EB" w:rsidRDefault="005773EB" w:rsidP="00520C99">
            <w:pPr>
              <w:spacing w:after="0" w:line="240" w:lineRule="auto"/>
              <w:rPr>
                <w:rFonts w:ascii="Times New Roman" w:hAnsi="Times New Roman"/>
                <w:sz w:val="18"/>
                <w:szCs w:val="18"/>
              </w:rPr>
            </w:pPr>
          </w:p>
          <w:p w14:paraId="28CB3CC0" w14:textId="77777777" w:rsidR="005773EB" w:rsidRDefault="005773EB" w:rsidP="00520C99">
            <w:pPr>
              <w:spacing w:after="0" w:line="240" w:lineRule="auto"/>
              <w:rPr>
                <w:rFonts w:ascii="Times New Roman" w:hAnsi="Times New Roman"/>
                <w:sz w:val="18"/>
                <w:szCs w:val="18"/>
              </w:rPr>
            </w:pPr>
          </w:p>
          <w:p w14:paraId="17E6654C" w14:textId="77777777" w:rsidR="005773EB" w:rsidRDefault="005773EB" w:rsidP="00520C99">
            <w:pPr>
              <w:spacing w:after="0" w:line="240" w:lineRule="auto"/>
              <w:rPr>
                <w:rFonts w:ascii="Times New Roman" w:hAnsi="Times New Roman"/>
                <w:sz w:val="18"/>
                <w:szCs w:val="18"/>
              </w:rPr>
            </w:pPr>
          </w:p>
          <w:p w14:paraId="7CC8DC63" w14:textId="77777777" w:rsidR="005773EB" w:rsidRDefault="005773EB" w:rsidP="00520C99">
            <w:pPr>
              <w:spacing w:after="0" w:line="240" w:lineRule="auto"/>
              <w:rPr>
                <w:rFonts w:ascii="Times New Roman" w:hAnsi="Times New Roman"/>
                <w:sz w:val="18"/>
                <w:szCs w:val="18"/>
              </w:rPr>
            </w:pPr>
          </w:p>
          <w:p w14:paraId="40BBC29E" w14:textId="77777777" w:rsidR="005773EB" w:rsidRPr="00862219" w:rsidRDefault="005773EB" w:rsidP="00520C99">
            <w:pPr>
              <w:spacing w:after="0" w:line="240" w:lineRule="auto"/>
              <w:rPr>
                <w:rFonts w:ascii="Times New Roman" w:hAnsi="Times New Roman"/>
                <w:b/>
                <w:sz w:val="18"/>
                <w:szCs w:val="18"/>
                <w:u w:val="single"/>
                <w:lang w:val="en-GB"/>
              </w:rPr>
            </w:pPr>
          </w:p>
        </w:tc>
        <w:tc>
          <w:tcPr>
            <w:tcW w:w="1134" w:type="dxa"/>
            <w:vMerge w:val="restart"/>
            <w:shd w:val="clear" w:color="auto" w:fill="FFFFFF" w:themeFill="background1"/>
          </w:tcPr>
          <w:p w14:paraId="7E25FC97" w14:textId="77777777" w:rsidR="005773EB" w:rsidRPr="00514A01" w:rsidRDefault="005773EB" w:rsidP="00520C99">
            <w:pPr>
              <w:rPr>
                <w:rFonts w:ascii="Times New Roman" w:hAnsi="Times New Roman" w:cs="Times New Roman"/>
                <w:b/>
                <w:noProof w:val="0"/>
                <w:color w:val="FF0000"/>
                <w:sz w:val="18"/>
              </w:rPr>
            </w:pPr>
            <w:r w:rsidRPr="00514A01">
              <w:rPr>
                <w:rFonts w:ascii="Times New Roman" w:hAnsi="Times New Roman" w:cs="Times New Roman"/>
                <w:b/>
                <w:color w:val="FF0000"/>
                <w:sz w:val="18"/>
              </w:rPr>
              <w:t>48 542 237</w:t>
            </w:r>
          </w:p>
        </w:tc>
        <w:tc>
          <w:tcPr>
            <w:tcW w:w="1130" w:type="dxa"/>
            <w:vMerge w:val="restart"/>
            <w:shd w:val="clear" w:color="auto" w:fill="FFFFFF" w:themeFill="background1"/>
          </w:tcPr>
          <w:p w14:paraId="12581ADA" w14:textId="77777777" w:rsidR="005773EB" w:rsidRPr="00514A01" w:rsidRDefault="005773EB" w:rsidP="00520C99">
            <w:pPr>
              <w:rPr>
                <w:rFonts w:ascii="Times New Roman" w:hAnsi="Times New Roman" w:cs="Times New Roman"/>
                <w:b/>
                <w:noProof w:val="0"/>
                <w:color w:val="FF0000"/>
                <w:sz w:val="16"/>
              </w:rPr>
            </w:pPr>
            <w:r w:rsidRPr="00514A01">
              <w:rPr>
                <w:rFonts w:ascii="Times New Roman" w:hAnsi="Times New Roman" w:cs="Times New Roman"/>
                <w:b/>
                <w:color w:val="FF0000"/>
                <w:sz w:val="16"/>
              </w:rPr>
              <w:t>24 435 500</w:t>
            </w:r>
          </w:p>
          <w:p w14:paraId="590AE98C" w14:textId="77777777" w:rsidR="005773EB" w:rsidRPr="00514A01" w:rsidRDefault="005773EB" w:rsidP="00520C99">
            <w:pPr>
              <w:spacing w:after="0" w:line="240" w:lineRule="auto"/>
              <w:contextualSpacing/>
              <w:rPr>
                <w:rFonts w:ascii="Times New Roman" w:hAnsi="Times New Roman" w:cs="Times New Roman"/>
                <w:b/>
                <w:color w:val="FF0000"/>
                <w:sz w:val="18"/>
                <w:szCs w:val="18"/>
                <w:lang w:val="en-GB"/>
              </w:rPr>
            </w:pPr>
          </w:p>
        </w:tc>
        <w:tc>
          <w:tcPr>
            <w:tcW w:w="1275" w:type="dxa"/>
            <w:vMerge w:val="restart"/>
            <w:shd w:val="clear" w:color="auto" w:fill="FFFFFF" w:themeFill="background1"/>
          </w:tcPr>
          <w:p w14:paraId="12AE7D39" w14:textId="77777777" w:rsidR="005773EB" w:rsidRPr="00514A01" w:rsidRDefault="005773EB" w:rsidP="00520C99">
            <w:pPr>
              <w:rPr>
                <w:rFonts w:ascii="Times New Roman" w:hAnsi="Times New Roman" w:cs="Times New Roman"/>
                <w:b/>
                <w:noProof w:val="0"/>
                <w:color w:val="FF0000"/>
                <w:sz w:val="18"/>
              </w:rPr>
            </w:pPr>
            <w:r w:rsidRPr="00514A01">
              <w:rPr>
                <w:rFonts w:ascii="Times New Roman" w:hAnsi="Times New Roman" w:cs="Times New Roman"/>
                <w:b/>
                <w:color w:val="FF0000"/>
                <w:sz w:val="18"/>
              </w:rPr>
              <w:t>24 106 737</w:t>
            </w:r>
          </w:p>
          <w:p w14:paraId="4B06B39F" w14:textId="77777777" w:rsidR="005773EB" w:rsidRPr="00514A01" w:rsidRDefault="005773EB" w:rsidP="00520C99">
            <w:pPr>
              <w:spacing w:after="0" w:line="240" w:lineRule="auto"/>
              <w:contextualSpacing/>
              <w:rPr>
                <w:rFonts w:ascii="Times New Roman" w:hAnsi="Times New Roman" w:cs="Times New Roman"/>
                <w:b/>
                <w:color w:val="FF0000"/>
                <w:sz w:val="18"/>
                <w:szCs w:val="18"/>
                <w:lang w:val="en-GB"/>
              </w:rPr>
            </w:pPr>
          </w:p>
        </w:tc>
      </w:tr>
      <w:tr w:rsidR="005773EB" w:rsidRPr="00862219" w14:paraId="4D4B22C6" w14:textId="77777777" w:rsidTr="00520C99">
        <w:trPr>
          <w:gridAfter w:val="1"/>
          <w:wAfter w:w="18" w:type="dxa"/>
          <w:trHeight w:val="573"/>
        </w:trPr>
        <w:tc>
          <w:tcPr>
            <w:tcW w:w="2569" w:type="dxa"/>
            <w:vMerge/>
            <w:shd w:val="clear" w:color="auto" w:fill="FFFFFF" w:themeFill="background1"/>
          </w:tcPr>
          <w:p w14:paraId="50352DA0" w14:textId="77777777" w:rsidR="005773EB" w:rsidRPr="00862219" w:rsidRDefault="005773EB" w:rsidP="00520C99">
            <w:pPr>
              <w:spacing w:after="0" w:line="240" w:lineRule="auto"/>
              <w:contextualSpacing/>
              <w:rPr>
                <w:rFonts w:ascii="Times New Roman" w:hAnsi="Times New Roman"/>
                <w:b/>
                <w:sz w:val="18"/>
                <w:szCs w:val="18"/>
                <w:lang w:val="en-GB"/>
              </w:rPr>
            </w:pPr>
          </w:p>
        </w:tc>
        <w:tc>
          <w:tcPr>
            <w:tcW w:w="2510" w:type="dxa"/>
            <w:gridSpan w:val="3"/>
            <w:shd w:val="clear" w:color="auto" w:fill="FFFFFF" w:themeFill="background1"/>
          </w:tcPr>
          <w:p w14:paraId="2324392E"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Pr>
                <w:rFonts w:ascii="Times New Roman" w:hAnsi="Times New Roman"/>
                <w:sz w:val="18"/>
                <w:szCs w:val="18"/>
              </w:rPr>
              <w:t>Pourcentage</w:t>
            </w:r>
            <w:r w:rsidRPr="00862219">
              <w:rPr>
                <w:rFonts w:ascii="Times New Roman" w:hAnsi="Times New Roman"/>
                <w:sz w:val="18"/>
                <w:szCs w:val="18"/>
              </w:rPr>
              <w:t xml:space="preserve"> des recommandations de l’Examen périodique universel (EPU) acceptés et mises en œuvre</w:t>
            </w:r>
          </w:p>
        </w:tc>
        <w:tc>
          <w:tcPr>
            <w:tcW w:w="713" w:type="dxa"/>
            <w:gridSpan w:val="2"/>
            <w:shd w:val="clear" w:color="auto" w:fill="FFFFFF" w:themeFill="background1"/>
          </w:tcPr>
          <w:p w14:paraId="3FB25C53"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60%</w:t>
            </w:r>
          </w:p>
        </w:tc>
        <w:tc>
          <w:tcPr>
            <w:tcW w:w="1012" w:type="dxa"/>
            <w:shd w:val="clear" w:color="auto" w:fill="FFFFFF" w:themeFill="background1"/>
          </w:tcPr>
          <w:p w14:paraId="388CA1FC"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80%</w:t>
            </w:r>
          </w:p>
          <w:p w14:paraId="062F257B" w14:textId="77777777" w:rsidR="005773EB" w:rsidRPr="00862219" w:rsidRDefault="005773EB" w:rsidP="00520C99">
            <w:pPr>
              <w:spacing w:after="0" w:line="240" w:lineRule="auto"/>
              <w:ind w:left="360"/>
              <w:contextualSpacing/>
              <w:rPr>
                <w:rFonts w:ascii="Times New Roman" w:hAnsi="Times New Roman"/>
                <w:b/>
                <w:sz w:val="18"/>
                <w:szCs w:val="18"/>
              </w:rPr>
            </w:pPr>
          </w:p>
        </w:tc>
        <w:tc>
          <w:tcPr>
            <w:tcW w:w="2961" w:type="dxa"/>
            <w:gridSpan w:val="4"/>
            <w:vMerge/>
            <w:shd w:val="clear" w:color="auto" w:fill="FFFFFF" w:themeFill="background1"/>
          </w:tcPr>
          <w:p w14:paraId="59BD867F" w14:textId="77777777" w:rsidR="005773EB" w:rsidRPr="00862219" w:rsidRDefault="005773EB" w:rsidP="00520C99">
            <w:pPr>
              <w:numPr>
                <w:ilvl w:val="0"/>
                <w:numId w:val="3"/>
              </w:numPr>
              <w:spacing w:after="0" w:line="240" w:lineRule="auto"/>
              <w:contextualSpacing/>
              <w:rPr>
                <w:rFonts w:ascii="Times New Roman" w:hAnsi="Times New Roman"/>
                <w:sz w:val="18"/>
                <w:szCs w:val="18"/>
              </w:rPr>
            </w:pPr>
          </w:p>
        </w:tc>
        <w:tc>
          <w:tcPr>
            <w:tcW w:w="1434" w:type="dxa"/>
            <w:vMerge/>
            <w:shd w:val="clear" w:color="auto" w:fill="FFFFFF" w:themeFill="background1"/>
          </w:tcPr>
          <w:p w14:paraId="56DD936C" w14:textId="77777777" w:rsidR="005773EB" w:rsidRPr="00862219" w:rsidRDefault="005773EB" w:rsidP="00520C99">
            <w:pPr>
              <w:spacing w:after="0"/>
              <w:jc w:val="both"/>
              <w:rPr>
                <w:rFonts w:ascii="Times New Roman" w:hAnsi="Times New Roman"/>
                <w:b/>
                <w:sz w:val="18"/>
                <w:szCs w:val="18"/>
                <w:u w:val="single"/>
              </w:rPr>
            </w:pPr>
          </w:p>
        </w:tc>
        <w:tc>
          <w:tcPr>
            <w:tcW w:w="1134" w:type="dxa"/>
            <w:vMerge/>
            <w:shd w:val="clear" w:color="auto" w:fill="FFFFFF" w:themeFill="background1"/>
          </w:tcPr>
          <w:p w14:paraId="0D6D758C" w14:textId="77777777" w:rsidR="005773EB" w:rsidRPr="00862219" w:rsidRDefault="005773EB" w:rsidP="00520C99">
            <w:pPr>
              <w:spacing w:after="0" w:line="240" w:lineRule="auto"/>
              <w:contextualSpacing/>
              <w:rPr>
                <w:rFonts w:ascii="Times New Roman" w:hAnsi="Times New Roman"/>
                <w:sz w:val="18"/>
                <w:szCs w:val="18"/>
              </w:rPr>
            </w:pPr>
          </w:p>
        </w:tc>
        <w:tc>
          <w:tcPr>
            <w:tcW w:w="1130" w:type="dxa"/>
            <w:vMerge/>
            <w:shd w:val="clear" w:color="auto" w:fill="FFFFFF" w:themeFill="background1"/>
          </w:tcPr>
          <w:p w14:paraId="3B433122" w14:textId="77777777" w:rsidR="005773EB" w:rsidRPr="00862219" w:rsidRDefault="005773EB" w:rsidP="00520C99">
            <w:pPr>
              <w:spacing w:after="0" w:line="240" w:lineRule="auto"/>
              <w:contextualSpacing/>
              <w:rPr>
                <w:rFonts w:ascii="Times New Roman" w:hAnsi="Times New Roman"/>
                <w:sz w:val="18"/>
                <w:szCs w:val="18"/>
              </w:rPr>
            </w:pPr>
          </w:p>
        </w:tc>
        <w:tc>
          <w:tcPr>
            <w:tcW w:w="1275" w:type="dxa"/>
            <w:vMerge/>
            <w:shd w:val="clear" w:color="auto" w:fill="FFFFFF" w:themeFill="background1"/>
          </w:tcPr>
          <w:p w14:paraId="1BC0C4D0" w14:textId="77777777" w:rsidR="005773EB" w:rsidRPr="00862219" w:rsidRDefault="005773EB" w:rsidP="00520C99">
            <w:pPr>
              <w:spacing w:after="0" w:line="240" w:lineRule="auto"/>
              <w:contextualSpacing/>
              <w:rPr>
                <w:rFonts w:ascii="Times New Roman" w:hAnsi="Times New Roman"/>
                <w:sz w:val="18"/>
                <w:szCs w:val="18"/>
              </w:rPr>
            </w:pPr>
          </w:p>
        </w:tc>
      </w:tr>
      <w:tr w:rsidR="005773EB" w:rsidRPr="00862219" w14:paraId="72DBEB6E" w14:textId="77777777" w:rsidTr="00520C99">
        <w:trPr>
          <w:gridAfter w:val="1"/>
          <w:wAfter w:w="18" w:type="dxa"/>
          <w:trHeight w:val="130"/>
        </w:trPr>
        <w:tc>
          <w:tcPr>
            <w:tcW w:w="2569" w:type="dxa"/>
            <w:vMerge/>
            <w:shd w:val="clear" w:color="auto" w:fill="FFFFFF" w:themeFill="background1"/>
          </w:tcPr>
          <w:p w14:paraId="5681DD25" w14:textId="77777777" w:rsidR="005773EB" w:rsidRPr="00862219" w:rsidRDefault="005773EB" w:rsidP="00520C99">
            <w:pPr>
              <w:spacing w:after="0" w:line="240" w:lineRule="auto"/>
              <w:contextualSpacing/>
              <w:rPr>
                <w:rFonts w:ascii="Times New Roman" w:hAnsi="Times New Roman"/>
                <w:b/>
                <w:sz w:val="18"/>
                <w:szCs w:val="18"/>
              </w:rPr>
            </w:pPr>
          </w:p>
        </w:tc>
        <w:tc>
          <w:tcPr>
            <w:tcW w:w="2510" w:type="dxa"/>
            <w:gridSpan w:val="3"/>
            <w:shd w:val="clear" w:color="auto" w:fill="FFFFFF" w:themeFill="background1"/>
          </w:tcPr>
          <w:p w14:paraId="4F0DBEC4" w14:textId="77777777" w:rsidR="005773EB" w:rsidRPr="00862219" w:rsidRDefault="005773EB" w:rsidP="00520C99">
            <w:pPr>
              <w:numPr>
                <w:ilvl w:val="0"/>
                <w:numId w:val="13"/>
              </w:numPr>
              <w:spacing w:after="0" w:line="240" w:lineRule="auto"/>
              <w:ind w:left="189" w:hanging="180"/>
              <w:rPr>
                <w:rFonts w:ascii="Times New Roman" w:hAnsi="Times New Roman"/>
                <w:sz w:val="18"/>
                <w:szCs w:val="18"/>
              </w:rPr>
            </w:pPr>
            <w:r w:rsidRPr="00862219">
              <w:rPr>
                <w:rFonts w:ascii="Times New Roman" w:hAnsi="Times New Roman"/>
                <w:sz w:val="18"/>
                <w:szCs w:val="18"/>
              </w:rPr>
              <w:t>Taux de participation aux élections  (H/F)</w:t>
            </w:r>
          </w:p>
        </w:tc>
        <w:tc>
          <w:tcPr>
            <w:tcW w:w="713" w:type="dxa"/>
            <w:gridSpan w:val="2"/>
            <w:shd w:val="clear" w:color="auto" w:fill="FFFFFF" w:themeFill="background1"/>
          </w:tcPr>
          <w:p w14:paraId="5D5C3560"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76%</w:t>
            </w:r>
          </w:p>
        </w:tc>
        <w:tc>
          <w:tcPr>
            <w:tcW w:w="1012" w:type="dxa"/>
            <w:shd w:val="clear" w:color="auto" w:fill="FFFFFF" w:themeFill="background1"/>
          </w:tcPr>
          <w:p w14:paraId="35788B5A"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85%</w:t>
            </w:r>
          </w:p>
        </w:tc>
        <w:tc>
          <w:tcPr>
            <w:tcW w:w="2961" w:type="dxa"/>
            <w:gridSpan w:val="4"/>
            <w:vMerge/>
            <w:shd w:val="clear" w:color="auto" w:fill="FFFFFF" w:themeFill="background1"/>
          </w:tcPr>
          <w:p w14:paraId="6C86CF9D" w14:textId="77777777" w:rsidR="005773EB" w:rsidRPr="00862219" w:rsidRDefault="005773EB" w:rsidP="00520C99">
            <w:pPr>
              <w:numPr>
                <w:ilvl w:val="0"/>
                <w:numId w:val="3"/>
              </w:numPr>
              <w:spacing w:after="0" w:line="240" w:lineRule="auto"/>
              <w:contextualSpacing/>
              <w:rPr>
                <w:rFonts w:ascii="Times New Roman" w:hAnsi="Times New Roman"/>
                <w:sz w:val="18"/>
                <w:szCs w:val="18"/>
              </w:rPr>
            </w:pPr>
          </w:p>
        </w:tc>
        <w:tc>
          <w:tcPr>
            <w:tcW w:w="1434" w:type="dxa"/>
            <w:vMerge/>
            <w:shd w:val="clear" w:color="auto" w:fill="FFFFFF" w:themeFill="background1"/>
          </w:tcPr>
          <w:p w14:paraId="0AD7A4A9" w14:textId="77777777" w:rsidR="005773EB" w:rsidRPr="00862219" w:rsidRDefault="005773EB" w:rsidP="00520C99">
            <w:pPr>
              <w:spacing w:after="0"/>
              <w:jc w:val="both"/>
              <w:rPr>
                <w:rFonts w:ascii="Times New Roman" w:hAnsi="Times New Roman"/>
                <w:b/>
                <w:sz w:val="18"/>
                <w:szCs w:val="18"/>
                <w:u w:val="single"/>
              </w:rPr>
            </w:pPr>
          </w:p>
        </w:tc>
        <w:tc>
          <w:tcPr>
            <w:tcW w:w="1134" w:type="dxa"/>
            <w:vMerge/>
            <w:shd w:val="clear" w:color="auto" w:fill="FFFFFF" w:themeFill="background1"/>
          </w:tcPr>
          <w:p w14:paraId="0DD4AD28" w14:textId="77777777" w:rsidR="005773EB" w:rsidRPr="00862219" w:rsidRDefault="005773EB" w:rsidP="00520C99">
            <w:pPr>
              <w:spacing w:after="0" w:line="240" w:lineRule="auto"/>
              <w:contextualSpacing/>
              <w:rPr>
                <w:rFonts w:ascii="Times New Roman" w:hAnsi="Times New Roman"/>
                <w:sz w:val="18"/>
                <w:szCs w:val="18"/>
              </w:rPr>
            </w:pPr>
          </w:p>
        </w:tc>
        <w:tc>
          <w:tcPr>
            <w:tcW w:w="1130" w:type="dxa"/>
            <w:vMerge/>
            <w:shd w:val="clear" w:color="auto" w:fill="FFFFFF" w:themeFill="background1"/>
          </w:tcPr>
          <w:p w14:paraId="33038F21" w14:textId="77777777" w:rsidR="005773EB" w:rsidRPr="00862219" w:rsidRDefault="005773EB" w:rsidP="00520C99">
            <w:pPr>
              <w:spacing w:after="0" w:line="240" w:lineRule="auto"/>
              <w:contextualSpacing/>
              <w:rPr>
                <w:rFonts w:ascii="Times New Roman" w:hAnsi="Times New Roman"/>
                <w:sz w:val="18"/>
                <w:szCs w:val="18"/>
              </w:rPr>
            </w:pPr>
          </w:p>
        </w:tc>
        <w:tc>
          <w:tcPr>
            <w:tcW w:w="1275" w:type="dxa"/>
            <w:vMerge/>
            <w:shd w:val="clear" w:color="auto" w:fill="FFFFFF" w:themeFill="background1"/>
          </w:tcPr>
          <w:p w14:paraId="2A96B64A" w14:textId="77777777" w:rsidR="005773EB" w:rsidRPr="00862219" w:rsidRDefault="005773EB" w:rsidP="00520C99">
            <w:pPr>
              <w:spacing w:after="0" w:line="240" w:lineRule="auto"/>
              <w:contextualSpacing/>
              <w:rPr>
                <w:rFonts w:ascii="Times New Roman" w:hAnsi="Times New Roman"/>
                <w:sz w:val="18"/>
                <w:szCs w:val="18"/>
              </w:rPr>
            </w:pPr>
          </w:p>
        </w:tc>
      </w:tr>
      <w:tr w:rsidR="005773EB" w:rsidRPr="00862219" w14:paraId="1BAAC08C" w14:textId="77777777" w:rsidTr="00520C99">
        <w:trPr>
          <w:gridAfter w:val="1"/>
          <w:wAfter w:w="18" w:type="dxa"/>
          <w:trHeight w:val="346"/>
        </w:trPr>
        <w:tc>
          <w:tcPr>
            <w:tcW w:w="2569" w:type="dxa"/>
            <w:vMerge/>
            <w:tcBorders>
              <w:bottom w:val="single" w:sz="4" w:space="0" w:color="auto"/>
            </w:tcBorders>
            <w:shd w:val="clear" w:color="auto" w:fill="FFFFFF" w:themeFill="background1"/>
          </w:tcPr>
          <w:p w14:paraId="79E3BDCA" w14:textId="77777777" w:rsidR="005773EB" w:rsidRPr="00862219" w:rsidRDefault="005773EB" w:rsidP="00520C99">
            <w:pPr>
              <w:spacing w:after="0" w:line="240" w:lineRule="auto"/>
              <w:contextualSpacing/>
              <w:rPr>
                <w:rFonts w:ascii="Times New Roman" w:hAnsi="Times New Roman"/>
                <w:b/>
                <w:sz w:val="18"/>
                <w:szCs w:val="18"/>
              </w:rPr>
            </w:pPr>
          </w:p>
        </w:tc>
        <w:tc>
          <w:tcPr>
            <w:tcW w:w="2510" w:type="dxa"/>
            <w:gridSpan w:val="3"/>
            <w:tcBorders>
              <w:bottom w:val="single" w:sz="4" w:space="0" w:color="auto"/>
            </w:tcBorders>
            <w:shd w:val="clear" w:color="auto" w:fill="FFFFFF" w:themeFill="background1"/>
          </w:tcPr>
          <w:p w14:paraId="30F4DEB4" w14:textId="77777777" w:rsidR="005773EB" w:rsidRPr="00E86829" w:rsidRDefault="005773EB" w:rsidP="00520C99">
            <w:pPr>
              <w:numPr>
                <w:ilvl w:val="0"/>
                <w:numId w:val="13"/>
              </w:numPr>
              <w:spacing w:after="0" w:line="240" w:lineRule="auto"/>
              <w:ind w:left="189" w:hanging="180"/>
              <w:rPr>
                <w:rFonts w:ascii="Times New Roman" w:hAnsi="Times New Roman"/>
                <w:sz w:val="18"/>
              </w:rPr>
            </w:pPr>
            <w:r w:rsidRPr="00E86829">
              <w:rPr>
                <w:rFonts w:ascii="Times New Roman" w:hAnsi="Times New Roman"/>
                <w:sz w:val="18"/>
              </w:rPr>
              <w:t>Taux d’enregistrement des naissances</w:t>
            </w:r>
          </w:p>
        </w:tc>
        <w:tc>
          <w:tcPr>
            <w:tcW w:w="713" w:type="dxa"/>
            <w:gridSpan w:val="2"/>
            <w:tcBorders>
              <w:bottom w:val="single" w:sz="4" w:space="0" w:color="auto"/>
            </w:tcBorders>
            <w:shd w:val="clear" w:color="auto" w:fill="FFFFFF" w:themeFill="background1"/>
          </w:tcPr>
          <w:p w14:paraId="3D105DA8"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12%</w:t>
            </w:r>
          </w:p>
        </w:tc>
        <w:tc>
          <w:tcPr>
            <w:tcW w:w="1012" w:type="dxa"/>
            <w:tcBorders>
              <w:bottom w:val="single" w:sz="4" w:space="0" w:color="auto"/>
            </w:tcBorders>
            <w:shd w:val="clear" w:color="auto" w:fill="FFFFFF" w:themeFill="background1"/>
          </w:tcPr>
          <w:p w14:paraId="37E5CDB3" w14:textId="77777777" w:rsidR="005773EB" w:rsidRPr="00862219" w:rsidRDefault="005773EB" w:rsidP="00520C99">
            <w:pPr>
              <w:spacing w:after="0" w:line="240" w:lineRule="auto"/>
              <w:contextualSpacing/>
              <w:rPr>
                <w:rFonts w:ascii="Times New Roman" w:hAnsi="Times New Roman"/>
                <w:b/>
                <w:sz w:val="18"/>
                <w:szCs w:val="18"/>
                <w:lang w:val="en-GB"/>
              </w:rPr>
            </w:pPr>
            <w:r w:rsidRPr="00862219">
              <w:rPr>
                <w:rFonts w:ascii="Times New Roman" w:hAnsi="Times New Roman"/>
                <w:b/>
                <w:sz w:val="18"/>
                <w:szCs w:val="18"/>
                <w:lang w:val="en-GB"/>
              </w:rPr>
              <w:t>50%</w:t>
            </w:r>
          </w:p>
        </w:tc>
        <w:tc>
          <w:tcPr>
            <w:tcW w:w="2961" w:type="dxa"/>
            <w:gridSpan w:val="4"/>
            <w:vMerge/>
            <w:tcBorders>
              <w:bottom w:val="single" w:sz="4" w:space="0" w:color="auto"/>
            </w:tcBorders>
            <w:shd w:val="clear" w:color="auto" w:fill="FFFFFF" w:themeFill="background1"/>
          </w:tcPr>
          <w:p w14:paraId="06111370"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p>
        </w:tc>
        <w:tc>
          <w:tcPr>
            <w:tcW w:w="1434" w:type="dxa"/>
            <w:vMerge/>
            <w:shd w:val="clear" w:color="auto" w:fill="FFFFFF" w:themeFill="background1"/>
          </w:tcPr>
          <w:p w14:paraId="58236722" w14:textId="77777777" w:rsidR="005773EB" w:rsidRPr="00862219" w:rsidRDefault="005773EB" w:rsidP="00520C99">
            <w:pPr>
              <w:spacing w:after="0"/>
              <w:jc w:val="both"/>
              <w:rPr>
                <w:rFonts w:ascii="Times New Roman" w:hAnsi="Times New Roman"/>
                <w:b/>
                <w:sz w:val="18"/>
                <w:szCs w:val="18"/>
                <w:u w:val="single"/>
                <w:lang w:val="en-GB"/>
              </w:rPr>
            </w:pPr>
          </w:p>
        </w:tc>
        <w:tc>
          <w:tcPr>
            <w:tcW w:w="1134" w:type="dxa"/>
            <w:vMerge/>
            <w:shd w:val="clear" w:color="auto" w:fill="FFFFFF" w:themeFill="background1"/>
          </w:tcPr>
          <w:p w14:paraId="61386D13"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0" w:type="dxa"/>
            <w:vMerge/>
            <w:shd w:val="clear" w:color="auto" w:fill="FFFFFF" w:themeFill="background1"/>
          </w:tcPr>
          <w:p w14:paraId="4CBD570E"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275" w:type="dxa"/>
            <w:vMerge/>
            <w:shd w:val="clear" w:color="auto" w:fill="FFFFFF" w:themeFill="background1"/>
          </w:tcPr>
          <w:p w14:paraId="16C1962B" w14:textId="77777777" w:rsidR="005773EB" w:rsidRPr="00862219" w:rsidRDefault="005773EB" w:rsidP="00520C99">
            <w:pPr>
              <w:spacing w:after="0" w:line="240" w:lineRule="auto"/>
              <w:contextualSpacing/>
              <w:rPr>
                <w:rFonts w:ascii="Times New Roman" w:hAnsi="Times New Roman"/>
                <w:sz w:val="18"/>
                <w:szCs w:val="18"/>
                <w:lang w:val="en-GB"/>
              </w:rPr>
            </w:pPr>
          </w:p>
        </w:tc>
      </w:tr>
      <w:tr w:rsidR="005773EB" w:rsidRPr="00862219" w14:paraId="17ACE699" w14:textId="77777777" w:rsidTr="00520C99">
        <w:trPr>
          <w:gridAfter w:val="1"/>
          <w:wAfter w:w="18" w:type="dxa"/>
          <w:trHeight w:val="114"/>
        </w:trPr>
        <w:tc>
          <w:tcPr>
            <w:tcW w:w="2569" w:type="dxa"/>
            <w:vMerge/>
            <w:tcBorders>
              <w:bottom w:val="single" w:sz="4" w:space="0" w:color="auto"/>
            </w:tcBorders>
            <w:shd w:val="clear" w:color="auto" w:fill="FFFFFF" w:themeFill="background1"/>
          </w:tcPr>
          <w:p w14:paraId="00A974EF" w14:textId="77777777" w:rsidR="005773EB" w:rsidRPr="008A25CE" w:rsidRDefault="005773EB" w:rsidP="00520C99">
            <w:pPr>
              <w:spacing w:after="0" w:line="240" w:lineRule="auto"/>
              <w:contextualSpacing/>
              <w:rPr>
                <w:rFonts w:ascii="Times New Roman" w:hAnsi="Times New Roman"/>
                <w:b/>
                <w:sz w:val="18"/>
                <w:szCs w:val="18"/>
              </w:rPr>
            </w:pPr>
          </w:p>
        </w:tc>
        <w:tc>
          <w:tcPr>
            <w:tcW w:w="2510" w:type="dxa"/>
            <w:gridSpan w:val="3"/>
            <w:tcBorders>
              <w:bottom w:val="single" w:sz="4" w:space="0" w:color="auto"/>
            </w:tcBorders>
            <w:shd w:val="clear" w:color="auto" w:fill="FFFFFF" w:themeFill="background1"/>
          </w:tcPr>
          <w:p w14:paraId="7FF79F88"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 xml:space="preserve">proportion de recours résolus par la Médiature </w:t>
            </w:r>
          </w:p>
        </w:tc>
        <w:tc>
          <w:tcPr>
            <w:tcW w:w="713" w:type="dxa"/>
            <w:gridSpan w:val="2"/>
            <w:tcBorders>
              <w:bottom w:val="single" w:sz="4" w:space="0" w:color="auto"/>
            </w:tcBorders>
            <w:shd w:val="clear" w:color="auto" w:fill="FFFFFF" w:themeFill="background1"/>
          </w:tcPr>
          <w:p w14:paraId="59B012C7"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lang w:val="en-GB"/>
              </w:rPr>
              <w:t>0</w:t>
            </w:r>
          </w:p>
        </w:tc>
        <w:tc>
          <w:tcPr>
            <w:tcW w:w="1012" w:type="dxa"/>
            <w:tcBorders>
              <w:bottom w:val="single" w:sz="4" w:space="0" w:color="auto"/>
            </w:tcBorders>
            <w:shd w:val="clear" w:color="auto" w:fill="FFFFFF" w:themeFill="background1"/>
          </w:tcPr>
          <w:p w14:paraId="52CD30BD"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lang w:val="en-GB"/>
              </w:rPr>
              <w:t>50%</w:t>
            </w:r>
          </w:p>
        </w:tc>
        <w:tc>
          <w:tcPr>
            <w:tcW w:w="2961" w:type="dxa"/>
            <w:gridSpan w:val="4"/>
            <w:vMerge/>
            <w:tcBorders>
              <w:bottom w:val="single" w:sz="4" w:space="0" w:color="auto"/>
            </w:tcBorders>
            <w:shd w:val="clear" w:color="auto" w:fill="FFFFFF" w:themeFill="background1"/>
          </w:tcPr>
          <w:p w14:paraId="24D39156"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p>
        </w:tc>
        <w:tc>
          <w:tcPr>
            <w:tcW w:w="1434" w:type="dxa"/>
            <w:vMerge/>
            <w:shd w:val="clear" w:color="auto" w:fill="FFFFFF" w:themeFill="background1"/>
          </w:tcPr>
          <w:p w14:paraId="637B5F71"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4" w:type="dxa"/>
            <w:vMerge/>
            <w:shd w:val="clear" w:color="auto" w:fill="FFFFFF" w:themeFill="background1"/>
          </w:tcPr>
          <w:p w14:paraId="0F094BAB"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0" w:type="dxa"/>
            <w:vMerge/>
            <w:shd w:val="clear" w:color="auto" w:fill="FFFFFF" w:themeFill="background1"/>
          </w:tcPr>
          <w:p w14:paraId="72A89BE3"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275" w:type="dxa"/>
            <w:vMerge/>
            <w:shd w:val="clear" w:color="auto" w:fill="FFFFFF" w:themeFill="background1"/>
          </w:tcPr>
          <w:p w14:paraId="49713938" w14:textId="77777777" w:rsidR="005773EB" w:rsidRPr="00862219" w:rsidRDefault="005773EB" w:rsidP="00520C99">
            <w:pPr>
              <w:spacing w:after="0" w:line="240" w:lineRule="auto"/>
              <w:contextualSpacing/>
              <w:rPr>
                <w:rFonts w:ascii="Times New Roman" w:hAnsi="Times New Roman"/>
                <w:sz w:val="18"/>
                <w:szCs w:val="18"/>
                <w:lang w:val="en-GB"/>
              </w:rPr>
            </w:pPr>
          </w:p>
        </w:tc>
      </w:tr>
      <w:tr w:rsidR="005773EB" w:rsidRPr="00862219" w14:paraId="0BDDAFE8" w14:textId="77777777" w:rsidTr="00520C99">
        <w:trPr>
          <w:gridAfter w:val="1"/>
          <w:wAfter w:w="18" w:type="dxa"/>
          <w:trHeight w:val="499"/>
        </w:trPr>
        <w:tc>
          <w:tcPr>
            <w:tcW w:w="2569" w:type="dxa"/>
            <w:vMerge/>
            <w:shd w:val="clear" w:color="auto" w:fill="FFFFFF" w:themeFill="background1"/>
          </w:tcPr>
          <w:p w14:paraId="5F173979" w14:textId="77777777" w:rsidR="005773EB" w:rsidRPr="00862219" w:rsidRDefault="005773EB" w:rsidP="00520C99">
            <w:pPr>
              <w:spacing w:after="0" w:line="240" w:lineRule="auto"/>
              <w:contextualSpacing/>
              <w:rPr>
                <w:rFonts w:ascii="Times New Roman" w:hAnsi="Times New Roman"/>
                <w:b/>
                <w:sz w:val="18"/>
                <w:szCs w:val="18"/>
                <w:lang w:val="en-GB"/>
              </w:rPr>
            </w:pPr>
          </w:p>
        </w:tc>
        <w:tc>
          <w:tcPr>
            <w:tcW w:w="2510" w:type="dxa"/>
            <w:gridSpan w:val="3"/>
            <w:shd w:val="clear" w:color="auto" w:fill="FFFFFF" w:themeFill="background1"/>
          </w:tcPr>
          <w:p w14:paraId="1904B226"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Pr>
                <w:rFonts w:ascii="Times New Roman" w:hAnsi="Times New Roman"/>
                <w:sz w:val="18"/>
                <w:szCs w:val="18"/>
              </w:rPr>
              <w:t>Proportion</w:t>
            </w:r>
            <w:r w:rsidRPr="00862219">
              <w:rPr>
                <w:rFonts w:ascii="Times New Roman" w:hAnsi="Times New Roman"/>
                <w:sz w:val="18"/>
                <w:szCs w:val="18"/>
              </w:rPr>
              <w:t xml:space="preserve"> de médiateurs communautaires formés set opérationnels</w:t>
            </w:r>
          </w:p>
        </w:tc>
        <w:tc>
          <w:tcPr>
            <w:tcW w:w="713" w:type="dxa"/>
            <w:gridSpan w:val="2"/>
            <w:shd w:val="clear" w:color="auto" w:fill="FFFFFF" w:themeFill="background1"/>
          </w:tcPr>
          <w:p w14:paraId="64331174"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0</w:t>
            </w:r>
          </w:p>
        </w:tc>
        <w:tc>
          <w:tcPr>
            <w:tcW w:w="1012" w:type="dxa"/>
            <w:shd w:val="clear" w:color="auto" w:fill="FFFFFF" w:themeFill="background1"/>
          </w:tcPr>
          <w:p w14:paraId="16316B15"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Pr>
                <w:rFonts w:ascii="Times New Roman" w:hAnsi="Times New Roman"/>
                <w:sz w:val="18"/>
                <w:szCs w:val="18"/>
                <w:lang w:val="en-GB"/>
              </w:rPr>
              <w:t>30%</w:t>
            </w:r>
          </w:p>
          <w:p w14:paraId="00E5B33D" w14:textId="77777777" w:rsidR="005773EB" w:rsidRPr="00862219" w:rsidRDefault="005773EB" w:rsidP="00520C99">
            <w:pPr>
              <w:spacing w:after="0" w:line="240" w:lineRule="auto"/>
              <w:ind w:left="144"/>
              <w:contextualSpacing/>
              <w:rPr>
                <w:rFonts w:ascii="Times New Roman" w:hAnsi="Times New Roman"/>
                <w:sz w:val="18"/>
                <w:szCs w:val="18"/>
                <w:lang w:val="en-GB"/>
              </w:rPr>
            </w:pPr>
          </w:p>
        </w:tc>
        <w:tc>
          <w:tcPr>
            <w:tcW w:w="2961" w:type="dxa"/>
            <w:gridSpan w:val="4"/>
            <w:vMerge/>
            <w:shd w:val="clear" w:color="auto" w:fill="FFFFFF" w:themeFill="background1"/>
          </w:tcPr>
          <w:p w14:paraId="0719DDE4"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p>
        </w:tc>
        <w:tc>
          <w:tcPr>
            <w:tcW w:w="1434" w:type="dxa"/>
            <w:vMerge/>
            <w:shd w:val="clear" w:color="auto" w:fill="FFFFFF" w:themeFill="background1"/>
          </w:tcPr>
          <w:p w14:paraId="0662262F"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4" w:type="dxa"/>
            <w:vMerge/>
            <w:shd w:val="clear" w:color="auto" w:fill="FFFFFF" w:themeFill="background1"/>
          </w:tcPr>
          <w:p w14:paraId="7E5F9A72"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0" w:type="dxa"/>
            <w:vMerge/>
            <w:shd w:val="clear" w:color="auto" w:fill="FFFFFF" w:themeFill="background1"/>
          </w:tcPr>
          <w:p w14:paraId="34B506E8"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275" w:type="dxa"/>
            <w:vMerge/>
            <w:shd w:val="clear" w:color="auto" w:fill="FFFFFF" w:themeFill="background1"/>
          </w:tcPr>
          <w:p w14:paraId="1FD6BB57" w14:textId="77777777" w:rsidR="005773EB" w:rsidRPr="00862219" w:rsidRDefault="005773EB" w:rsidP="00520C99">
            <w:pPr>
              <w:spacing w:after="0" w:line="240" w:lineRule="auto"/>
              <w:contextualSpacing/>
              <w:rPr>
                <w:rFonts w:ascii="Times New Roman" w:hAnsi="Times New Roman"/>
                <w:sz w:val="18"/>
                <w:szCs w:val="18"/>
                <w:lang w:val="en-GB"/>
              </w:rPr>
            </w:pPr>
          </w:p>
        </w:tc>
      </w:tr>
      <w:tr w:rsidR="005773EB" w:rsidRPr="00862219" w14:paraId="239989C4" w14:textId="77777777" w:rsidTr="00520C99">
        <w:trPr>
          <w:gridAfter w:val="1"/>
          <w:wAfter w:w="18" w:type="dxa"/>
          <w:trHeight w:val="492"/>
        </w:trPr>
        <w:tc>
          <w:tcPr>
            <w:tcW w:w="2569" w:type="dxa"/>
            <w:vMerge/>
            <w:tcBorders>
              <w:bottom w:val="single" w:sz="4" w:space="0" w:color="auto"/>
            </w:tcBorders>
            <w:shd w:val="clear" w:color="auto" w:fill="FFFFFF" w:themeFill="background1"/>
          </w:tcPr>
          <w:p w14:paraId="52B20CB4" w14:textId="77777777" w:rsidR="005773EB" w:rsidRPr="00862219" w:rsidRDefault="005773EB" w:rsidP="00520C99">
            <w:pPr>
              <w:spacing w:after="0" w:line="240" w:lineRule="auto"/>
              <w:contextualSpacing/>
              <w:rPr>
                <w:rFonts w:ascii="Times New Roman" w:hAnsi="Times New Roman"/>
                <w:b/>
                <w:sz w:val="18"/>
                <w:szCs w:val="18"/>
                <w:lang w:val="en-GB"/>
              </w:rPr>
            </w:pPr>
          </w:p>
        </w:tc>
        <w:tc>
          <w:tcPr>
            <w:tcW w:w="2510" w:type="dxa"/>
            <w:gridSpan w:val="3"/>
            <w:tcBorders>
              <w:bottom w:val="single" w:sz="4" w:space="0" w:color="auto"/>
            </w:tcBorders>
            <w:shd w:val="clear" w:color="auto" w:fill="FFFFFF" w:themeFill="background1"/>
          </w:tcPr>
          <w:p w14:paraId="139E42CA"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Pr>
                <w:rFonts w:ascii="Times New Roman" w:hAnsi="Times New Roman"/>
                <w:sz w:val="18"/>
                <w:szCs w:val="18"/>
              </w:rPr>
              <w:t>Proportion</w:t>
            </w:r>
            <w:r w:rsidRPr="00862219">
              <w:rPr>
                <w:rFonts w:ascii="Times New Roman" w:hAnsi="Times New Roman"/>
                <w:sz w:val="18"/>
                <w:szCs w:val="18"/>
              </w:rPr>
              <w:t xml:space="preserve"> d’</w:t>
            </w:r>
            <w:r>
              <w:rPr>
                <w:rFonts w:ascii="Times New Roman" w:hAnsi="Times New Roman"/>
                <w:sz w:val="18"/>
                <w:szCs w:val="18"/>
              </w:rPr>
              <w:t>élèves</w:t>
            </w:r>
            <w:r w:rsidRPr="00862219">
              <w:rPr>
                <w:rFonts w:ascii="Times New Roman" w:hAnsi="Times New Roman"/>
                <w:sz w:val="18"/>
                <w:szCs w:val="18"/>
              </w:rPr>
              <w:t xml:space="preserve"> ambassadeurs de paix formés et opérationnels dans les écoles</w:t>
            </w:r>
          </w:p>
        </w:tc>
        <w:tc>
          <w:tcPr>
            <w:tcW w:w="713" w:type="dxa"/>
            <w:gridSpan w:val="2"/>
            <w:tcBorders>
              <w:bottom w:val="single" w:sz="4" w:space="0" w:color="auto"/>
            </w:tcBorders>
            <w:shd w:val="clear" w:color="auto" w:fill="FFFFFF" w:themeFill="background1"/>
          </w:tcPr>
          <w:p w14:paraId="3974FA5A"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0</w:t>
            </w:r>
          </w:p>
        </w:tc>
        <w:tc>
          <w:tcPr>
            <w:tcW w:w="1012" w:type="dxa"/>
            <w:tcBorders>
              <w:bottom w:val="single" w:sz="4" w:space="0" w:color="auto"/>
            </w:tcBorders>
            <w:shd w:val="clear" w:color="auto" w:fill="FFFFFF" w:themeFill="background1"/>
          </w:tcPr>
          <w:p w14:paraId="57B526A9"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Pr>
                <w:rFonts w:ascii="Times New Roman" w:hAnsi="Times New Roman"/>
                <w:sz w:val="18"/>
                <w:szCs w:val="18"/>
                <w:lang w:val="en-GB"/>
              </w:rPr>
              <w:t>20%</w:t>
            </w:r>
          </w:p>
        </w:tc>
        <w:tc>
          <w:tcPr>
            <w:tcW w:w="2961" w:type="dxa"/>
            <w:gridSpan w:val="4"/>
            <w:vMerge/>
            <w:tcBorders>
              <w:bottom w:val="single" w:sz="4" w:space="0" w:color="auto"/>
            </w:tcBorders>
            <w:shd w:val="clear" w:color="auto" w:fill="FFFFFF" w:themeFill="background1"/>
          </w:tcPr>
          <w:p w14:paraId="5B9904AC"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p>
        </w:tc>
        <w:tc>
          <w:tcPr>
            <w:tcW w:w="1434" w:type="dxa"/>
            <w:vMerge/>
            <w:shd w:val="clear" w:color="auto" w:fill="FFFFFF" w:themeFill="background1"/>
          </w:tcPr>
          <w:p w14:paraId="18552E2D" w14:textId="77777777" w:rsidR="005773EB" w:rsidRPr="00862219" w:rsidRDefault="005773EB" w:rsidP="00520C99">
            <w:pPr>
              <w:spacing w:after="0" w:line="240" w:lineRule="auto"/>
              <w:contextualSpacing/>
              <w:rPr>
                <w:rFonts w:ascii="Times New Roman" w:hAnsi="Times New Roman"/>
                <w:sz w:val="18"/>
                <w:szCs w:val="18"/>
              </w:rPr>
            </w:pPr>
          </w:p>
        </w:tc>
        <w:tc>
          <w:tcPr>
            <w:tcW w:w="1134" w:type="dxa"/>
            <w:vMerge/>
            <w:shd w:val="clear" w:color="auto" w:fill="FFFFFF" w:themeFill="background1"/>
          </w:tcPr>
          <w:p w14:paraId="16D93936" w14:textId="77777777" w:rsidR="005773EB" w:rsidRPr="00862219" w:rsidRDefault="005773EB" w:rsidP="00520C99">
            <w:pPr>
              <w:spacing w:after="0" w:line="240" w:lineRule="auto"/>
              <w:contextualSpacing/>
              <w:rPr>
                <w:rFonts w:ascii="Times New Roman" w:hAnsi="Times New Roman"/>
                <w:sz w:val="18"/>
                <w:szCs w:val="18"/>
              </w:rPr>
            </w:pPr>
          </w:p>
        </w:tc>
        <w:tc>
          <w:tcPr>
            <w:tcW w:w="1130" w:type="dxa"/>
            <w:vMerge/>
            <w:shd w:val="clear" w:color="auto" w:fill="FFFFFF" w:themeFill="background1"/>
          </w:tcPr>
          <w:p w14:paraId="26747D53" w14:textId="77777777" w:rsidR="005773EB" w:rsidRPr="00862219" w:rsidRDefault="005773EB" w:rsidP="00520C99">
            <w:pPr>
              <w:spacing w:after="0" w:line="240" w:lineRule="auto"/>
              <w:contextualSpacing/>
              <w:rPr>
                <w:rFonts w:ascii="Times New Roman" w:hAnsi="Times New Roman"/>
                <w:sz w:val="18"/>
                <w:szCs w:val="18"/>
              </w:rPr>
            </w:pPr>
          </w:p>
        </w:tc>
        <w:tc>
          <w:tcPr>
            <w:tcW w:w="1275" w:type="dxa"/>
            <w:vMerge/>
            <w:shd w:val="clear" w:color="auto" w:fill="FFFFFF" w:themeFill="background1"/>
          </w:tcPr>
          <w:p w14:paraId="5DF88F2D" w14:textId="77777777" w:rsidR="005773EB" w:rsidRPr="00862219" w:rsidRDefault="005773EB" w:rsidP="00520C99">
            <w:pPr>
              <w:spacing w:after="0" w:line="240" w:lineRule="auto"/>
              <w:contextualSpacing/>
              <w:rPr>
                <w:rFonts w:ascii="Times New Roman" w:hAnsi="Times New Roman"/>
                <w:sz w:val="18"/>
                <w:szCs w:val="18"/>
              </w:rPr>
            </w:pPr>
          </w:p>
        </w:tc>
      </w:tr>
      <w:tr w:rsidR="005773EB" w:rsidRPr="00862219" w14:paraId="4B597DFB" w14:textId="77777777" w:rsidTr="00520C99">
        <w:trPr>
          <w:gridAfter w:val="1"/>
          <w:wAfter w:w="18" w:type="dxa"/>
          <w:trHeight w:val="926"/>
        </w:trPr>
        <w:tc>
          <w:tcPr>
            <w:tcW w:w="2569" w:type="dxa"/>
            <w:vMerge/>
            <w:shd w:val="clear" w:color="auto" w:fill="FFFFFF" w:themeFill="background1"/>
          </w:tcPr>
          <w:p w14:paraId="5446E491" w14:textId="77777777" w:rsidR="005773EB" w:rsidRPr="00862219" w:rsidRDefault="005773EB" w:rsidP="00520C99">
            <w:pPr>
              <w:spacing w:after="0" w:line="240" w:lineRule="auto"/>
              <w:jc w:val="both"/>
              <w:rPr>
                <w:rFonts w:ascii="Times New Roman" w:hAnsi="Times New Roman"/>
                <w:b/>
                <w:sz w:val="18"/>
                <w:szCs w:val="18"/>
              </w:rPr>
            </w:pPr>
          </w:p>
        </w:tc>
        <w:tc>
          <w:tcPr>
            <w:tcW w:w="2510" w:type="dxa"/>
            <w:gridSpan w:val="3"/>
            <w:shd w:val="clear" w:color="auto" w:fill="FFFFFF" w:themeFill="background1"/>
          </w:tcPr>
          <w:p w14:paraId="3EBB69A4" w14:textId="77777777" w:rsidR="005773EB" w:rsidRPr="005B50E0" w:rsidRDefault="005773EB" w:rsidP="00520C99">
            <w:pPr>
              <w:numPr>
                <w:ilvl w:val="0"/>
                <w:numId w:val="11"/>
              </w:numPr>
              <w:tabs>
                <w:tab w:val="clear" w:pos="2302"/>
                <w:tab w:val="num" w:pos="198"/>
                <w:tab w:val="num" w:pos="2160"/>
              </w:tabs>
              <w:spacing w:after="0" w:line="240" w:lineRule="auto"/>
              <w:ind w:left="198" w:hanging="198"/>
              <w:jc w:val="both"/>
              <w:rPr>
                <w:rFonts w:ascii="Times New Roman" w:hAnsi="Times New Roman"/>
                <w:sz w:val="18"/>
                <w:szCs w:val="18"/>
              </w:rPr>
            </w:pPr>
            <w:r w:rsidRPr="005B50E0">
              <w:rPr>
                <w:rFonts w:ascii="Times New Roman" w:hAnsi="Times New Roman"/>
                <w:sz w:val="18"/>
                <w:szCs w:val="18"/>
              </w:rPr>
              <w:t>Proportion de femmes candidates aux scrutins électoraux aux niveaux local et national</w:t>
            </w:r>
          </w:p>
        </w:tc>
        <w:tc>
          <w:tcPr>
            <w:tcW w:w="713" w:type="dxa"/>
            <w:gridSpan w:val="2"/>
            <w:shd w:val="clear" w:color="auto" w:fill="FFFFFF" w:themeFill="background1"/>
          </w:tcPr>
          <w:p w14:paraId="36D07FB0" w14:textId="77777777" w:rsidR="005773EB" w:rsidRPr="005B50E0" w:rsidRDefault="005773EB" w:rsidP="00520C99">
            <w:pPr>
              <w:numPr>
                <w:ilvl w:val="0"/>
                <w:numId w:val="11"/>
              </w:numPr>
              <w:tabs>
                <w:tab w:val="clear" w:pos="2302"/>
                <w:tab w:val="num" w:pos="2160"/>
              </w:tabs>
              <w:spacing w:after="0" w:line="240" w:lineRule="auto"/>
              <w:ind w:left="170"/>
              <w:rPr>
                <w:rFonts w:ascii="Times New Roman" w:hAnsi="Times New Roman"/>
                <w:sz w:val="18"/>
                <w:szCs w:val="18"/>
              </w:rPr>
            </w:pPr>
            <w:r w:rsidRPr="005B50E0">
              <w:rPr>
                <w:rFonts w:ascii="Times New Roman" w:hAnsi="Times New Roman"/>
                <w:sz w:val="18"/>
                <w:szCs w:val="18"/>
              </w:rPr>
              <w:t>10%</w:t>
            </w:r>
          </w:p>
        </w:tc>
        <w:tc>
          <w:tcPr>
            <w:tcW w:w="1012" w:type="dxa"/>
            <w:shd w:val="clear" w:color="auto" w:fill="FFFFFF" w:themeFill="background1"/>
          </w:tcPr>
          <w:p w14:paraId="77BF44DF" w14:textId="77777777" w:rsidR="005773EB" w:rsidRPr="005B50E0" w:rsidRDefault="005773EB" w:rsidP="00520C99">
            <w:pPr>
              <w:numPr>
                <w:ilvl w:val="0"/>
                <w:numId w:val="11"/>
              </w:numPr>
              <w:tabs>
                <w:tab w:val="clear" w:pos="2302"/>
                <w:tab w:val="num" w:pos="2160"/>
              </w:tabs>
              <w:spacing w:after="0" w:line="240" w:lineRule="auto"/>
              <w:ind w:left="170"/>
              <w:rPr>
                <w:rFonts w:ascii="Times New Roman" w:hAnsi="Times New Roman"/>
                <w:b/>
                <w:sz w:val="18"/>
                <w:szCs w:val="18"/>
              </w:rPr>
            </w:pPr>
            <w:r w:rsidRPr="005B50E0">
              <w:rPr>
                <w:rFonts w:ascii="Times New Roman" w:hAnsi="Times New Roman"/>
                <w:b/>
                <w:sz w:val="18"/>
                <w:szCs w:val="18"/>
              </w:rPr>
              <w:t>30%</w:t>
            </w:r>
          </w:p>
        </w:tc>
        <w:tc>
          <w:tcPr>
            <w:tcW w:w="2961" w:type="dxa"/>
            <w:gridSpan w:val="4"/>
            <w:vMerge/>
            <w:shd w:val="clear" w:color="auto" w:fill="FFFFFF" w:themeFill="background1"/>
          </w:tcPr>
          <w:p w14:paraId="7FC21937"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p>
        </w:tc>
        <w:tc>
          <w:tcPr>
            <w:tcW w:w="1434" w:type="dxa"/>
            <w:vMerge/>
            <w:shd w:val="clear" w:color="auto" w:fill="FFFFFF" w:themeFill="background1"/>
          </w:tcPr>
          <w:p w14:paraId="544E5D13" w14:textId="77777777" w:rsidR="005773EB" w:rsidRPr="00862219" w:rsidRDefault="005773EB" w:rsidP="00520C99">
            <w:pPr>
              <w:spacing w:after="0" w:line="240" w:lineRule="auto"/>
              <w:rPr>
                <w:rFonts w:ascii="Times New Roman" w:hAnsi="Times New Roman"/>
                <w:sz w:val="18"/>
                <w:szCs w:val="18"/>
              </w:rPr>
            </w:pPr>
          </w:p>
        </w:tc>
        <w:tc>
          <w:tcPr>
            <w:tcW w:w="1134" w:type="dxa"/>
            <w:vMerge/>
            <w:shd w:val="clear" w:color="auto" w:fill="FFFFFF" w:themeFill="background1"/>
          </w:tcPr>
          <w:p w14:paraId="5D5572C0"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32200937"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120E582D"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72B03135" w14:textId="77777777" w:rsidTr="00520C99">
        <w:trPr>
          <w:gridAfter w:val="1"/>
          <w:wAfter w:w="18" w:type="dxa"/>
          <w:trHeight w:val="1143"/>
        </w:trPr>
        <w:tc>
          <w:tcPr>
            <w:tcW w:w="2569" w:type="dxa"/>
            <w:vMerge/>
            <w:shd w:val="clear" w:color="auto" w:fill="FFFFFF" w:themeFill="background1"/>
          </w:tcPr>
          <w:p w14:paraId="4342D289" w14:textId="77777777" w:rsidR="005773EB" w:rsidRPr="008A25CE" w:rsidRDefault="005773EB" w:rsidP="00520C99">
            <w:pPr>
              <w:spacing w:after="0" w:line="240" w:lineRule="auto"/>
              <w:rPr>
                <w:rFonts w:ascii="Times New Roman" w:hAnsi="Times New Roman"/>
                <w:b/>
                <w:sz w:val="18"/>
                <w:szCs w:val="18"/>
              </w:rPr>
            </w:pPr>
          </w:p>
        </w:tc>
        <w:tc>
          <w:tcPr>
            <w:tcW w:w="2510" w:type="dxa"/>
            <w:gridSpan w:val="3"/>
            <w:shd w:val="clear" w:color="auto" w:fill="FFFFFF" w:themeFill="background1"/>
          </w:tcPr>
          <w:p w14:paraId="7593AF21" w14:textId="77777777" w:rsidR="005773EB" w:rsidRPr="00862219" w:rsidRDefault="005773EB" w:rsidP="00520C99">
            <w:pPr>
              <w:numPr>
                <w:ilvl w:val="0"/>
                <w:numId w:val="3"/>
              </w:numPr>
              <w:spacing w:after="0" w:line="240" w:lineRule="auto"/>
              <w:ind w:left="144" w:hanging="144"/>
              <w:rPr>
                <w:rFonts w:ascii="Times New Roman" w:eastAsia="Times New Roman" w:hAnsi="Times New Roman"/>
                <w:sz w:val="18"/>
                <w:szCs w:val="18"/>
                <w:lang w:eastAsia="fr-FR"/>
              </w:rPr>
            </w:pPr>
            <w:r w:rsidRPr="00862219">
              <w:rPr>
                <w:rFonts w:ascii="Times New Roman" w:hAnsi="Times New Roman"/>
                <w:sz w:val="18"/>
                <w:szCs w:val="18"/>
              </w:rPr>
              <w:t>Nombre d’emplois nouveaux créés pour les 18-30 ans des 2 sexes, dans les zones fragiles</w:t>
            </w:r>
            <w:r w:rsidRPr="00862219">
              <w:rPr>
                <w:rFonts w:ascii="Times New Roman" w:eastAsia="Times New Roman" w:hAnsi="Times New Roman"/>
                <w:sz w:val="18"/>
                <w:szCs w:val="18"/>
                <w:lang w:eastAsia="fr-FR"/>
              </w:rPr>
              <w:t xml:space="preserve"> de faible sécurité (Lac Tchad, frontières RCA et Soudan)</w:t>
            </w:r>
          </w:p>
        </w:tc>
        <w:tc>
          <w:tcPr>
            <w:tcW w:w="713" w:type="dxa"/>
            <w:gridSpan w:val="2"/>
            <w:shd w:val="clear" w:color="auto" w:fill="FFFFFF" w:themeFill="background1"/>
          </w:tcPr>
          <w:p w14:paraId="3DB26B44" w14:textId="77777777" w:rsidR="005773EB" w:rsidRPr="00862219" w:rsidRDefault="005773EB" w:rsidP="00520C99">
            <w:pPr>
              <w:numPr>
                <w:ilvl w:val="0"/>
                <w:numId w:val="11"/>
              </w:numPr>
              <w:tabs>
                <w:tab w:val="clear" w:pos="2302"/>
                <w:tab w:val="num" w:pos="2160"/>
              </w:tabs>
              <w:spacing w:after="0" w:line="240" w:lineRule="auto"/>
              <w:ind w:left="170"/>
              <w:rPr>
                <w:rFonts w:ascii="Times New Roman" w:hAnsi="Times New Roman"/>
                <w:b/>
                <w:sz w:val="18"/>
                <w:szCs w:val="18"/>
              </w:rPr>
            </w:pPr>
            <w:r w:rsidRPr="00862219">
              <w:rPr>
                <w:rFonts w:ascii="Times New Roman" w:hAnsi="Times New Roman"/>
                <w:b/>
                <w:sz w:val="18"/>
                <w:szCs w:val="18"/>
                <w:lang w:val="en-GB"/>
              </w:rPr>
              <w:t>0</w:t>
            </w:r>
          </w:p>
        </w:tc>
        <w:tc>
          <w:tcPr>
            <w:tcW w:w="1012" w:type="dxa"/>
            <w:shd w:val="clear" w:color="auto" w:fill="FFFFFF" w:themeFill="background1"/>
          </w:tcPr>
          <w:p w14:paraId="00C9E74C" w14:textId="77777777" w:rsidR="005773EB" w:rsidRPr="00862219" w:rsidRDefault="005773EB" w:rsidP="00520C99">
            <w:pPr>
              <w:spacing w:after="0" w:line="240" w:lineRule="auto"/>
              <w:rPr>
                <w:rFonts w:ascii="Times New Roman" w:hAnsi="Times New Roman"/>
                <w:b/>
                <w:sz w:val="18"/>
                <w:szCs w:val="18"/>
              </w:rPr>
            </w:pPr>
            <w:r w:rsidRPr="00862219">
              <w:rPr>
                <w:rFonts w:ascii="Times New Roman" w:hAnsi="Times New Roman"/>
                <w:b/>
                <w:sz w:val="18"/>
                <w:szCs w:val="18"/>
              </w:rPr>
              <w:t>1500 dont 50% de femmes</w:t>
            </w:r>
          </w:p>
        </w:tc>
        <w:tc>
          <w:tcPr>
            <w:tcW w:w="2961" w:type="dxa"/>
            <w:gridSpan w:val="4"/>
            <w:vMerge/>
            <w:shd w:val="clear" w:color="auto" w:fill="FFFFFF" w:themeFill="background1"/>
          </w:tcPr>
          <w:p w14:paraId="5CBB0F0C" w14:textId="77777777" w:rsidR="005773EB" w:rsidRPr="00862219" w:rsidRDefault="005773EB" w:rsidP="00520C99">
            <w:pPr>
              <w:spacing w:after="0" w:line="240" w:lineRule="auto"/>
              <w:rPr>
                <w:rFonts w:ascii="Times New Roman" w:hAnsi="Times New Roman"/>
                <w:sz w:val="18"/>
                <w:szCs w:val="18"/>
              </w:rPr>
            </w:pPr>
          </w:p>
        </w:tc>
        <w:tc>
          <w:tcPr>
            <w:tcW w:w="1434" w:type="dxa"/>
            <w:vMerge/>
            <w:shd w:val="clear" w:color="auto" w:fill="FFFFFF" w:themeFill="background1"/>
          </w:tcPr>
          <w:p w14:paraId="0F3D214C" w14:textId="77777777" w:rsidR="005773EB" w:rsidRPr="00862219" w:rsidRDefault="005773EB" w:rsidP="00520C99">
            <w:pPr>
              <w:spacing w:after="0" w:line="240" w:lineRule="auto"/>
              <w:rPr>
                <w:rFonts w:ascii="Times New Roman" w:hAnsi="Times New Roman"/>
                <w:sz w:val="18"/>
                <w:szCs w:val="18"/>
              </w:rPr>
            </w:pPr>
          </w:p>
        </w:tc>
        <w:tc>
          <w:tcPr>
            <w:tcW w:w="1134" w:type="dxa"/>
            <w:vMerge/>
            <w:shd w:val="clear" w:color="auto" w:fill="FFFFFF" w:themeFill="background1"/>
          </w:tcPr>
          <w:p w14:paraId="373308B2" w14:textId="77777777" w:rsidR="005773EB" w:rsidRPr="00862219" w:rsidRDefault="005773EB" w:rsidP="00520C99">
            <w:pPr>
              <w:spacing w:after="0" w:line="240" w:lineRule="auto"/>
              <w:rPr>
                <w:rFonts w:ascii="Times New Roman" w:hAnsi="Times New Roman"/>
                <w:sz w:val="18"/>
                <w:szCs w:val="18"/>
              </w:rPr>
            </w:pPr>
          </w:p>
        </w:tc>
        <w:tc>
          <w:tcPr>
            <w:tcW w:w="1130" w:type="dxa"/>
            <w:vMerge/>
            <w:shd w:val="clear" w:color="auto" w:fill="FFFFFF" w:themeFill="background1"/>
          </w:tcPr>
          <w:p w14:paraId="3BE17552" w14:textId="77777777" w:rsidR="005773EB" w:rsidRPr="00862219" w:rsidRDefault="005773EB" w:rsidP="00520C99">
            <w:pPr>
              <w:spacing w:after="0" w:line="240" w:lineRule="auto"/>
              <w:rPr>
                <w:rFonts w:ascii="Times New Roman" w:hAnsi="Times New Roman"/>
                <w:sz w:val="18"/>
                <w:szCs w:val="18"/>
              </w:rPr>
            </w:pPr>
          </w:p>
        </w:tc>
        <w:tc>
          <w:tcPr>
            <w:tcW w:w="1275" w:type="dxa"/>
            <w:vMerge/>
            <w:shd w:val="clear" w:color="auto" w:fill="FFFFFF" w:themeFill="background1"/>
          </w:tcPr>
          <w:p w14:paraId="535EB0C4"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7E778F9F" w14:textId="77777777" w:rsidTr="00520C99">
        <w:trPr>
          <w:gridAfter w:val="1"/>
          <w:wAfter w:w="18" w:type="dxa"/>
          <w:trHeight w:val="207"/>
        </w:trPr>
        <w:tc>
          <w:tcPr>
            <w:tcW w:w="2569" w:type="dxa"/>
            <w:vMerge/>
            <w:tcBorders>
              <w:bottom w:val="single" w:sz="4" w:space="0" w:color="auto"/>
            </w:tcBorders>
            <w:shd w:val="clear" w:color="auto" w:fill="FFFFFF" w:themeFill="background1"/>
          </w:tcPr>
          <w:p w14:paraId="6C5CAE92" w14:textId="77777777" w:rsidR="005773EB" w:rsidRPr="00862219" w:rsidRDefault="005773EB" w:rsidP="00520C99">
            <w:pPr>
              <w:spacing w:after="0" w:line="240" w:lineRule="auto"/>
              <w:rPr>
                <w:rFonts w:ascii="Times New Roman" w:hAnsi="Times New Roman"/>
                <w:b/>
                <w:sz w:val="18"/>
                <w:szCs w:val="18"/>
              </w:rPr>
            </w:pPr>
          </w:p>
        </w:tc>
        <w:tc>
          <w:tcPr>
            <w:tcW w:w="2510" w:type="dxa"/>
            <w:gridSpan w:val="3"/>
            <w:vMerge w:val="restart"/>
            <w:tcBorders>
              <w:bottom w:val="single" w:sz="4" w:space="0" w:color="auto"/>
            </w:tcBorders>
            <w:shd w:val="clear" w:color="auto" w:fill="FFFFFF" w:themeFill="background1"/>
          </w:tcPr>
          <w:p w14:paraId="3AA1FBAB" w14:textId="77777777" w:rsidR="005773EB" w:rsidRPr="00862219" w:rsidRDefault="005773EB" w:rsidP="00520C99">
            <w:pPr>
              <w:numPr>
                <w:ilvl w:val="0"/>
                <w:numId w:val="3"/>
              </w:numPr>
              <w:spacing w:after="0" w:line="240" w:lineRule="auto"/>
              <w:ind w:left="144" w:hanging="144"/>
              <w:rPr>
                <w:rFonts w:ascii="Times New Roman" w:hAnsi="Times New Roman"/>
                <w:sz w:val="18"/>
                <w:szCs w:val="18"/>
              </w:rPr>
            </w:pPr>
            <w:r w:rsidRPr="00862219">
              <w:rPr>
                <w:rFonts w:ascii="Times New Roman" w:hAnsi="Times New Roman"/>
                <w:sz w:val="18"/>
                <w:szCs w:val="18"/>
              </w:rPr>
              <w:t>Degré selon lequel les mécanismes de médiation et de paix (Médiature, CLP) indiquent une amélioration de leurs capacités de résolution des disputes et d’atteinte de consensus</w:t>
            </w:r>
          </w:p>
        </w:tc>
        <w:tc>
          <w:tcPr>
            <w:tcW w:w="713" w:type="dxa"/>
            <w:gridSpan w:val="2"/>
            <w:vMerge w:val="restart"/>
            <w:tcBorders>
              <w:bottom w:val="single" w:sz="4" w:space="0" w:color="auto"/>
            </w:tcBorders>
            <w:shd w:val="clear" w:color="auto" w:fill="FFFFFF" w:themeFill="background1"/>
          </w:tcPr>
          <w:p w14:paraId="7340A6DC" w14:textId="77777777" w:rsidR="005773EB" w:rsidRPr="00862219" w:rsidRDefault="005773EB" w:rsidP="00520C99">
            <w:pPr>
              <w:numPr>
                <w:ilvl w:val="0"/>
                <w:numId w:val="11"/>
              </w:numPr>
              <w:tabs>
                <w:tab w:val="clear" w:pos="2302"/>
                <w:tab w:val="num" w:pos="2160"/>
              </w:tabs>
              <w:spacing w:after="0" w:line="240" w:lineRule="auto"/>
              <w:ind w:left="170"/>
              <w:rPr>
                <w:rFonts w:ascii="Times New Roman" w:hAnsi="Times New Roman"/>
                <w:b/>
                <w:sz w:val="18"/>
                <w:szCs w:val="18"/>
              </w:rPr>
            </w:pPr>
            <w:r w:rsidRPr="00862219">
              <w:rPr>
                <w:rFonts w:ascii="Times New Roman" w:hAnsi="Times New Roman"/>
                <w:b/>
                <w:sz w:val="18"/>
                <w:szCs w:val="18"/>
                <w:lang w:val="en-GB"/>
              </w:rPr>
              <w:t>1</w:t>
            </w:r>
          </w:p>
        </w:tc>
        <w:tc>
          <w:tcPr>
            <w:tcW w:w="1012" w:type="dxa"/>
            <w:vMerge w:val="restart"/>
            <w:tcBorders>
              <w:bottom w:val="single" w:sz="4" w:space="0" w:color="auto"/>
            </w:tcBorders>
            <w:shd w:val="clear" w:color="auto" w:fill="FFFFFF" w:themeFill="background1"/>
          </w:tcPr>
          <w:p w14:paraId="124E3AAA" w14:textId="77777777" w:rsidR="005773EB" w:rsidRPr="00862219" w:rsidRDefault="005773EB" w:rsidP="00520C99">
            <w:pPr>
              <w:numPr>
                <w:ilvl w:val="0"/>
                <w:numId w:val="11"/>
              </w:numPr>
              <w:tabs>
                <w:tab w:val="clear" w:pos="2302"/>
                <w:tab w:val="num" w:pos="2160"/>
              </w:tabs>
              <w:spacing w:after="0" w:line="240" w:lineRule="auto"/>
              <w:ind w:left="170"/>
              <w:rPr>
                <w:rFonts w:ascii="Times New Roman" w:hAnsi="Times New Roman"/>
                <w:b/>
                <w:sz w:val="18"/>
                <w:szCs w:val="18"/>
              </w:rPr>
            </w:pPr>
            <w:r w:rsidRPr="00862219">
              <w:rPr>
                <w:rFonts w:ascii="Times New Roman" w:hAnsi="Times New Roman"/>
                <w:b/>
                <w:sz w:val="18"/>
                <w:szCs w:val="18"/>
                <w:lang w:val="en-GB"/>
              </w:rPr>
              <w:t>3</w:t>
            </w:r>
          </w:p>
        </w:tc>
        <w:tc>
          <w:tcPr>
            <w:tcW w:w="2961" w:type="dxa"/>
            <w:gridSpan w:val="4"/>
            <w:vMerge/>
            <w:tcBorders>
              <w:bottom w:val="single" w:sz="4" w:space="0" w:color="auto"/>
            </w:tcBorders>
            <w:shd w:val="clear" w:color="auto" w:fill="FFFFFF" w:themeFill="background1"/>
          </w:tcPr>
          <w:p w14:paraId="5E2D3F3B" w14:textId="77777777" w:rsidR="005773EB" w:rsidRPr="00862219" w:rsidRDefault="005773EB" w:rsidP="00520C99">
            <w:pPr>
              <w:spacing w:after="0" w:line="240" w:lineRule="auto"/>
              <w:rPr>
                <w:rFonts w:ascii="Times New Roman" w:hAnsi="Times New Roman"/>
                <w:sz w:val="18"/>
                <w:szCs w:val="18"/>
              </w:rPr>
            </w:pPr>
          </w:p>
        </w:tc>
        <w:tc>
          <w:tcPr>
            <w:tcW w:w="1434" w:type="dxa"/>
            <w:vMerge/>
            <w:tcBorders>
              <w:bottom w:val="single" w:sz="4" w:space="0" w:color="auto"/>
            </w:tcBorders>
            <w:shd w:val="clear" w:color="auto" w:fill="FFFFFF" w:themeFill="background1"/>
          </w:tcPr>
          <w:p w14:paraId="08DFB279" w14:textId="77777777" w:rsidR="005773EB" w:rsidRPr="00862219" w:rsidRDefault="005773EB" w:rsidP="00520C99">
            <w:pPr>
              <w:spacing w:after="0" w:line="240" w:lineRule="auto"/>
              <w:rPr>
                <w:rFonts w:ascii="Times New Roman" w:hAnsi="Times New Roman"/>
                <w:sz w:val="18"/>
                <w:szCs w:val="18"/>
              </w:rPr>
            </w:pPr>
          </w:p>
        </w:tc>
        <w:tc>
          <w:tcPr>
            <w:tcW w:w="1134" w:type="dxa"/>
            <w:vMerge/>
            <w:tcBorders>
              <w:bottom w:val="single" w:sz="4" w:space="0" w:color="auto"/>
            </w:tcBorders>
            <w:shd w:val="clear" w:color="auto" w:fill="FFFFFF" w:themeFill="background1"/>
          </w:tcPr>
          <w:p w14:paraId="08CE7EFD" w14:textId="77777777" w:rsidR="005773EB" w:rsidRPr="00862219" w:rsidRDefault="005773EB" w:rsidP="00520C99">
            <w:pPr>
              <w:spacing w:after="0" w:line="240" w:lineRule="auto"/>
              <w:rPr>
                <w:rFonts w:ascii="Times New Roman" w:hAnsi="Times New Roman"/>
                <w:sz w:val="18"/>
                <w:szCs w:val="18"/>
              </w:rPr>
            </w:pPr>
          </w:p>
        </w:tc>
        <w:tc>
          <w:tcPr>
            <w:tcW w:w="1130" w:type="dxa"/>
            <w:vMerge/>
            <w:tcBorders>
              <w:bottom w:val="single" w:sz="4" w:space="0" w:color="auto"/>
            </w:tcBorders>
            <w:shd w:val="clear" w:color="auto" w:fill="FFFFFF" w:themeFill="background1"/>
          </w:tcPr>
          <w:p w14:paraId="74EA57C5" w14:textId="77777777" w:rsidR="005773EB" w:rsidRPr="00862219" w:rsidRDefault="005773EB" w:rsidP="00520C99">
            <w:pPr>
              <w:spacing w:after="0" w:line="240" w:lineRule="auto"/>
              <w:rPr>
                <w:rFonts w:ascii="Times New Roman" w:hAnsi="Times New Roman"/>
                <w:sz w:val="18"/>
                <w:szCs w:val="18"/>
              </w:rPr>
            </w:pPr>
          </w:p>
        </w:tc>
        <w:tc>
          <w:tcPr>
            <w:tcW w:w="1275" w:type="dxa"/>
            <w:vMerge/>
            <w:tcBorders>
              <w:bottom w:val="single" w:sz="4" w:space="0" w:color="auto"/>
            </w:tcBorders>
            <w:shd w:val="clear" w:color="auto" w:fill="FFFFFF" w:themeFill="background1"/>
          </w:tcPr>
          <w:p w14:paraId="5D3612AE"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06E32BA7" w14:textId="77777777" w:rsidTr="00520C99">
        <w:trPr>
          <w:gridAfter w:val="1"/>
          <w:wAfter w:w="18" w:type="dxa"/>
          <w:trHeight w:val="201"/>
        </w:trPr>
        <w:tc>
          <w:tcPr>
            <w:tcW w:w="2569" w:type="dxa"/>
            <w:vMerge/>
            <w:tcBorders>
              <w:bottom w:val="single" w:sz="4" w:space="0" w:color="auto"/>
            </w:tcBorders>
            <w:shd w:val="clear" w:color="auto" w:fill="FFFFFF" w:themeFill="background1"/>
          </w:tcPr>
          <w:p w14:paraId="4BCDD4FA" w14:textId="77777777" w:rsidR="005773EB" w:rsidRPr="00862219" w:rsidRDefault="005773EB" w:rsidP="00520C99">
            <w:pPr>
              <w:spacing w:after="0" w:line="240" w:lineRule="auto"/>
              <w:rPr>
                <w:rFonts w:ascii="Times New Roman" w:hAnsi="Times New Roman"/>
                <w:b/>
                <w:sz w:val="18"/>
                <w:szCs w:val="18"/>
              </w:rPr>
            </w:pPr>
          </w:p>
        </w:tc>
        <w:tc>
          <w:tcPr>
            <w:tcW w:w="2510" w:type="dxa"/>
            <w:gridSpan w:val="3"/>
            <w:vMerge/>
            <w:tcBorders>
              <w:bottom w:val="single" w:sz="4" w:space="0" w:color="auto"/>
            </w:tcBorders>
            <w:shd w:val="clear" w:color="auto" w:fill="FFFFFF" w:themeFill="background1"/>
          </w:tcPr>
          <w:p w14:paraId="32704B5F"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p>
        </w:tc>
        <w:tc>
          <w:tcPr>
            <w:tcW w:w="713" w:type="dxa"/>
            <w:gridSpan w:val="2"/>
            <w:vMerge/>
            <w:tcBorders>
              <w:bottom w:val="single" w:sz="4" w:space="0" w:color="auto"/>
            </w:tcBorders>
            <w:shd w:val="clear" w:color="auto" w:fill="FFFFFF" w:themeFill="background1"/>
          </w:tcPr>
          <w:p w14:paraId="1908391B" w14:textId="77777777" w:rsidR="005773EB" w:rsidRPr="00862219" w:rsidRDefault="005773EB" w:rsidP="00520C99">
            <w:pPr>
              <w:spacing w:after="0" w:line="240" w:lineRule="auto"/>
              <w:contextualSpacing/>
              <w:rPr>
                <w:rFonts w:ascii="Times New Roman" w:hAnsi="Times New Roman"/>
                <w:sz w:val="18"/>
                <w:szCs w:val="18"/>
              </w:rPr>
            </w:pPr>
          </w:p>
        </w:tc>
        <w:tc>
          <w:tcPr>
            <w:tcW w:w="1012" w:type="dxa"/>
            <w:vMerge/>
            <w:tcBorders>
              <w:bottom w:val="single" w:sz="4" w:space="0" w:color="auto"/>
            </w:tcBorders>
            <w:shd w:val="clear" w:color="auto" w:fill="FFFFFF" w:themeFill="background1"/>
          </w:tcPr>
          <w:p w14:paraId="6B83801F" w14:textId="77777777" w:rsidR="005773EB" w:rsidRPr="00862219" w:rsidRDefault="005773EB" w:rsidP="00520C99">
            <w:pPr>
              <w:spacing w:after="0" w:line="240" w:lineRule="auto"/>
              <w:contextualSpacing/>
              <w:rPr>
                <w:rFonts w:ascii="Times New Roman" w:hAnsi="Times New Roman"/>
                <w:sz w:val="18"/>
                <w:szCs w:val="18"/>
              </w:rPr>
            </w:pPr>
          </w:p>
        </w:tc>
        <w:tc>
          <w:tcPr>
            <w:tcW w:w="2961" w:type="dxa"/>
            <w:gridSpan w:val="4"/>
            <w:tcBorders>
              <w:bottom w:val="single" w:sz="4" w:space="0" w:color="auto"/>
            </w:tcBorders>
            <w:shd w:val="clear" w:color="auto" w:fill="FFFFFF" w:themeFill="background1"/>
          </w:tcPr>
          <w:p w14:paraId="2ED711C2" w14:textId="77777777" w:rsidR="005773EB" w:rsidRPr="00862219" w:rsidRDefault="005773EB" w:rsidP="00520C99">
            <w:pPr>
              <w:spacing w:after="0" w:line="240" w:lineRule="auto"/>
              <w:rPr>
                <w:rFonts w:ascii="Times New Roman" w:hAnsi="Times New Roman"/>
                <w:sz w:val="18"/>
                <w:szCs w:val="18"/>
              </w:rPr>
            </w:pPr>
          </w:p>
        </w:tc>
        <w:tc>
          <w:tcPr>
            <w:tcW w:w="1434" w:type="dxa"/>
            <w:vMerge/>
            <w:tcBorders>
              <w:bottom w:val="single" w:sz="4" w:space="0" w:color="auto"/>
            </w:tcBorders>
            <w:shd w:val="clear" w:color="auto" w:fill="FFFFFF" w:themeFill="background1"/>
          </w:tcPr>
          <w:p w14:paraId="0BD119EB" w14:textId="77777777" w:rsidR="005773EB" w:rsidRPr="00862219" w:rsidRDefault="005773EB" w:rsidP="00520C99">
            <w:pPr>
              <w:spacing w:after="0" w:line="240" w:lineRule="auto"/>
              <w:rPr>
                <w:rFonts w:ascii="Times New Roman" w:hAnsi="Times New Roman"/>
                <w:sz w:val="18"/>
                <w:szCs w:val="18"/>
              </w:rPr>
            </w:pPr>
          </w:p>
        </w:tc>
        <w:tc>
          <w:tcPr>
            <w:tcW w:w="1134" w:type="dxa"/>
            <w:vMerge/>
            <w:tcBorders>
              <w:bottom w:val="single" w:sz="4" w:space="0" w:color="auto"/>
            </w:tcBorders>
            <w:shd w:val="clear" w:color="auto" w:fill="FFFFFF" w:themeFill="background1"/>
          </w:tcPr>
          <w:p w14:paraId="6FDC090F" w14:textId="77777777" w:rsidR="005773EB" w:rsidRPr="00862219" w:rsidRDefault="005773EB" w:rsidP="00520C99">
            <w:pPr>
              <w:spacing w:after="0" w:line="240" w:lineRule="auto"/>
              <w:rPr>
                <w:rFonts w:ascii="Times New Roman" w:hAnsi="Times New Roman"/>
                <w:sz w:val="18"/>
                <w:szCs w:val="18"/>
              </w:rPr>
            </w:pPr>
          </w:p>
        </w:tc>
        <w:tc>
          <w:tcPr>
            <w:tcW w:w="1130" w:type="dxa"/>
            <w:vMerge/>
            <w:tcBorders>
              <w:bottom w:val="single" w:sz="4" w:space="0" w:color="auto"/>
            </w:tcBorders>
            <w:shd w:val="clear" w:color="auto" w:fill="FFFFFF" w:themeFill="background1"/>
          </w:tcPr>
          <w:p w14:paraId="67548998" w14:textId="77777777" w:rsidR="005773EB" w:rsidRPr="00862219" w:rsidRDefault="005773EB" w:rsidP="00520C99">
            <w:pPr>
              <w:spacing w:after="0" w:line="240" w:lineRule="auto"/>
              <w:rPr>
                <w:rFonts w:ascii="Times New Roman" w:hAnsi="Times New Roman"/>
                <w:sz w:val="18"/>
                <w:szCs w:val="18"/>
              </w:rPr>
            </w:pPr>
          </w:p>
        </w:tc>
        <w:tc>
          <w:tcPr>
            <w:tcW w:w="1275" w:type="dxa"/>
            <w:vMerge/>
            <w:tcBorders>
              <w:bottom w:val="single" w:sz="4" w:space="0" w:color="auto"/>
            </w:tcBorders>
            <w:shd w:val="clear" w:color="auto" w:fill="FFFFFF" w:themeFill="background1"/>
          </w:tcPr>
          <w:p w14:paraId="312F83E1" w14:textId="77777777" w:rsidR="005773EB" w:rsidRPr="00862219" w:rsidRDefault="005773EB" w:rsidP="00520C99">
            <w:pPr>
              <w:spacing w:after="0" w:line="240" w:lineRule="auto"/>
              <w:rPr>
                <w:rFonts w:ascii="Times New Roman" w:hAnsi="Times New Roman"/>
                <w:sz w:val="18"/>
                <w:szCs w:val="18"/>
              </w:rPr>
            </w:pPr>
          </w:p>
        </w:tc>
      </w:tr>
      <w:tr w:rsidR="005773EB" w:rsidRPr="00862219" w14:paraId="4F0B64C2" w14:textId="77777777" w:rsidTr="00520C99">
        <w:trPr>
          <w:gridAfter w:val="1"/>
          <w:wAfter w:w="18" w:type="dxa"/>
          <w:trHeight w:val="599"/>
        </w:trPr>
        <w:tc>
          <w:tcPr>
            <w:tcW w:w="2569" w:type="dxa"/>
            <w:vMerge w:val="restart"/>
            <w:shd w:val="clear" w:color="auto" w:fill="FFFFFF" w:themeFill="background1"/>
          </w:tcPr>
          <w:p w14:paraId="540E6222" w14:textId="77777777" w:rsidR="005773EB" w:rsidRPr="00862219" w:rsidRDefault="005773EB" w:rsidP="00520C99">
            <w:pPr>
              <w:spacing w:after="0" w:line="240" w:lineRule="auto"/>
              <w:contextualSpacing/>
              <w:jc w:val="both"/>
              <w:rPr>
                <w:rFonts w:ascii="Times New Roman" w:hAnsi="Times New Roman"/>
                <w:sz w:val="18"/>
                <w:szCs w:val="18"/>
              </w:rPr>
            </w:pPr>
            <w:r w:rsidRPr="00862219">
              <w:rPr>
                <w:rFonts w:ascii="Times New Roman" w:hAnsi="Times New Roman"/>
                <w:b/>
                <w:sz w:val="18"/>
                <w:szCs w:val="18"/>
              </w:rPr>
              <w:t xml:space="preserve">Effet 7. </w:t>
            </w:r>
            <w:r w:rsidRPr="00862219">
              <w:rPr>
                <w:rFonts w:ascii="Times New Roman" w:hAnsi="Times New Roman"/>
                <w:sz w:val="18"/>
                <w:szCs w:val="18"/>
              </w:rPr>
              <w:t>D’ici à fin 2021, l’Etat met en œuvre une politique nationale de développement impulsant une croissance inclusive engendrant la création d'emplois et d'opportunités notamment en faveur des jeunes et des femmes y compris les réfugiés</w:t>
            </w:r>
          </w:p>
        </w:tc>
        <w:tc>
          <w:tcPr>
            <w:tcW w:w="2510" w:type="dxa"/>
            <w:gridSpan w:val="3"/>
            <w:shd w:val="clear" w:color="auto" w:fill="FFFFFF" w:themeFill="background1"/>
          </w:tcPr>
          <w:p w14:paraId="46D7A298"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Taux de financement du PAP/Plan quinquennal 2016-2020 par le Budget national</w:t>
            </w:r>
          </w:p>
        </w:tc>
        <w:tc>
          <w:tcPr>
            <w:tcW w:w="713" w:type="dxa"/>
            <w:gridSpan w:val="2"/>
            <w:shd w:val="clear" w:color="auto" w:fill="FFFFFF" w:themeFill="background1"/>
          </w:tcPr>
          <w:p w14:paraId="59857EC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70%</w:t>
            </w:r>
          </w:p>
        </w:tc>
        <w:tc>
          <w:tcPr>
            <w:tcW w:w="1012" w:type="dxa"/>
            <w:shd w:val="clear" w:color="auto" w:fill="FFFFFF" w:themeFill="background1"/>
          </w:tcPr>
          <w:p w14:paraId="715E79A7"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90%</w:t>
            </w:r>
          </w:p>
        </w:tc>
        <w:tc>
          <w:tcPr>
            <w:tcW w:w="2961" w:type="dxa"/>
            <w:gridSpan w:val="4"/>
            <w:vMerge w:val="restart"/>
            <w:shd w:val="clear" w:color="auto" w:fill="FFFFFF" w:themeFill="background1"/>
          </w:tcPr>
          <w:p w14:paraId="506DED2F"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LdF et budget (fréquence annuelle)</w:t>
            </w:r>
          </w:p>
          <w:p w14:paraId="2431051C"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Ecosit/EDS/inseed (3 à 5 ans)</w:t>
            </w:r>
          </w:p>
          <w:p w14:paraId="079DBF45"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Sondages/Inseed</w:t>
            </w:r>
          </w:p>
          <w:p w14:paraId="49BF611B"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 xml:space="preserve"> Rapport d'activités (M/justice; ONAPE)</w:t>
            </w:r>
          </w:p>
          <w:p w14:paraId="4DFD14A3"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MAT/UH</w:t>
            </w:r>
          </w:p>
        </w:tc>
        <w:tc>
          <w:tcPr>
            <w:tcW w:w="1434" w:type="dxa"/>
            <w:vMerge w:val="restart"/>
            <w:shd w:val="clear" w:color="auto" w:fill="FFFFFF" w:themeFill="background1"/>
          </w:tcPr>
          <w:p w14:paraId="010D842A" w14:textId="77777777" w:rsidR="005773EB" w:rsidRPr="00862219" w:rsidRDefault="005773EB" w:rsidP="00520C99">
            <w:pPr>
              <w:spacing w:after="0" w:line="240" w:lineRule="auto"/>
              <w:contextualSpacing/>
              <w:jc w:val="both"/>
              <w:rPr>
                <w:rFonts w:ascii="Times New Roman" w:hAnsi="Times New Roman"/>
                <w:b/>
                <w:sz w:val="18"/>
                <w:szCs w:val="18"/>
                <w:u w:val="single"/>
              </w:rPr>
            </w:pPr>
            <w:r w:rsidRPr="00862219">
              <w:rPr>
                <w:rFonts w:ascii="Times New Roman" w:hAnsi="Times New Roman"/>
                <w:b/>
                <w:sz w:val="18"/>
                <w:szCs w:val="18"/>
                <w:u w:val="single"/>
              </w:rPr>
              <w:t>Gouvernement</w:t>
            </w:r>
          </w:p>
          <w:p w14:paraId="7E93F5A7"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Planification</w:t>
            </w:r>
          </w:p>
          <w:p w14:paraId="0D4402E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Plaidoyer</w:t>
            </w:r>
          </w:p>
          <w:p w14:paraId="05311BD6"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 xml:space="preserve"> Suivi et évaluation</w:t>
            </w:r>
          </w:p>
          <w:p w14:paraId="48059D22" w14:textId="77777777" w:rsidR="005773EB" w:rsidRPr="00862219" w:rsidRDefault="005773EB" w:rsidP="00520C99">
            <w:pPr>
              <w:spacing w:after="0" w:line="240" w:lineRule="auto"/>
              <w:contextualSpacing/>
              <w:jc w:val="both"/>
              <w:rPr>
                <w:rFonts w:ascii="Times New Roman" w:hAnsi="Times New Roman"/>
                <w:b/>
                <w:sz w:val="18"/>
                <w:szCs w:val="18"/>
                <w:u w:val="single"/>
              </w:rPr>
            </w:pPr>
          </w:p>
          <w:p w14:paraId="1A6A0AA1" w14:textId="77777777" w:rsidR="005773EB" w:rsidRPr="00862219" w:rsidRDefault="005773EB" w:rsidP="00520C99">
            <w:pPr>
              <w:spacing w:after="0" w:line="240" w:lineRule="auto"/>
              <w:contextualSpacing/>
              <w:jc w:val="both"/>
              <w:rPr>
                <w:rFonts w:ascii="Times New Roman" w:hAnsi="Times New Roman"/>
                <w:b/>
                <w:sz w:val="18"/>
                <w:szCs w:val="18"/>
                <w:u w:val="single"/>
              </w:rPr>
            </w:pPr>
            <w:r w:rsidRPr="00862219">
              <w:rPr>
                <w:rFonts w:ascii="Times New Roman" w:hAnsi="Times New Roman"/>
                <w:b/>
                <w:sz w:val="18"/>
                <w:szCs w:val="18"/>
                <w:u w:val="single"/>
              </w:rPr>
              <w:t>Société Civile</w:t>
            </w:r>
          </w:p>
          <w:p w14:paraId="71267DD4"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Veille citoyenne</w:t>
            </w:r>
          </w:p>
          <w:p w14:paraId="6CB628D2"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Plaidoyer</w:t>
            </w:r>
          </w:p>
          <w:p w14:paraId="2348F567"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Information</w:t>
            </w:r>
          </w:p>
          <w:p w14:paraId="40FB46A9" w14:textId="77777777" w:rsidR="005773EB" w:rsidRPr="005B50E0" w:rsidRDefault="005773EB" w:rsidP="00520C99">
            <w:pPr>
              <w:numPr>
                <w:ilvl w:val="0"/>
                <w:numId w:val="3"/>
              </w:numPr>
              <w:spacing w:after="0" w:line="240" w:lineRule="auto"/>
              <w:ind w:left="144" w:hanging="144"/>
              <w:contextualSpacing/>
              <w:rPr>
                <w:rFonts w:ascii="Times New Roman" w:hAnsi="Times New Roman"/>
                <w:b/>
                <w:sz w:val="18"/>
                <w:szCs w:val="18"/>
                <w:u w:val="single"/>
                <w:lang w:val="en-GB"/>
              </w:rPr>
            </w:pPr>
            <w:r w:rsidRPr="005B50E0">
              <w:rPr>
                <w:rFonts w:ascii="Times New Roman" w:hAnsi="Times New Roman"/>
                <w:sz w:val="18"/>
                <w:szCs w:val="18"/>
              </w:rPr>
              <w:t>Partenariat</w:t>
            </w:r>
          </w:p>
        </w:tc>
        <w:tc>
          <w:tcPr>
            <w:tcW w:w="1134" w:type="dxa"/>
            <w:vMerge w:val="restart"/>
            <w:shd w:val="clear" w:color="auto" w:fill="FFFFFF" w:themeFill="background1"/>
          </w:tcPr>
          <w:p w14:paraId="02D29DDC" w14:textId="77777777" w:rsidR="005773EB" w:rsidRPr="00A71706" w:rsidRDefault="005773EB" w:rsidP="00520C99">
            <w:pPr>
              <w:rPr>
                <w:rFonts w:ascii="Times New Roman" w:hAnsi="Times New Roman" w:cs="Times New Roman"/>
                <w:b/>
                <w:noProof w:val="0"/>
                <w:color w:val="FF0000"/>
                <w:sz w:val="18"/>
              </w:rPr>
            </w:pPr>
            <w:r w:rsidRPr="00A71706">
              <w:rPr>
                <w:rFonts w:ascii="Times New Roman" w:hAnsi="Times New Roman" w:cs="Times New Roman"/>
                <w:b/>
                <w:color w:val="FF0000"/>
                <w:sz w:val="18"/>
              </w:rPr>
              <w:t>11 093 604</w:t>
            </w:r>
          </w:p>
          <w:p w14:paraId="64FEB9F1" w14:textId="77777777" w:rsidR="005773EB" w:rsidRPr="00A71706" w:rsidRDefault="005773EB" w:rsidP="00520C99">
            <w:pPr>
              <w:spacing w:after="0" w:line="240" w:lineRule="auto"/>
              <w:contextualSpacing/>
              <w:rPr>
                <w:rFonts w:ascii="Times New Roman" w:hAnsi="Times New Roman" w:cs="Times New Roman"/>
                <w:b/>
                <w:color w:val="FF0000"/>
                <w:sz w:val="18"/>
                <w:szCs w:val="18"/>
                <w:lang w:val="en-GB"/>
              </w:rPr>
            </w:pPr>
          </w:p>
        </w:tc>
        <w:tc>
          <w:tcPr>
            <w:tcW w:w="1130" w:type="dxa"/>
            <w:vMerge w:val="restart"/>
            <w:shd w:val="clear" w:color="auto" w:fill="FFFFFF" w:themeFill="background1"/>
          </w:tcPr>
          <w:p w14:paraId="1B303529" w14:textId="77777777" w:rsidR="005773EB" w:rsidRPr="00A71706" w:rsidRDefault="005773EB" w:rsidP="00520C99">
            <w:pPr>
              <w:rPr>
                <w:rFonts w:ascii="Times New Roman" w:hAnsi="Times New Roman" w:cs="Times New Roman"/>
                <w:b/>
                <w:noProof w:val="0"/>
                <w:color w:val="FF0000"/>
                <w:sz w:val="18"/>
              </w:rPr>
            </w:pPr>
            <w:r w:rsidRPr="00A71706">
              <w:rPr>
                <w:rFonts w:ascii="Times New Roman" w:hAnsi="Times New Roman" w:cs="Times New Roman"/>
                <w:b/>
                <w:color w:val="FF0000"/>
                <w:sz w:val="18"/>
              </w:rPr>
              <w:t>9 040 000</w:t>
            </w:r>
          </w:p>
          <w:p w14:paraId="237431E0" w14:textId="77777777" w:rsidR="005773EB" w:rsidRPr="00A71706" w:rsidRDefault="005773EB" w:rsidP="00520C99">
            <w:pPr>
              <w:spacing w:after="0" w:line="240" w:lineRule="auto"/>
              <w:contextualSpacing/>
              <w:rPr>
                <w:rFonts w:ascii="Times New Roman" w:hAnsi="Times New Roman" w:cs="Times New Roman"/>
                <w:b/>
                <w:color w:val="FF0000"/>
                <w:sz w:val="18"/>
                <w:szCs w:val="18"/>
                <w:lang w:val="en-GB"/>
              </w:rPr>
            </w:pPr>
          </w:p>
        </w:tc>
        <w:tc>
          <w:tcPr>
            <w:tcW w:w="1275" w:type="dxa"/>
            <w:vMerge w:val="restart"/>
            <w:shd w:val="clear" w:color="auto" w:fill="FFFFFF" w:themeFill="background1"/>
          </w:tcPr>
          <w:p w14:paraId="3BAA18E5" w14:textId="77777777" w:rsidR="005773EB" w:rsidRPr="00A71706" w:rsidRDefault="005773EB" w:rsidP="00520C99">
            <w:pPr>
              <w:rPr>
                <w:rFonts w:ascii="Times New Roman" w:hAnsi="Times New Roman" w:cs="Times New Roman"/>
                <w:b/>
                <w:noProof w:val="0"/>
                <w:color w:val="FF0000"/>
                <w:sz w:val="18"/>
              </w:rPr>
            </w:pPr>
            <w:r w:rsidRPr="00A71706">
              <w:rPr>
                <w:rFonts w:ascii="Times New Roman" w:hAnsi="Times New Roman" w:cs="Times New Roman"/>
                <w:b/>
                <w:color w:val="FF0000"/>
                <w:sz w:val="18"/>
              </w:rPr>
              <w:t>2 053 604</w:t>
            </w:r>
          </w:p>
          <w:p w14:paraId="0789DDB7" w14:textId="77777777" w:rsidR="005773EB" w:rsidRPr="00A71706" w:rsidRDefault="005773EB" w:rsidP="00520C99">
            <w:pPr>
              <w:spacing w:after="0" w:line="240" w:lineRule="auto"/>
              <w:contextualSpacing/>
              <w:rPr>
                <w:rFonts w:ascii="Times New Roman" w:hAnsi="Times New Roman" w:cs="Times New Roman"/>
                <w:b/>
                <w:color w:val="FF0000"/>
                <w:sz w:val="18"/>
                <w:szCs w:val="18"/>
                <w:lang w:val="en-GB"/>
              </w:rPr>
            </w:pPr>
          </w:p>
        </w:tc>
      </w:tr>
      <w:tr w:rsidR="005773EB" w:rsidRPr="00862219" w14:paraId="1810DD67" w14:textId="77777777" w:rsidTr="00520C99">
        <w:trPr>
          <w:gridAfter w:val="1"/>
          <w:wAfter w:w="18" w:type="dxa"/>
          <w:trHeight w:val="599"/>
        </w:trPr>
        <w:tc>
          <w:tcPr>
            <w:tcW w:w="2569" w:type="dxa"/>
            <w:vMerge/>
            <w:shd w:val="clear" w:color="auto" w:fill="FFFFFF" w:themeFill="background1"/>
          </w:tcPr>
          <w:p w14:paraId="032557EC" w14:textId="77777777" w:rsidR="005773EB" w:rsidRPr="00862219" w:rsidRDefault="005773EB" w:rsidP="00520C99">
            <w:pPr>
              <w:spacing w:after="0" w:line="240" w:lineRule="auto"/>
              <w:contextualSpacing/>
              <w:jc w:val="both"/>
              <w:rPr>
                <w:rFonts w:ascii="Times New Roman" w:hAnsi="Times New Roman"/>
                <w:b/>
                <w:sz w:val="18"/>
                <w:szCs w:val="18"/>
                <w:lang w:val="en-GB"/>
              </w:rPr>
            </w:pPr>
          </w:p>
        </w:tc>
        <w:tc>
          <w:tcPr>
            <w:tcW w:w="2510" w:type="dxa"/>
            <w:gridSpan w:val="3"/>
            <w:shd w:val="clear" w:color="auto" w:fill="FFFFFF" w:themeFill="background1"/>
          </w:tcPr>
          <w:p w14:paraId="4AAAAC5C"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Taux de sous-emploi chez les jeunes (formel et informel) (sexe, Age, groupes vulnérables, milieux, sexe)</w:t>
            </w:r>
          </w:p>
        </w:tc>
        <w:tc>
          <w:tcPr>
            <w:tcW w:w="713" w:type="dxa"/>
            <w:gridSpan w:val="2"/>
            <w:shd w:val="clear" w:color="auto" w:fill="FFFFFF" w:themeFill="background1"/>
          </w:tcPr>
          <w:p w14:paraId="10A32509"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34%</w:t>
            </w:r>
          </w:p>
        </w:tc>
        <w:tc>
          <w:tcPr>
            <w:tcW w:w="1012" w:type="dxa"/>
            <w:shd w:val="clear" w:color="auto" w:fill="FFFFFF" w:themeFill="background1"/>
          </w:tcPr>
          <w:p w14:paraId="5DD08C0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25%</w:t>
            </w:r>
          </w:p>
        </w:tc>
        <w:tc>
          <w:tcPr>
            <w:tcW w:w="2961" w:type="dxa"/>
            <w:gridSpan w:val="4"/>
            <w:vMerge/>
            <w:shd w:val="clear" w:color="auto" w:fill="FFFFFF" w:themeFill="background1"/>
          </w:tcPr>
          <w:p w14:paraId="2499E15C"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p>
        </w:tc>
        <w:tc>
          <w:tcPr>
            <w:tcW w:w="1434" w:type="dxa"/>
            <w:vMerge/>
            <w:shd w:val="clear" w:color="auto" w:fill="FFFFFF" w:themeFill="background1"/>
          </w:tcPr>
          <w:p w14:paraId="3E674BF5" w14:textId="77777777" w:rsidR="005773EB" w:rsidRPr="00862219" w:rsidRDefault="005773EB" w:rsidP="00520C99">
            <w:pPr>
              <w:spacing w:after="0" w:line="240" w:lineRule="auto"/>
              <w:contextualSpacing/>
              <w:jc w:val="both"/>
              <w:rPr>
                <w:rFonts w:ascii="Times New Roman" w:hAnsi="Times New Roman"/>
                <w:b/>
                <w:sz w:val="18"/>
                <w:szCs w:val="18"/>
                <w:u w:val="single"/>
                <w:lang w:val="en-GB"/>
              </w:rPr>
            </w:pPr>
          </w:p>
        </w:tc>
        <w:tc>
          <w:tcPr>
            <w:tcW w:w="1134" w:type="dxa"/>
            <w:vMerge/>
            <w:shd w:val="clear" w:color="auto" w:fill="FFFFFF" w:themeFill="background1"/>
          </w:tcPr>
          <w:p w14:paraId="1BD9BF10"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0" w:type="dxa"/>
            <w:vMerge/>
            <w:shd w:val="clear" w:color="auto" w:fill="FFFFFF" w:themeFill="background1"/>
          </w:tcPr>
          <w:p w14:paraId="0B83801D"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275" w:type="dxa"/>
            <w:vMerge/>
            <w:shd w:val="clear" w:color="auto" w:fill="FFFFFF" w:themeFill="background1"/>
          </w:tcPr>
          <w:p w14:paraId="4ED68DF5" w14:textId="77777777" w:rsidR="005773EB" w:rsidRPr="00862219" w:rsidRDefault="005773EB" w:rsidP="00520C99">
            <w:pPr>
              <w:spacing w:after="0" w:line="240" w:lineRule="auto"/>
              <w:contextualSpacing/>
              <w:rPr>
                <w:rFonts w:ascii="Times New Roman" w:hAnsi="Times New Roman"/>
                <w:sz w:val="18"/>
                <w:szCs w:val="18"/>
                <w:lang w:val="en-GB"/>
              </w:rPr>
            </w:pPr>
          </w:p>
        </w:tc>
      </w:tr>
      <w:tr w:rsidR="005773EB" w:rsidRPr="00862219" w14:paraId="62B7DB08" w14:textId="77777777" w:rsidTr="00520C99">
        <w:trPr>
          <w:gridAfter w:val="1"/>
          <w:wAfter w:w="18" w:type="dxa"/>
          <w:trHeight w:val="599"/>
        </w:trPr>
        <w:tc>
          <w:tcPr>
            <w:tcW w:w="2569" w:type="dxa"/>
            <w:vMerge/>
            <w:shd w:val="clear" w:color="auto" w:fill="FFFFFF" w:themeFill="background1"/>
          </w:tcPr>
          <w:p w14:paraId="5A0A7363" w14:textId="77777777" w:rsidR="005773EB" w:rsidRPr="00862219" w:rsidRDefault="005773EB" w:rsidP="00520C99">
            <w:pPr>
              <w:spacing w:after="0" w:line="240" w:lineRule="auto"/>
              <w:contextualSpacing/>
              <w:jc w:val="both"/>
              <w:rPr>
                <w:rFonts w:ascii="Times New Roman" w:hAnsi="Times New Roman"/>
                <w:b/>
                <w:sz w:val="18"/>
                <w:szCs w:val="18"/>
                <w:lang w:val="en-GB"/>
              </w:rPr>
            </w:pPr>
          </w:p>
        </w:tc>
        <w:tc>
          <w:tcPr>
            <w:tcW w:w="2510" w:type="dxa"/>
            <w:gridSpan w:val="3"/>
            <w:shd w:val="clear" w:color="auto" w:fill="FFFFFF" w:themeFill="background1"/>
          </w:tcPr>
          <w:p w14:paraId="5DF974E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Taux d’emplois (formel et informel) (sexe, Age, groupes vulnérables, milieux, sexe)</w:t>
            </w:r>
          </w:p>
        </w:tc>
        <w:tc>
          <w:tcPr>
            <w:tcW w:w="713" w:type="dxa"/>
            <w:gridSpan w:val="2"/>
            <w:shd w:val="clear" w:color="auto" w:fill="FFFFFF" w:themeFill="background1"/>
          </w:tcPr>
          <w:p w14:paraId="4607B1B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78%</w:t>
            </w:r>
          </w:p>
        </w:tc>
        <w:tc>
          <w:tcPr>
            <w:tcW w:w="1012" w:type="dxa"/>
            <w:shd w:val="clear" w:color="auto" w:fill="FFFFFF" w:themeFill="background1"/>
          </w:tcPr>
          <w:p w14:paraId="303A935A"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r w:rsidRPr="00862219">
              <w:rPr>
                <w:rFonts w:ascii="Times New Roman" w:hAnsi="Times New Roman"/>
                <w:sz w:val="18"/>
                <w:szCs w:val="18"/>
                <w:lang w:val="en-GB"/>
              </w:rPr>
              <w:t>85%</w:t>
            </w:r>
          </w:p>
        </w:tc>
        <w:tc>
          <w:tcPr>
            <w:tcW w:w="2961" w:type="dxa"/>
            <w:gridSpan w:val="4"/>
            <w:vMerge/>
            <w:shd w:val="clear" w:color="auto" w:fill="FFFFFF" w:themeFill="background1"/>
          </w:tcPr>
          <w:p w14:paraId="5233A88E"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lang w:val="en-GB"/>
              </w:rPr>
            </w:pPr>
          </w:p>
        </w:tc>
        <w:tc>
          <w:tcPr>
            <w:tcW w:w="1434" w:type="dxa"/>
            <w:vMerge/>
            <w:shd w:val="clear" w:color="auto" w:fill="FFFFFF" w:themeFill="background1"/>
          </w:tcPr>
          <w:p w14:paraId="22D626A8" w14:textId="77777777" w:rsidR="005773EB" w:rsidRPr="00862219" w:rsidRDefault="005773EB" w:rsidP="00520C99">
            <w:pPr>
              <w:spacing w:after="0" w:line="240" w:lineRule="auto"/>
              <w:contextualSpacing/>
              <w:jc w:val="both"/>
              <w:rPr>
                <w:rFonts w:ascii="Times New Roman" w:hAnsi="Times New Roman"/>
                <w:b/>
                <w:sz w:val="18"/>
                <w:szCs w:val="18"/>
                <w:u w:val="single"/>
                <w:lang w:val="en-GB"/>
              </w:rPr>
            </w:pPr>
          </w:p>
        </w:tc>
        <w:tc>
          <w:tcPr>
            <w:tcW w:w="1134" w:type="dxa"/>
            <w:vMerge/>
            <w:shd w:val="clear" w:color="auto" w:fill="FFFFFF" w:themeFill="background1"/>
          </w:tcPr>
          <w:p w14:paraId="0C95B10F"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130" w:type="dxa"/>
            <w:vMerge/>
            <w:shd w:val="clear" w:color="auto" w:fill="FFFFFF" w:themeFill="background1"/>
          </w:tcPr>
          <w:p w14:paraId="65B63E80" w14:textId="77777777" w:rsidR="005773EB" w:rsidRPr="00862219" w:rsidRDefault="005773EB" w:rsidP="00520C99">
            <w:pPr>
              <w:spacing w:after="0" w:line="240" w:lineRule="auto"/>
              <w:contextualSpacing/>
              <w:rPr>
                <w:rFonts w:ascii="Times New Roman" w:hAnsi="Times New Roman"/>
                <w:sz w:val="18"/>
                <w:szCs w:val="18"/>
                <w:lang w:val="en-GB"/>
              </w:rPr>
            </w:pPr>
          </w:p>
        </w:tc>
        <w:tc>
          <w:tcPr>
            <w:tcW w:w="1275" w:type="dxa"/>
            <w:vMerge/>
            <w:shd w:val="clear" w:color="auto" w:fill="FFFFFF" w:themeFill="background1"/>
          </w:tcPr>
          <w:p w14:paraId="1B889B3B" w14:textId="77777777" w:rsidR="005773EB" w:rsidRPr="00862219" w:rsidRDefault="005773EB" w:rsidP="00520C99">
            <w:pPr>
              <w:spacing w:after="0" w:line="240" w:lineRule="auto"/>
              <w:contextualSpacing/>
              <w:rPr>
                <w:rFonts w:ascii="Times New Roman" w:hAnsi="Times New Roman"/>
                <w:sz w:val="18"/>
                <w:szCs w:val="18"/>
                <w:lang w:val="en-GB"/>
              </w:rPr>
            </w:pPr>
          </w:p>
        </w:tc>
      </w:tr>
      <w:tr w:rsidR="005773EB" w:rsidRPr="00862219" w14:paraId="1B3E0D7F" w14:textId="77777777" w:rsidTr="00520C99">
        <w:trPr>
          <w:gridAfter w:val="1"/>
          <w:wAfter w:w="18" w:type="dxa"/>
          <w:trHeight w:val="750"/>
        </w:trPr>
        <w:tc>
          <w:tcPr>
            <w:tcW w:w="2569" w:type="dxa"/>
            <w:vMerge/>
            <w:tcBorders>
              <w:bottom w:val="single" w:sz="4" w:space="0" w:color="auto"/>
            </w:tcBorders>
            <w:shd w:val="clear" w:color="auto" w:fill="FFFFFF" w:themeFill="background1"/>
          </w:tcPr>
          <w:p w14:paraId="425AAF60" w14:textId="77777777" w:rsidR="005773EB" w:rsidRPr="00862219" w:rsidRDefault="005773EB" w:rsidP="00520C99">
            <w:pPr>
              <w:spacing w:after="0" w:line="240" w:lineRule="auto"/>
              <w:contextualSpacing/>
              <w:jc w:val="both"/>
              <w:rPr>
                <w:rFonts w:ascii="Times New Roman" w:hAnsi="Times New Roman"/>
                <w:b/>
                <w:sz w:val="18"/>
                <w:szCs w:val="18"/>
                <w:lang w:val="en-GB"/>
              </w:rPr>
            </w:pPr>
          </w:p>
        </w:tc>
        <w:tc>
          <w:tcPr>
            <w:tcW w:w="2510" w:type="dxa"/>
            <w:gridSpan w:val="3"/>
            <w:tcBorders>
              <w:bottom w:val="single" w:sz="4" w:space="0" w:color="auto"/>
            </w:tcBorders>
            <w:shd w:val="clear" w:color="auto" w:fill="FFFFFF" w:themeFill="background1"/>
          </w:tcPr>
          <w:p w14:paraId="2C06DE2D"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Taux moyen d’execution des budgets des secteurs socaux</w:t>
            </w:r>
          </w:p>
        </w:tc>
        <w:tc>
          <w:tcPr>
            <w:tcW w:w="713" w:type="dxa"/>
            <w:gridSpan w:val="2"/>
            <w:tcBorders>
              <w:bottom w:val="single" w:sz="4" w:space="0" w:color="auto"/>
            </w:tcBorders>
            <w:shd w:val="clear" w:color="auto" w:fill="FFFFFF" w:themeFill="background1"/>
          </w:tcPr>
          <w:p w14:paraId="1E863832"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70%</w:t>
            </w:r>
          </w:p>
        </w:tc>
        <w:tc>
          <w:tcPr>
            <w:tcW w:w="1012" w:type="dxa"/>
            <w:tcBorders>
              <w:bottom w:val="single" w:sz="4" w:space="0" w:color="auto"/>
            </w:tcBorders>
            <w:shd w:val="clear" w:color="auto" w:fill="FFFFFF" w:themeFill="background1"/>
          </w:tcPr>
          <w:p w14:paraId="1E269375"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r w:rsidRPr="00862219">
              <w:rPr>
                <w:rFonts w:ascii="Times New Roman" w:hAnsi="Times New Roman"/>
                <w:sz w:val="18"/>
                <w:szCs w:val="18"/>
              </w:rPr>
              <w:t>90%</w:t>
            </w:r>
          </w:p>
        </w:tc>
        <w:tc>
          <w:tcPr>
            <w:tcW w:w="2961" w:type="dxa"/>
            <w:gridSpan w:val="4"/>
            <w:vMerge/>
            <w:tcBorders>
              <w:bottom w:val="single" w:sz="4" w:space="0" w:color="auto"/>
            </w:tcBorders>
            <w:shd w:val="clear" w:color="auto" w:fill="FFFFFF" w:themeFill="background1"/>
          </w:tcPr>
          <w:p w14:paraId="48F3B94F" w14:textId="77777777" w:rsidR="005773EB" w:rsidRPr="00862219" w:rsidRDefault="005773EB" w:rsidP="00520C99">
            <w:pPr>
              <w:numPr>
                <w:ilvl w:val="0"/>
                <w:numId w:val="3"/>
              </w:numPr>
              <w:spacing w:after="0" w:line="240" w:lineRule="auto"/>
              <w:ind w:left="144" w:hanging="144"/>
              <w:contextualSpacing/>
              <w:rPr>
                <w:rFonts w:ascii="Times New Roman" w:hAnsi="Times New Roman"/>
                <w:sz w:val="18"/>
                <w:szCs w:val="18"/>
              </w:rPr>
            </w:pPr>
          </w:p>
        </w:tc>
        <w:tc>
          <w:tcPr>
            <w:tcW w:w="1434" w:type="dxa"/>
            <w:vMerge/>
            <w:tcBorders>
              <w:bottom w:val="single" w:sz="4" w:space="0" w:color="auto"/>
            </w:tcBorders>
            <w:shd w:val="clear" w:color="auto" w:fill="FFFFFF" w:themeFill="background1"/>
          </w:tcPr>
          <w:p w14:paraId="4918E251" w14:textId="77777777" w:rsidR="005773EB" w:rsidRPr="00862219" w:rsidRDefault="005773EB" w:rsidP="00520C99">
            <w:pPr>
              <w:spacing w:after="0" w:line="240" w:lineRule="auto"/>
              <w:contextualSpacing/>
              <w:jc w:val="both"/>
              <w:rPr>
                <w:rFonts w:ascii="Times New Roman" w:hAnsi="Times New Roman"/>
                <w:b/>
                <w:sz w:val="18"/>
                <w:szCs w:val="18"/>
                <w:u w:val="single"/>
              </w:rPr>
            </w:pPr>
          </w:p>
        </w:tc>
        <w:tc>
          <w:tcPr>
            <w:tcW w:w="1134" w:type="dxa"/>
            <w:vMerge/>
            <w:tcBorders>
              <w:bottom w:val="single" w:sz="4" w:space="0" w:color="auto"/>
            </w:tcBorders>
            <w:shd w:val="clear" w:color="auto" w:fill="FFFFFF" w:themeFill="background1"/>
          </w:tcPr>
          <w:p w14:paraId="5AAF165D" w14:textId="77777777" w:rsidR="005773EB" w:rsidRPr="00862219" w:rsidRDefault="005773EB" w:rsidP="00520C99">
            <w:pPr>
              <w:spacing w:after="0" w:line="240" w:lineRule="auto"/>
              <w:contextualSpacing/>
              <w:rPr>
                <w:rFonts w:ascii="Times New Roman" w:hAnsi="Times New Roman"/>
                <w:sz w:val="18"/>
                <w:szCs w:val="18"/>
              </w:rPr>
            </w:pPr>
          </w:p>
        </w:tc>
        <w:tc>
          <w:tcPr>
            <w:tcW w:w="1130" w:type="dxa"/>
            <w:vMerge/>
            <w:tcBorders>
              <w:bottom w:val="single" w:sz="4" w:space="0" w:color="auto"/>
            </w:tcBorders>
            <w:shd w:val="clear" w:color="auto" w:fill="FFFFFF" w:themeFill="background1"/>
          </w:tcPr>
          <w:p w14:paraId="09F9DEEE" w14:textId="77777777" w:rsidR="005773EB" w:rsidRPr="00862219" w:rsidRDefault="005773EB" w:rsidP="00520C99">
            <w:pPr>
              <w:spacing w:after="0" w:line="240" w:lineRule="auto"/>
              <w:contextualSpacing/>
              <w:rPr>
                <w:rFonts w:ascii="Times New Roman" w:hAnsi="Times New Roman"/>
                <w:sz w:val="18"/>
                <w:szCs w:val="18"/>
              </w:rPr>
            </w:pPr>
          </w:p>
        </w:tc>
        <w:tc>
          <w:tcPr>
            <w:tcW w:w="1275" w:type="dxa"/>
            <w:vMerge/>
            <w:tcBorders>
              <w:bottom w:val="single" w:sz="4" w:space="0" w:color="auto"/>
            </w:tcBorders>
            <w:shd w:val="clear" w:color="auto" w:fill="FFFFFF" w:themeFill="background1"/>
          </w:tcPr>
          <w:p w14:paraId="51EA0E93" w14:textId="77777777" w:rsidR="005773EB" w:rsidRPr="00862219" w:rsidRDefault="005773EB" w:rsidP="00520C99">
            <w:pPr>
              <w:spacing w:after="0" w:line="240" w:lineRule="auto"/>
              <w:contextualSpacing/>
              <w:rPr>
                <w:rFonts w:ascii="Times New Roman" w:hAnsi="Times New Roman"/>
                <w:sz w:val="18"/>
                <w:szCs w:val="18"/>
              </w:rPr>
            </w:pPr>
          </w:p>
        </w:tc>
      </w:tr>
    </w:tbl>
    <w:p w14:paraId="2BB54554" w14:textId="77777777" w:rsidR="004B2F67" w:rsidRDefault="004B2F67" w:rsidP="004067F1"/>
    <w:p w14:paraId="643184CD" w14:textId="77777777" w:rsidR="004B2F67" w:rsidRDefault="004B2F67" w:rsidP="004067F1"/>
    <w:p w14:paraId="2C483F22" w14:textId="77777777" w:rsidR="00627534" w:rsidRDefault="00627534" w:rsidP="00FA695C">
      <w:pPr>
        <w:pStyle w:val="Heading2"/>
        <w:pBdr>
          <w:bottom w:val="single" w:sz="4" w:space="1" w:color="auto"/>
        </w:pBdr>
        <w:jc w:val="left"/>
        <w:sectPr w:rsidR="00627534" w:rsidSect="00461AB9">
          <w:pgSz w:w="16838" w:h="11906" w:orient="landscape"/>
          <w:pgMar w:top="1417" w:right="1417" w:bottom="1417" w:left="1417" w:header="708" w:footer="708" w:gutter="0"/>
          <w:cols w:space="708"/>
          <w:docGrid w:linePitch="360"/>
        </w:sectPr>
      </w:pPr>
    </w:p>
    <w:p w14:paraId="008F47B8" w14:textId="082E61CD" w:rsidR="00AB1CC5" w:rsidRPr="00890150" w:rsidRDefault="00C7001F" w:rsidP="00890150">
      <w:pPr>
        <w:pStyle w:val="Heading2"/>
        <w:pBdr>
          <w:bottom w:val="single" w:sz="4" w:space="1" w:color="auto"/>
        </w:pBdr>
        <w:jc w:val="left"/>
      </w:pPr>
      <w:bookmarkStart w:id="106" w:name="_Toc459363429"/>
      <w:bookmarkStart w:id="107" w:name="_Toc455604627"/>
      <w:bookmarkStart w:id="108" w:name="_Toc456889067"/>
      <w:r w:rsidRPr="00890150">
        <w:t>Annexe 2 : C</w:t>
      </w:r>
      <w:r w:rsidR="00AB1CC5" w:rsidRPr="00890150">
        <w:t xml:space="preserve">alendrier de suivi et évaluation </w:t>
      </w:r>
      <w:r w:rsidR="00AB1CC5">
        <w:t xml:space="preserve">UNDAF </w:t>
      </w:r>
      <w:r w:rsidR="00AB1CC5" w:rsidRPr="00890150">
        <w:t>2017-2021</w:t>
      </w:r>
      <w:bookmarkEnd w:id="106"/>
    </w:p>
    <w:tbl>
      <w:tblPr>
        <w:tblW w:w="14740" w:type="dxa"/>
        <w:tblInd w:w="-5" w:type="dxa"/>
        <w:tblCellMar>
          <w:left w:w="70" w:type="dxa"/>
          <w:right w:w="70" w:type="dxa"/>
        </w:tblCellMar>
        <w:tblLook w:val="04A0" w:firstRow="1" w:lastRow="0" w:firstColumn="1" w:lastColumn="0" w:noHBand="0" w:noVBand="1"/>
      </w:tblPr>
      <w:tblGrid>
        <w:gridCol w:w="1200"/>
        <w:gridCol w:w="2740"/>
        <w:gridCol w:w="1200"/>
        <w:gridCol w:w="1200"/>
        <w:gridCol w:w="1200"/>
        <w:gridCol w:w="1200"/>
        <w:gridCol w:w="1200"/>
        <w:gridCol w:w="1200"/>
        <w:gridCol w:w="1200"/>
        <w:gridCol w:w="1200"/>
        <w:gridCol w:w="1200"/>
      </w:tblGrid>
      <w:tr w:rsidR="00AB1CC5" w:rsidRPr="00AB1CC5" w14:paraId="269F2FF9" w14:textId="77777777" w:rsidTr="00520C99">
        <w:trPr>
          <w:trHeight w:val="630"/>
          <w:tblHeader/>
        </w:trPr>
        <w:tc>
          <w:tcPr>
            <w:tcW w:w="1200" w:type="dxa"/>
            <w:tcBorders>
              <w:top w:val="single" w:sz="4" w:space="0" w:color="auto"/>
              <w:left w:val="single" w:sz="4" w:space="0" w:color="auto"/>
              <w:bottom w:val="single" w:sz="4" w:space="0" w:color="auto"/>
              <w:right w:val="single" w:sz="4" w:space="0" w:color="auto"/>
            </w:tcBorders>
            <w:shd w:val="clear" w:color="000000" w:fill="BDD7EE"/>
            <w:vAlign w:val="center"/>
            <w:hideMark/>
          </w:tcPr>
          <w:p w14:paraId="13BF161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Activités</w:t>
            </w:r>
          </w:p>
        </w:tc>
        <w:tc>
          <w:tcPr>
            <w:tcW w:w="2740" w:type="dxa"/>
            <w:tcBorders>
              <w:top w:val="single" w:sz="4" w:space="0" w:color="auto"/>
              <w:left w:val="nil"/>
              <w:bottom w:val="single" w:sz="4" w:space="0" w:color="auto"/>
              <w:right w:val="single" w:sz="4" w:space="0" w:color="auto"/>
            </w:tcBorders>
            <w:shd w:val="clear" w:color="000000" w:fill="BDD7EE"/>
            <w:vAlign w:val="center"/>
            <w:hideMark/>
          </w:tcPr>
          <w:p w14:paraId="24C0403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E6B34C2"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2017</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71D3EB5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2018</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69F7C68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2019</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61877710"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2020</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4EF9B19"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2021</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171DD25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Agence Lead</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6E1B3FA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Coût annuel</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665C0A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Unités</w:t>
            </w:r>
          </w:p>
        </w:tc>
        <w:tc>
          <w:tcPr>
            <w:tcW w:w="1200" w:type="dxa"/>
            <w:tcBorders>
              <w:top w:val="single" w:sz="4" w:space="0" w:color="auto"/>
              <w:left w:val="nil"/>
              <w:bottom w:val="single" w:sz="4" w:space="0" w:color="auto"/>
              <w:right w:val="single" w:sz="4" w:space="0" w:color="auto"/>
            </w:tcBorders>
            <w:shd w:val="clear" w:color="000000" w:fill="BDD7EE"/>
            <w:vAlign w:val="center"/>
            <w:hideMark/>
          </w:tcPr>
          <w:p w14:paraId="289CE8E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Total</w:t>
            </w:r>
          </w:p>
        </w:tc>
      </w:tr>
      <w:tr w:rsidR="00AB1CC5" w:rsidRPr="00AB1CC5" w14:paraId="20E0846E"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BDD6EE"/>
            <w:vAlign w:val="center"/>
            <w:hideMark/>
          </w:tcPr>
          <w:p w14:paraId="44001F5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Suivi</w:t>
            </w:r>
          </w:p>
        </w:tc>
        <w:tc>
          <w:tcPr>
            <w:tcW w:w="2740" w:type="dxa"/>
            <w:tcBorders>
              <w:top w:val="nil"/>
              <w:left w:val="nil"/>
              <w:bottom w:val="single" w:sz="4" w:space="0" w:color="auto"/>
              <w:right w:val="single" w:sz="4" w:space="0" w:color="auto"/>
            </w:tcBorders>
            <w:shd w:val="clear" w:color="000000" w:fill="BDD6EE"/>
            <w:vAlign w:val="center"/>
            <w:hideMark/>
          </w:tcPr>
          <w:p w14:paraId="53BE920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50F4554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48787CF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515F6A2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5477F9C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19B686E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A61776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582E621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7EE"/>
            <w:noWrap/>
            <w:vAlign w:val="bottom"/>
            <w:hideMark/>
          </w:tcPr>
          <w:p w14:paraId="0675E4A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7EE"/>
            <w:noWrap/>
            <w:vAlign w:val="bottom"/>
            <w:hideMark/>
          </w:tcPr>
          <w:p w14:paraId="73D0808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61F30EA4" w14:textId="77777777" w:rsidTr="00520C99">
        <w:trPr>
          <w:trHeight w:val="315"/>
        </w:trPr>
        <w:tc>
          <w:tcPr>
            <w:tcW w:w="1200" w:type="dxa"/>
            <w:vMerge w:val="restart"/>
            <w:tcBorders>
              <w:top w:val="nil"/>
              <w:left w:val="single" w:sz="4" w:space="0" w:color="auto"/>
              <w:bottom w:val="single" w:sz="4" w:space="0" w:color="auto"/>
              <w:right w:val="single" w:sz="4" w:space="0" w:color="auto"/>
            </w:tcBorders>
            <w:shd w:val="clear" w:color="000000" w:fill="BDD6EE"/>
            <w:vAlign w:val="center"/>
            <w:hideMark/>
          </w:tcPr>
          <w:p w14:paraId="6045365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BDD6EE"/>
            <w:vAlign w:val="center"/>
            <w:hideMark/>
          </w:tcPr>
          <w:p w14:paraId="5A41B0C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Revue annuelle UNDAF</w:t>
            </w:r>
          </w:p>
        </w:tc>
        <w:tc>
          <w:tcPr>
            <w:tcW w:w="1200" w:type="dxa"/>
            <w:tcBorders>
              <w:top w:val="nil"/>
              <w:left w:val="nil"/>
              <w:bottom w:val="single" w:sz="4" w:space="0" w:color="auto"/>
              <w:right w:val="single" w:sz="4" w:space="0" w:color="auto"/>
            </w:tcBorders>
            <w:shd w:val="clear" w:color="000000" w:fill="BDD6EE"/>
            <w:vAlign w:val="center"/>
            <w:hideMark/>
          </w:tcPr>
          <w:p w14:paraId="25274C43"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6FA55FE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65C4E2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0E2DE03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0FE84FB"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0F40481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RCO</w:t>
            </w:r>
          </w:p>
        </w:tc>
        <w:tc>
          <w:tcPr>
            <w:tcW w:w="1200" w:type="dxa"/>
            <w:tcBorders>
              <w:top w:val="nil"/>
              <w:left w:val="nil"/>
              <w:bottom w:val="single" w:sz="4" w:space="0" w:color="auto"/>
              <w:right w:val="single" w:sz="4" w:space="0" w:color="auto"/>
            </w:tcBorders>
            <w:shd w:val="clear" w:color="000000" w:fill="BDD6EE"/>
            <w:vAlign w:val="center"/>
            <w:hideMark/>
          </w:tcPr>
          <w:p w14:paraId="301B131E"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20 000</w:t>
            </w:r>
          </w:p>
        </w:tc>
        <w:tc>
          <w:tcPr>
            <w:tcW w:w="1200" w:type="dxa"/>
            <w:tcBorders>
              <w:top w:val="nil"/>
              <w:left w:val="nil"/>
              <w:bottom w:val="single" w:sz="4" w:space="0" w:color="auto"/>
              <w:right w:val="single" w:sz="4" w:space="0" w:color="auto"/>
            </w:tcBorders>
            <w:shd w:val="clear" w:color="000000" w:fill="BDD7EE"/>
            <w:vAlign w:val="center"/>
            <w:hideMark/>
          </w:tcPr>
          <w:p w14:paraId="19B9418A"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4</w:t>
            </w:r>
          </w:p>
        </w:tc>
        <w:tc>
          <w:tcPr>
            <w:tcW w:w="1200" w:type="dxa"/>
            <w:tcBorders>
              <w:top w:val="nil"/>
              <w:left w:val="nil"/>
              <w:bottom w:val="single" w:sz="4" w:space="0" w:color="auto"/>
              <w:right w:val="single" w:sz="4" w:space="0" w:color="auto"/>
            </w:tcBorders>
            <w:shd w:val="clear" w:color="000000" w:fill="BDD7EE"/>
            <w:noWrap/>
            <w:vAlign w:val="bottom"/>
            <w:hideMark/>
          </w:tcPr>
          <w:p w14:paraId="7314043A"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80 000</w:t>
            </w:r>
          </w:p>
        </w:tc>
      </w:tr>
      <w:tr w:rsidR="00AB1CC5" w:rsidRPr="00AB1CC5" w14:paraId="5A81289F" w14:textId="77777777" w:rsidTr="00520C99">
        <w:trPr>
          <w:trHeight w:val="315"/>
        </w:trPr>
        <w:tc>
          <w:tcPr>
            <w:tcW w:w="1200" w:type="dxa"/>
            <w:vMerge/>
            <w:tcBorders>
              <w:top w:val="nil"/>
              <w:left w:val="single" w:sz="4" w:space="0" w:color="auto"/>
              <w:bottom w:val="single" w:sz="4" w:space="0" w:color="auto"/>
              <w:right w:val="single" w:sz="4" w:space="0" w:color="auto"/>
            </w:tcBorders>
            <w:vAlign w:val="center"/>
            <w:hideMark/>
          </w:tcPr>
          <w:p w14:paraId="4485A73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566D73B9" w14:textId="439FE37D"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Missions conjointes de suivi</w:t>
            </w:r>
          </w:p>
        </w:tc>
        <w:tc>
          <w:tcPr>
            <w:tcW w:w="1200" w:type="dxa"/>
            <w:tcBorders>
              <w:top w:val="nil"/>
              <w:left w:val="nil"/>
              <w:bottom w:val="single" w:sz="4" w:space="0" w:color="auto"/>
              <w:right w:val="single" w:sz="4" w:space="0" w:color="auto"/>
            </w:tcBorders>
            <w:shd w:val="clear" w:color="000000" w:fill="BDD6EE"/>
            <w:vAlign w:val="center"/>
            <w:hideMark/>
          </w:tcPr>
          <w:p w14:paraId="3FFD729F"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7923259C"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5466C86F"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0624206C"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2FC7766"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A7D455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RCO</w:t>
            </w:r>
          </w:p>
        </w:tc>
        <w:tc>
          <w:tcPr>
            <w:tcW w:w="1200" w:type="dxa"/>
            <w:tcBorders>
              <w:top w:val="nil"/>
              <w:left w:val="nil"/>
              <w:bottom w:val="single" w:sz="4" w:space="0" w:color="auto"/>
              <w:right w:val="single" w:sz="4" w:space="0" w:color="auto"/>
            </w:tcBorders>
            <w:shd w:val="clear" w:color="000000" w:fill="BDD6EE"/>
            <w:vAlign w:val="center"/>
            <w:hideMark/>
          </w:tcPr>
          <w:p w14:paraId="52D91648"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10 000</w:t>
            </w:r>
          </w:p>
        </w:tc>
        <w:tc>
          <w:tcPr>
            <w:tcW w:w="1200" w:type="dxa"/>
            <w:tcBorders>
              <w:top w:val="nil"/>
              <w:left w:val="nil"/>
              <w:bottom w:val="single" w:sz="4" w:space="0" w:color="auto"/>
              <w:right w:val="single" w:sz="4" w:space="0" w:color="auto"/>
            </w:tcBorders>
            <w:shd w:val="clear" w:color="000000" w:fill="BDD7EE"/>
            <w:noWrap/>
            <w:vAlign w:val="bottom"/>
            <w:hideMark/>
          </w:tcPr>
          <w:p w14:paraId="6D38AA89"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BDD7EE"/>
            <w:noWrap/>
            <w:vAlign w:val="bottom"/>
            <w:hideMark/>
          </w:tcPr>
          <w:p w14:paraId="31F33691"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50 000</w:t>
            </w:r>
          </w:p>
        </w:tc>
      </w:tr>
      <w:tr w:rsidR="00AB1CC5" w:rsidRPr="00AB1CC5" w14:paraId="7465F346" w14:textId="77777777" w:rsidTr="00520C99">
        <w:trPr>
          <w:trHeight w:val="945"/>
        </w:trPr>
        <w:tc>
          <w:tcPr>
            <w:tcW w:w="1200" w:type="dxa"/>
            <w:vMerge/>
            <w:tcBorders>
              <w:top w:val="nil"/>
              <w:left w:val="single" w:sz="4" w:space="0" w:color="auto"/>
              <w:bottom w:val="single" w:sz="4" w:space="0" w:color="auto"/>
              <w:right w:val="single" w:sz="4" w:space="0" w:color="auto"/>
            </w:tcBorders>
            <w:vAlign w:val="center"/>
            <w:hideMark/>
          </w:tcPr>
          <w:p w14:paraId="280054B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2FBE10F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Rapport National sur le Développement Humain (RNDH)</w:t>
            </w:r>
          </w:p>
        </w:tc>
        <w:tc>
          <w:tcPr>
            <w:tcW w:w="1200" w:type="dxa"/>
            <w:tcBorders>
              <w:top w:val="nil"/>
              <w:left w:val="nil"/>
              <w:bottom w:val="single" w:sz="4" w:space="0" w:color="auto"/>
              <w:right w:val="single" w:sz="4" w:space="0" w:color="auto"/>
            </w:tcBorders>
            <w:shd w:val="clear" w:color="000000" w:fill="BDD6EE"/>
            <w:vAlign w:val="center"/>
            <w:hideMark/>
          </w:tcPr>
          <w:p w14:paraId="299CFD6A"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06B29BC3"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D0E299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735D22BF"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570AE46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57E86C2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PNUD</w:t>
            </w:r>
          </w:p>
        </w:tc>
        <w:tc>
          <w:tcPr>
            <w:tcW w:w="1200" w:type="dxa"/>
            <w:tcBorders>
              <w:top w:val="nil"/>
              <w:left w:val="nil"/>
              <w:bottom w:val="single" w:sz="4" w:space="0" w:color="auto"/>
              <w:right w:val="single" w:sz="4" w:space="0" w:color="auto"/>
            </w:tcBorders>
            <w:shd w:val="clear" w:color="000000" w:fill="BDD6EE"/>
            <w:vAlign w:val="center"/>
            <w:hideMark/>
          </w:tcPr>
          <w:p w14:paraId="0A88F061"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25 000</w:t>
            </w:r>
          </w:p>
        </w:tc>
        <w:tc>
          <w:tcPr>
            <w:tcW w:w="1200" w:type="dxa"/>
            <w:tcBorders>
              <w:top w:val="nil"/>
              <w:left w:val="nil"/>
              <w:bottom w:val="single" w:sz="4" w:space="0" w:color="auto"/>
              <w:right w:val="single" w:sz="4" w:space="0" w:color="auto"/>
            </w:tcBorders>
            <w:shd w:val="clear" w:color="000000" w:fill="BDD7EE"/>
            <w:noWrap/>
            <w:vAlign w:val="bottom"/>
            <w:hideMark/>
          </w:tcPr>
          <w:p w14:paraId="427A6A2B"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3</w:t>
            </w:r>
          </w:p>
        </w:tc>
        <w:tc>
          <w:tcPr>
            <w:tcW w:w="1200" w:type="dxa"/>
            <w:tcBorders>
              <w:top w:val="nil"/>
              <w:left w:val="nil"/>
              <w:bottom w:val="single" w:sz="4" w:space="0" w:color="auto"/>
              <w:right w:val="single" w:sz="4" w:space="0" w:color="auto"/>
            </w:tcBorders>
            <w:shd w:val="clear" w:color="000000" w:fill="BDD7EE"/>
            <w:noWrap/>
            <w:vAlign w:val="bottom"/>
            <w:hideMark/>
          </w:tcPr>
          <w:p w14:paraId="6D47BE8C"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75 000</w:t>
            </w:r>
          </w:p>
        </w:tc>
      </w:tr>
      <w:tr w:rsidR="00AB1CC5" w:rsidRPr="00AB1CC5" w14:paraId="2B9A3FE7"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0632AC5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610AF68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Rapport National de progrès sur les ODD</w:t>
            </w:r>
          </w:p>
        </w:tc>
        <w:tc>
          <w:tcPr>
            <w:tcW w:w="1200" w:type="dxa"/>
            <w:tcBorders>
              <w:top w:val="nil"/>
              <w:left w:val="nil"/>
              <w:bottom w:val="single" w:sz="4" w:space="0" w:color="auto"/>
              <w:right w:val="single" w:sz="4" w:space="0" w:color="auto"/>
            </w:tcBorders>
            <w:shd w:val="clear" w:color="000000" w:fill="BDD6EE"/>
            <w:vAlign w:val="center"/>
            <w:hideMark/>
          </w:tcPr>
          <w:p w14:paraId="7C9F655D"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0A008AF6"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51DFC1AE"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016008A"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71F56D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485281F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PNUD</w:t>
            </w:r>
          </w:p>
        </w:tc>
        <w:tc>
          <w:tcPr>
            <w:tcW w:w="1200" w:type="dxa"/>
            <w:tcBorders>
              <w:top w:val="nil"/>
              <w:left w:val="nil"/>
              <w:bottom w:val="single" w:sz="4" w:space="0" w:color="auto"/>
              <w:right w:val="single" w:sz="4" w:space="0" w:color="auto"/>
            </w:tcBorders>
            <w:shd w:val="clear" w:color="000000" w:fill="BDD6EE"/>
            <w:vAlign w:val="center"/>
            <w:hideMark/>
          </w:tcPr>
          <w:p w14:paraId="2050CC1B"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20 000</w:t>
            </w:r>
          </w:p>
        </w:tc>
        <w:tc>
          <w:tcPr>
            <w:tcW w:w="1200" w:type="dxa"/>
            <w:tcBorders>
              <w:top w:val="nil"/>
              <w:left w:val="nil"/>
              <w:bottom w:val="single" w:sz="4" w:space="0" w:color="auto"/>
              <w:right w:val="single" w:sz="4" w:space="0" w:color="auto"/>
            </w:tcBorders>
            <w:shd w:val="clear" w:color="000000" w:fill="BDD7EE"/>
            <w:noWrap/>
            <w:vAlign w:val="bottom"/>
            <w:hideMark/>
          </w:tcPr>
          <w:p w14:paraId="56B2E67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3</w:t>
            </w:r>
          </w:p>
        </w:tc>
        <w:tc>
          <w:tcPr>
            <w:tcW w:w="1200" w:type="dxa"/>
            <w:tcBorders>
              <w:top w:val="nil"/>
              <w:left w:val="nil"/>
              <w:bottom w:val="single" w:sz="4" w:space="0" w:color="auto"/>
              <w:right w:val="single" w:sz="4" w:space="0" w:color="auto"/>
            </w:tcBorders>
            <w:shd w:val="clear" w:color="000000" w:fill="BDD7EE"/>
            <w:noWrap/>
            <w:vAlign w:val="bottom"/>
            <w:hideMark/>
          </w:tcPr>
          <w:p w14:paraId="283F9DEC"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60 000</w:t>
            </w:r>
          </w:p>
        </w:tc>
      </w:tr>
      <w:tr w:rsidR="00AB1CC5" w:rsidRPr="00AB1CC5" w14:paraId="55F5DBB2"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57923A3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1FD10E4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Rapport JMP (WASH)</w:t>
            </w:r>
          </w:p>
        </w:tc>
        <w:tc>
          <w:tcPr>
            <w:tcW w:w="1200" w:type="dxa"/>
            <w:tcBorders>
              <w:top w:val="nil"/>
              <w:left w:val="nil"/>
              <w:bottom w:val="single" w:sz="4" w:space="0" w:color="auto"/>
              <w:right w:val="single" w:sz="4" w:space="0" w:color="auto"/>
            </w:tcBorders>
            <w:shd w:val="clear" w:color="000000" w:fill="BDD6EE"/>
            <w:vAlign w:val="center"/>
            <w:hideMark/>
          </w:tcPr>
          <w:p w14:paraId="321D84A6"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1769964"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2DE756F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EFF0537"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877C228"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656054B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UNICEF-OMS</w:t>
            </w:r>
          </w:p>
        </w:tc>
        <w:tc>
          <w:tcPr>
            <w:tcW w:w="1200" w:type="dxa"/>
            <w:tcBorders>
              <w:top w:val="nil"/>
              <w:left w:val="nil"/>
              <w:bottom w:val="single" w:sz="4" w:space="0" w:color="auto"/>
              <w:right w:val="single" w:sz="4" w:space="0" w:color="auto"/>
            </w:tcBorders>
            <w:shd w:val="clear" w:color="000000" w:fill="BDD6EE"/>
            <w:vAlign w:val="center"/>
            <w:hideMark/>
          </w:tcPr>
          <w:p w14:paraId="3B9DF42D"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20 000</w:t>
            </w:r>
          </w:p>
        </w:tc>
        <w:tc>
          <w:tcPr>
            <w:tcW w:w="1200" w:type="dxa"/>
            <w:tcBorders>
              <w:top w:val="nil"/>
              <w:left w:val="nil"/>
              <w:bottom w:val="single" w:sz="4" w:space="0" w:color="auto"/>
              <w:right w:val="single" w:sz="4" w:space="0" w:color="auto"/>
            </w:tcBorders>
            <w:shd w:val="clear" w:color="000000" w:fill="BDD7EE"/>
            <w:noWrap/>
            <w:vAlign w:val="bottom"/>
            <w:hideMark/>
          </w:tcPr>
          <w:p w14:paraId="35AD2F1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BDD7EE"/>
            <w:noWrap/>
            <w:vAlign w:val="bottom"/>
            <w:hideMark/>
          </w:tcPr>
          <w:p w14:paraId="4FF3C5BE"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100 000</w:t>
            </w:r>
          </w:p>
        </w:tc>
      </w:tr>
      <w:tr w:rsidR="00AB1CC5" w:rsidRPr="00AB1CC5" w14:paraId="4401E176"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53FA150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3C06885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Analyse de la situation des femmes et des enfants</w:t>
            </w:r>
          </w:p>
        </w:tc>
        <w:tc>
          <w:tcPr>
            <w:tcW w:w="1200" w:type="dxa"/>
            <w:tcBorders>
              <w:top w:val="nil"/>
              <w:left w:val="nil"/>
              <w:bottom w:val="single" w:sz="4" w:space="0" w:color="auto"/>
              <w:right w:val="single" w:sz="4" w:space="0" w:color="auto"/>
            </w:tcBorders>
            <w:shd w:val="clear" w:color="000000" w:fill="BDD6EE"/>
            <w:vAlign w:val="center"/>
            <w:hideMark/>
          </w:tcPr>
          <w:p w14:paraId="61A830D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C658DE8"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2F01B7CD"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6FF507FD"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264070EB"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1138B28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BDD6EE"/>
            <w:vAlign w:val="center"/>
            <w:hideMark/>
          </w:tcPr>
          <w:p w14:paraId="47259FA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20 000</w:t>
            </w:r>
          </w:p>
        </w:tc>
        <w:tc>
          <w:tcPr>
            <w:tcW w:w="1200" w:type="dxa"/>
            <w:tcBorders>
              <w:top w:val="nil"/>
              <w:left w:val="nil"/>
              <w:bottom w:val="single" w:sz="4" w:space="0" w:color="auto"/>
              <w:right w:val="single" w:sz="4" w:space="0" w:color="auto"/>
            </w:tcBorders>
            <w:shd w:val="clear" w:color="000000" w:fill="BDD7EE"/>
            <w:noWrap/>
            <w:vAlign w:val="bottom"/>
            <w:hideMark/>
          </w:tcPr>
          <w:p w14:paraId="096A0BB5"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w:t>
            </w:r>
          </w:p>
        </w:tc>
        <w:tc>
          <w:tcPr>
            <w:tcW w:w="1200" w:type="dxa"/>
            <w:tcBorders>
              <w:top w:val="nil"/>
              <w:left w:val="nil"/>
              <w:bottom w:val="single" w:sz="4" w:space="0" w:color="auto"/>
              <w:right w:val="single" w:sz="4" w:space="0" w:color="auto"/>
            </w:tcBorders>
            <w:shd w:val="clear" w:color="000000" w:fill="BDD7EE"/>
            <w:noWrap/>
            <w:vAlign w:val="bottom"/>
            <w:hideMark/>
          </w:tcPr>
          <w:p w14:paraId="444FC9EA"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40 000</w:t>
            </w:r>
          </w:p>
        </w:tc>
      </w:tr>
      <w:tr w:rsidR="00AB1CC5" w:rsidRPr="00AB1CC5" w14:paraId="369C7A3C"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1733425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2484A83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Rapports aux organes des traités</w:t>
            </w:r>
          </w:p>
        </w:tc>
        <w:tc>
          <w:tcPr>
            <w:tcW w:w="1200" w:type="dxa"/>
            <w:tcBorders>
              <w:top w:val="nil"/>
              <w:left w:val="nil"/>
              <w:bottom w:val="single" w:sz="4" w:space="0" w:color="auto"/>
              <w:right w:val="single" w:sz="4" w:space="0" w:color="auto"/>
            </w:tcBorders>
            <w:shd w:val="clear" w:color="000000" w:fill="BDD6EE"/>
            <w:vAlign w:val="center"/>
            <w:hideMark/>
          </w:tcPr>
          <w:p w14:paraId="10374BE9"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467E703"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1162EDE"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B10A6C9"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68DB1FF8"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9665AB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OCHDH</w:t>
            </w:r>
          </w:p>
        </w:tc>
        <w:tc>
          <w:tcPr>
            <w:tcW w:w="1200" w:type="dxa"/>
            <w:tcBorders>
              <w:top w:val="nil"/>
              <w:left w:val="nil"/>
              <w:bottom w:val="single" w:sz="4" w:space="0" w:color="auto"/>
              <w:right w:val="single" w:sz="4" w:space="0" w:color="auto"/>
            </w:tcBorders>
            <w:shd w:val="clear" w:color="000000" w:fill="BDD6EE"/>
            <w:vAlign w:val="center"/>
            <w:hideMark/>
          </w:tcPr>
          <w:p w14:paraId="26B2EE5B"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30 000</w:t>
            </w:r>
          </w:p>
        </w:tc>
        <w:tc>
          <w:tcPr>
            <w:tcW w:w="1200" w:type="dxa"/>
            <w:tcBorders>
              <w:top w:val="nil"/>
              <w:left w:val="nil"/>
              <w:bottom w:val="single" w:sz="4" w:space="0" w:color="auto"/>
              <w:right w:val="single" w:sz="4" w:space="0" w:color="auto"/>
            </w:tcBorders>
            <w:shd w:val="clear" w:color="000000" w:fill="BDD7EE"/>
            <w:noWrap/>
            <w:vAlign w:val="bottom"/>
            <w:hideMark/>
          </w:tcPr>
          <w:p w14:paraId="396EE4A9"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BDD7EE"/>
            <w:noWrap/>
            <w:vAlign w:val="bottom"/>
            <w:hideMark/>
          </w:tcPr>
          <w:p w14:paraId="6E470BCC"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150 000</w:t>
            </w:r>
          </w:p>
        </w:tc>
      </w:tr>
      <w:tr w:rsidR="00AB1CC5" w:rsidRPr="00AB1CC5" w14:paraId="5B885787" w14:textId="77777777" w:rsidTr="00520C99">
        <w:trPr>
          <w:trHeight w:val="945"/>
        </w:trPr>
        <w:tc>
          <w:tcPr>
            <w:tcW w:w="1200" w:type="dxa"/>
            <w:vMerge/>
            <w:tcBorders>
              <w:top w:val="nil"/>
              <w:left w:val="single" w:sz="4" w:space="0" w:color="auto"/>
              <w:bottom w:val="single" w:sz="4" w:space="0" w:color="auto"/>
              <w:right w:val="single" w:sz="4" w:space="0" w:color="auto"/>
            </w:tcBorders>
            <w:vAlign w:val="center"/>
            <w:hideMark/>
          </w:tcPr>
          <w:p w14:paraId="2C0A23A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1C062E3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Suivi des recommandations des rapports aux organes et traités</w:t>
            </w:r>
          </w:p>
        </w:tc>
        <w:tc>
          <w:tcPr>
            <w:tcW w:w="1200" w:type="dxa"/>
            <w:tcBorders>
              <w:top w:val="nil"/>
              <w:left w:val="nil"/>
              <w:bottom w:val="single" w:sz="4" w:space="0" w:color="auto"/>
              <w:right w:val="single" w:sz="4" w:space="0" w:color="auto"/>
            </w:tcBorders>
            <w:shd w:val="clear" w:color="000000" w:fill="BDD6EE"/>
            <w:vAlign w:val="center"/>
            <w:hideMark/>
          </w:tcPr>
          <w:p w14:paraId="34287D9A"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0675391"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66FD944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292D4C65"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49D87CCF"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138DAE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OCHDH</w:t>
            </w:r>
          </w:p>
        </w:tc>
        <w:tc>
          <w:tcPr>
            <w:tcW w:w="1200" w:type="dxa"/>
            <w:tcBorders>
              <w:top w:val="nil"/>
              <w:left w:val="nil"/>
              <w:bottom w:val="single" w:sz="4" w:space="0" w:color="auto"/>
              <w:right w:val="single" w:sz="4" w:space="0" w:color="auto"/>
            </w:tcBorders>
            <w:shd w:val="clear" w:color="000000" w:fill="BDD6EE"/>
            <w:vAlign w:val="center"/>
            <w:hideMark/>
          </w:tcPr>
          <w:p w14:paraId="4D33AC1C"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5 000</w:t>
            </w:r>
          </w:p>
        </w:tc>
        <w:tc>
          <w:tcPr>
            <w:tcW w:w="1200" w:type="dxa"/>
            <w:tcBorders>
              <w:top w:val="nil"/>
              <w:left w:val="nil"/>
              <w:bottom w:val="single" w:sz="4" w:space="0" w:color="auto"/>
              <w:right w:val="single" w:sz="4" w:space="0" w:color="auto"/>
            </w:tcBorders>
            <w:shd w:val="clear" w:color="000000" w:fill="BDD7EE"/>
            <w:noWrap/>
            <w:vAlign w:val="bottom"/>
            <w:hideMark/>
          </w:tcPr>
          <w:p w14:paraId="525E8B3B"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BDD7EE"/>
            <w:noWrap/>
            <w:vAlign w:val="bottom"/>
            <w:hideMark/>
          </w:tcPr>
          <w:p w14:paraId="10104734"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25 000</w:t>
            </w:r>
          </w:p>
        </w:tc>
      </w:tr>
      <w:tr w:rsidR="00AB1CC5" w:rsidRPr="00AB1CC5" w14:paraId="5FCFF420" w14:textId="77777777" w:rsidTr="00520C99">
        <w:trPr>
          <w:trHeight w:val="315"/>
        </w:trPr>
        <w:tc>
          <w:tcPr>
            <w:tcW w:w="1200" w:type="dxa"/>
            <w:vMerge/>
            <w:tcBorders>
              <w:top w:val="nil"/>
              <w:left w:val="single" w:sz="4" w:space="0" w:color="auto"/>
              <w:bottom w:val="single" w:sz="4" w:space="0" w:color="auto"/>
              <w:right w:val="single" w:sz="4" w:space="0" w:color="auto"/>
            </w:tcBorders>
            <w:vAlign w:val="center"/>
            <w:hideMark/>
          </w:tcPr>
          <w:p w14:paraId="1892B46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4F1EBB0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Etat de la population</w:t>
            </w:r>
          </w:p>
        </w:tc>
        <w:tc>
          <w:tcPr>
            <w:tcW w:w="1200" w:type="dxa"/>
            <w:tcBorders>
              <w:top w:val="nil"/>
              <w:left w:val="nil"/>
              <w:bottom w:val="single" w:sz="4" w:space="0" w:color="auto"/>
              <w:right w:val="single" w:sz="4" w:space="0" w:color="auto"/>
            </w:tcBorders>
            <w:shd w:val="clear" w:color="000000" w:fill="BDD6EE"/>
            <w:vAlign w:val="center"/>
            <w:hideMark/>
          </w:tcPr>
          <w:p w14:paraId="68F950C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F9C072E"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5FCC4E58"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BE66F9E"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1254DE96"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5CEBE05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UNFPA</w:t>
            </w:r>
          </w:p>
        </w:tc>
        <w:tc>
          <w:tcPr>
            <w:tcW w:w="1200" w:type="dxa"/>
            <w:tcBorders>
              <w:top w:val="nil"/>
              <w:left w:val="nil"/>
              <w:bottom w:val="single" w:sz="4" w:space="0" w:color="auto"/>
              <w:right w:val="single" w:sz="4" w:space="0" w:color="auto"/>
            </w:tcBorders>
            <w:shd w:val="clear" w:color="000000" w:fill="BDD6EE"/>
            <w:vAlign w:val="center"/>
            <w:hideMark/>
          </w:tcPr>
          <w:p w14:paraId="6009ED6D"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150 000</w:t>
            </w:r>
          </w:p>
        </w:tc>
        <w:tc>
          <w:tcPr>
            <w:tcW w:w="1200" w:type="dxa"/>
            <w:tcBorders>
              <w:top w:val="nil"/>
              <w:left w:val="nil"/>
              <w:bottom w:val="single" w:sz="4" w:space="0" w:color="auto"/>
              <w:right w:val="single" w:sz="4" w:space="0" w:color="auto"/>
            </w:tcBorders>
            <w:shd w:val="clear" w:color="000000" w:fill="BDD7EE"/>
            <w:noWrap/>
            <w:vAlign w:val="bottom"/>
            <w:hideMark/>
          </w:tcPr>
          <w:p w14:paraId="77E6528D"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BDD7EE"/>
            <w:noWrap/>
            <w:vAlign w:val="bottom"/>
            <w:hideMark/>
          </w:tcPr>
          <w:p w14:paraId="59F9D0E6"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750 000</w:t>
            </w:r>
          </w:p>
        </w:tc>
      </w:tr>
      <w:tr w:rsidR="00AB1CC5" w:rsidRPr="00AB1CC5" w14:paraId="03532B99"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47D5510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BDD6EE"/>
            <w:vAlign w:val="center"/>
            <w:hideMark/>
          </w:tcPr>
          <w:p w14:paraId="5D927ED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xml:space="preserve">Rapport de l’état du système éducatif national </w:t>
            </w:r>
          </w:p>
        </w:tc>
        <w:tc>
          <w:tcPr>
            <w:tcW w:w="1200" w:type="dxa"/>
            <w:tcBorders>
              <w:top w:val="nil"/>
              <w:left w:val="nil"/>
              <w:bottom w:val="single" w:sz="4" w:space="0" w:color="auto"/>
              <w:right w:val="single" w:sz="4" w:space="0" w:color="auto"/>
            </w:tcBorders>
            <w:shd w:val="clear" w:color="000000" w:fill="BDD6EE"/>
            <w:vAlign w:val="center"/>
            <w:hideMark/>
          </w:tcPr>
          <w:p w14:paraId="5818DD4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4CED476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45D9221E"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BDD6EE"/>
            <w:vAlign w:val="center"/>
            <w:hideMark/>
          </w:tcPr>
          <w:p w14:paraId="35FEC1B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95AB47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77CA266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UNESCO</w:t>
            </w:r>
          </w:p>
        </w:tc>
        <w:tc>
          <w:tcPr>
            <w:tcW w:w="1200" w:type="dxa"/>
            <w:tcBorders>
              <w:top w:val="nil"/>
              <w:left w:val="nil"/>
              <w:bottom w:val="single" w:sz="4" w:space="0" w:color="auto"/>
              <w:right w:val="single" w:sz="4" w:space="0" w:color="auto"/>
            </w:tcBorders>
            <w:shd w:val="clear" w:color="000000" w:fill="BDD6EE"/>
            <w:vAlign w:val="center"/>
            <w:hideMark/>
          </w:tcPr>
          <w:p w14:paraId="213009D9"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50 000</w:t>
            </w:r>
          </w:p>
        </w:tc>
        <w:tc>
          <w:tcPr>
            <w:tcW w:w="1200" w:type="dxa"/>
            <w:tcBorders>
              <w:top w:val="nil"/>
              <w:left w:val="nil"/>
              <w:bottom w:val="single" w:sz="4" w:space="0" w:color="auto"/>
              <w:right w:val="single" w:sz="4" w:space="0" w:color="auto"/>
            </w:tcBorders>
            <w:shd w:val="clear" w:color="000000" w:fill="BDD7EE"/>
            <w:noWrap/>
            <w:vAlign w:val="bottom"/>
            <w:hideMark/>
          </w:tcPr>
          <w:p w14:paraId="4AF687CC"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w:t>
            </w:r>
          </w:p>
        </w:tc>
        <w:tc>
          <w:tcPr>
            <w:tcW w:w="1200" w:type="dxa"/>
            <w:tcBorders>
              <w:top w:val="nil"/>
              <w:left w:val="nil"/>
              <w:bottom w:val="single" w:sz="4" w:space="0" w:color="auto"/>
              <w:right w:val="single" w:sz="4" w:space="0" w:color="auto"/>
            </w:tcBorders>
            <w:shd w:val="clear" w:color="000000" w:fill="BDD7EE"/>
            <w:noWrap/>
            <w:vAlign w:val="bottom"/>
            <w:hideMark/>
          </w:tcPr>
          <w:p w14:paraId="6EC47F4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50 000</w:t>
            </w:r>
          </w:p>
        </w:tc>
      </w:tr>
      <w:tr w:rsidR="00AB1CC5" w:rsidRPr="00AB1CC5" w14:paraId="75543D8D"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BDD6EE"/>
            <w:vAlign w:val="center"/>
            <w:hideMark/>
          </w:tcPr>
          <w:p w14:paraId="28BC429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xml:space="preserve">S/Total </w:t>
            </w:r>
          </w:p>
        </w:tc>
        <w:tc>
          <w:tcPr>
            <w:tcW w:w="2740" w:type="dxa"/>
            <w:tcBorders>
              <w:top w:val="nil"/>
              <w:left w:val="nil"/>
              <w:bottom w:val="single" w:sz="4" w:space="0" w:color="auto"/>
              <w:right w:val="single" w:sz="4" w:space="0" w:color="auto"/>
            </w:tcBorders>
            <w:shd w:val="clear" w:color="000000" w:fill="BDD6EE"/>
            <w:vAlign w:val="center"/>
            <w:hideMark/>
          </w:tcPr>
          <w:p w14:paraId="59540CB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87912F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27D8531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30F83AED"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3DF957F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21B0453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025D434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6EE"/>
            <w:vAlign w:val="center"/>
            <w:hideMark/>
          </w:tcPr>
          <w:p w14:paraId="4EEBAA6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7EE"/>
            <w:noWrap/>
            <w:vAlign w:val="bottom"/>
            <w:hideMark/>
          </w:tcPr>
          <w:p w14:paraId="41F50B8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BDD7EE"/>
            <w:noWrap/>
            <w:vAlign w:val="bottom"/>
            <w:hideMark/>
          </w:tcPr>
          <w:p w14:paraId="70C94B22"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1 380 000</w:t>
            </w:r>
          </w:p>
        </w:tc>
      </w:tr>
      <w:tr w:rsidR="00AB1CC5" w:rsidRPr="00AB1CC5" w14:paraId="4610544A"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9CC2E5"/>
            <w:vAlign w:val="center"/>
            <w:hideMark/>
          </w:tcPr>
          <w:p w14:paraId="3BCA412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Enquêtes</w:t>
            </w:r>
          </w:p>
        </w:tc>
        <w:tc>
          <w:tcPr>
            <w:tcW w:w="2740" w:type="dxa"/>
            <w:tcBorders>
              <w:top w:val="nil"/>
              <w:left w:val="nil"/>
              <w:bottom w:val="single" w:sz="4" w:space="0" w:color="auto"/>
              <w:right w:val="single" w:sz="4" w:space="0" w:color="auto"/>
            </w:tcBorders>
            <w:shd w:val="clear" w:color="000000" w:fill="9CC2E5"/>
            <w:vAlign w:val="center"/>
            <w:hideMark/>
          </w:tcPr>
          <w:p w14:paraId="5931996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ED60AE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46C687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DF0EB2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7E7956E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10070CA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797CE92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480AA8B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5BF712A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3094586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30DC8631" w14:textId="77777777" w:rsidTr="00520C99">
        <w:trPr>
          <w:trHeight w:val="315"/>
        </w:trPr>
        <w:tc>
          <w:tcPr>
            <w:tcW w:w="1200" w:type="dxa"/>
            <w:vMerge w:val="restart"/>
            <w:tcBorders>
              <w:top w:val="nil"/>
              <w:left w:val="single" w:sz="4" w:space="0" w:color="auto"/>
              <w:bottom w:val="single" w:sz="4" w:space="0" w:color="auto"/>
              <w:right w:val="single" w:sz="4" w:space="0" w:color="auto"/>
            </w:tcBorders>
            <w:shd w:val="clear" w:color="000000" w:fill="9CC2E5"/>
            <w:vAlign w:val="center"/>
            <w:hideMark/>
          </w:tcPr>
          <w:p w14:paraId="7B7E71C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9CC2E5"/>
            <w:vAlign w:val="center"/>
            <w:hideMark/>
          </w:tcPr>
          <w:p w14:paraId="3CE093E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MICS</w:t>
            </w:r>
          </w:p>
        </w:tc>
        <w:tc>
          <w:tcPr>
            <w:tcW w:w="1200" w:type="dxa"/>
            <w:tcBorders>
              <w:top w:val="nil"/>
              <w:left w:val="nil"/>
              <w:bottom w:val="single" w:sz="4" w:space="0" w:color="auto"/>
              <w:right w:val="single" w:sz="4" w:space="0" w:color="auto"/>
            </w:tcBorders>
            <w:shd w:val="clear" w:color="000000" w:fill="9CC2E5"/>
            <w:vAlign w:val="center"/>
            <w:hideMark/>
          </w:tcPr>
          <w:p w14:paraId="0E97A578"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6AB3B32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0AEDA33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99BFF2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0974FA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7D7C27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9CC2E5"/>
            <w:vAlign w:val="center"/>
            <w:hideMark/>
          </w:tcPr>
          <w:p w14:paraId="0B4D02D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500 000</w:t>
            </w:r>
          </w:p>
        </w:tc>
        <w:tc>
          <w:tcPr>
            <w:tcW w:w="1200" w:type="dxa"/>
            <w:tcBorders>
              <w:top w:val="nil"/>
              <w:left w:val="nil"/>
              <w:bottom w:val="single" w:sz="4" w:space="0" w:color="auto"/>
              <w:right w:val="single" w:sz="4" w:space="0" w:color="auto"/>
            </w:tcBorders>
            <w:shd w:val="clear" w:color="000000" w:fill="9BC2E6"/>
            <w:noWrap/>
            <w:vAlign w:val="bottom"/>
            <w:hideMark/>
          </w:tcPr>
          <w:p w14:paraId="2471B16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w:t>
            </w:r>
          </w:p>
        </w:tc>
        <w:tc>
          <w:tcPr>
            <w:tcW w:w="1200" w:type="dxa"/>
            <w:tcBorders>
              <w:top w:val="nil"/>
              <w:left w:val="nil"/>
              <w:bottom w:val="single" w:sz="4" w:space="0" w:color="auto"/>
              <w:right w:val="single" w:sz="4" w:space="0" w:color="auto"/>
            </w:tcBorders>
            <w:shd w:val="clear" w:color="000000" w:fill="9BC2E6"/>
            <w:noWrap/>
            <w:vAlign w:val="bottom"/>
            <w:hideMark/>
          </w:tcPr>
          <w:p w14:paraId="38AF1C4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500 000</w:t>
            </w:r>
          </w:p>
        </w:tc>
      </w:tr>
      <w:tr w:rsidR="00AB1CC5" w:rsidRPr="00AB1CC5" w14:paraId="7F6F3EB8" w14:textId="77777777" w:rsidTr="00520C99">
        <w:trPr>
          <w:trHeight w:val="315"/>
        </w:trPr>
        <w:tc>
          <w:tcPr>
            <w:tcW w:w="1200" w:type="dxa"/>
            <w:vMerge/>
            <w:tcBorders>
              <w:top w:val="nil"/>
              <w:left w:val="single" w:sz="4" w:space="0" w:color="auto"/>
              <w:bottom w:val="single" w:sz="4" w:space="0" w:color="auto"/>
              <w:right w:val="single" w:sz="4" w:space="0" w:color="auto"/>
            </w:tcBorders>
            <w:vAlign w:val="center"/>
            <w:hideMark/>
          </w:tcPr>
          <w:p w14:paraId="1714DAB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1616B0C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EDST-MICS</w:t>
            </w:r>
          </w:p>
        </w:tc>
        <w:tc>
          <w:tcPr>
            <w:tcW w:w="1200" w:type="dxa"/>
            <w:tcBorders>
              <w:top w:val="nil"/>
              <w:left w:val="nil"/>
              <w:bottom w:val="single" w:sz="4" w:space="0" w:color="auto"/>
              <w:right w:val="single" w:sz="4" w:space="0" w:color="auto"/>
            </w:tcBorders>
            <w:shd w:val="clear" w:color="000000" w:fill="9CC2E5"/>
            <w:vAlign w:val="center"/>
            <w:hideMark/>
          </w:tcPr>
          <w:p w14:paraId="7F88EBDA"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42CD0C6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4F62596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0B0BEFC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63F968D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72382D5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UNFPA</w:t>
            </w:r>
          </w:p>
        </w:tc>
        <w:tc>
          <w:tcPr>
            <w:tcW w:w="1200" w:type="dxa"/>
            <w:tcBorders>
              <w:top w:val="nil"/>
              <w:left w:val="nil"/>
              <w:bottom w:val="single" w:sz="4" w:space="0" w:color="auto"/>
              <w:right w:val="single" w:sz="4" w:space="0" w:color="auto"/>
            </w:tcBorders>
            <w:shd w:val="clear" w:color="000000" w:fill="9CC2E5"/>
            <w:vAlign w:val="center"/>
            <w:hideMark/>
          </w:tcPr>
          <w:p w14:paraId="70303AA5"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500 000</w:t>
            </w:r>
          </w:p>
        </w:tc>
        <w:tc>
          <w:tcPr>
            <w:tcW w:w="1200" w:type="dxa"/>
            <w:tcBorders>
              <w:top w:val="nil"/>
              <w:left w:val="nil"/>
              <w:bottom w:val="single" w:sz="4" w:space="0" w:color="auto"/>
              <w:right w:val="single" w:sz="4" w:space="0" w:color="auto"/>
            </w:tcBorders>
            <w:shd w:val="clear" w:color="000000" w:fill="9BC2E6"/>
            <w:noWrap/>
            <w:vAlign w:val="bottom"/>
            <w:hideMark/>
          </w:tcPr>
          <w:p w14:paraId="0546B645"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w:t>
            </w:r>
          </w:p>
        </w:tc>
        <w:tc>
          <w:tcPr>
            <w:tcW w:w="1200" w:type="dxa"/>
            <w:tcBorders>
              <w:top w:val="nil"/>
              <w:left w:val="nil"/>
              <w:bottom w:val="single" w:sz="4" w:space="0" w:color="auto"/>
              <w:right w:val="single" w:sz="4" w:space="0" w:color="auto"/>
            </w:tcBorders>
            <w:shd w:val="clear" w:color="000000" w:fill="9BC2E6"/>
            <w:noWrap/>
            <w:vAlign w:val="bottom"/>
            <w:hideMark/>
          </w:tcPr>
          <w:p w14:paraId="04CB1EF5"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500 000</w:t>
            </w:r>
          </w:p>
        </w:tc>
      </w:tr>
      <w:tr w:rsidR="00AB1CC5" w:rsidRPr="00AB1CC5" w14:paraId="527BFC3A"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69C60F0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6E3A846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 statistique secteur Education/Alphabétisation</w:t>
            </w:r>
          </w:p>
        </w:tc>
        <w:tc>
          <w:tcPr>
            <w:tcW w:w="1200" w:type="dxa"/>
            <w:tcBorders>
              <w:top w:val="nil"/>
              <w:left w:val="nil"/>
              <w:bottom w:val="single" w:sz="4" w:space="0" w:color="auto"/>
              <w:right w:val="single" w:sz="4" w:space="0" w:color="auto"/>
            </w:tcBorders>
            <w:shd w:val="clear" w:color="000000" w:fill="9CC2E5"/>
            <w:vAlign w:val="center"/>
            <w:hideMark/>
          </w:tcPr>
          <w:p w14:paraId="55F785D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13D5878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01BE2A4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7767C70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634AE8A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4BCB42E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UNESCO</w:t>
            </w:r>
          </w:p>
        </w:tc>
        <w:tc>
          <w:tcPr>
            <w:tcW w:w="1200" w:type="dxa"/>
            <w:tcBorders>
              <w:top w:val="nil"/>
              <w:left w:val="nil"/>
              <w:bottom w:val="single" w:sz="4" w:space="0" w:color="auto"/>
              <w:right w:val="single" w:sz="4" w:space="0" w:color="auto"/>
            </w:tcBorders>
            <w:shd w:val="clear" w:color="000000" w:fill="9CC2E5"/>
            <w:vAlign w:val="center"/>
            <w:hideMark/>
          </w:tcPr>
          <w:p w14:paraId="4FD3612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7B42F3F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5295A8D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315D9590" w14:textId="77777777" w:rsidTr="00520C99">
        <w:trPr>
          <w:trHeight w:val="945"/>
        </w:trPr>
        <w:tc>
          <w:tcPr>
            <w:tcW w:w="1200" w:type="dxa"/>
            <w:vMerge/>
            <w:tcBorders>
              <w:top w:val="nil"/>
              <w:left w:val="single" w:sz="4" w:space="0" w:color="auto"/>
              <w:bottom w:val="single" w:sz="4" w:space="0" w:color="auto"/>
              <w:right w:val="single" w:sz="4" w:space="0" w:color="auto"/>
            </w:tcBorders>
            <w:vAlign w:val="center"/>
            <w:hideMark/>
          </w:tcPr>
          <w:p w14:paraId="7988240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76DAC3A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 auprès des ménages sur l’utilisation des SSR et mariage des enfants</w:t>
            </w:r>
          </w:p>
        </w:tc>
        <w:tc>
          <w:tcPr>
            <w:tcW w:w="1200" w:type="dxa"/>
            <w:tcBorders>
              <w:top w:val="nil"/>
              <w:left w:val="nil"/>
              <w:bottom w:val="single" w:sz="4" w:space="0" w:color="auto"/>
              <w:right w:val="single" w:sz="4" w:space="0" w:color="auto"/>
            </w:tcBorders>
            <w:shd w:val="clear" w:color="000000" w:fill="9CC2E5"/>
            <w:vAlign w:val="center"/>
            <w:hideMark/>
          </w:tcPr>
          <w:p w14:paraId="4191F1C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16F4699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3983454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7C04BD6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CE4179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356A457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UNFPA</w:t>
            </w:r>
          </w:p>
        </w:tc>
        <w:tc>
          <w:tcPr>
            <w:tcW w:w="1200" w:type="dxa"/>
            <w:tcBorders>
              <w:top w:val="nil"/>
              <w:left w:val="nil"/>
              <w:bottom w:val="single" w:sz="4" w:space="0" w:color="auto"/>
              <w:right w:val="single" w:sz="4" w:space="0" w:color="auto"/>
            </w:tcBorders>
            <w:shd w:val="clear" w:color="000000" w:fill="9CC2E5"/>
            <w:vAlign w:val="center"/>
            <w:hideMark/>
          </w:tcPr>
          <w:p w14:paraId="48F89E62"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200 000</w:t>
            </w:r>
          </w:p>
        </w:tc>
        <w:tc>
          <w:tcPr>
            <w:tcW w:w="1200" w:type="dxa"/>
            <w:tcBorders>
              <w:top w:val="nil"/>
              <w:left w:val="nil"/>
              <w:bottom w:val="single" w:sz="4" w:space="0" w:color="auto"/>
              <w:right w:val="single" w:sz="4" w:space="0" w:color="auto"/>
            </w:tcBorders>
            <w:shd w:val="clear" w:color="000000" w:fill="9BC2E6"/>
            <w:noWrap/>
            <w:vAlign w:val="center"/>
            <w:hideMark/>
          </w:tcPr>
          <w:p w14:paraId="04E0E481"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w:t>
            </w:r>
          </w:p>
        </w:tc>
        <w:tc>
          <w:tcPr>
            <w:tcW w:w="1200" w:type="dxa"/>
            <w:tcBorders>
              <w:top w:val="nil"/>
              <w:left w:val="nil"/>
              <w:bottom w:val="single" w:sz="4" w:space="0" w:color="auto"/>
              <w:right w:val="single" w:sz="4" w:space="0" w:color="auto"/>
            </w:tcBorders>
            <w:shd w:val="clear" w:color="000000" w:fill="9BC2E6"/>
            <w:noWrap/>
            <w:vAlign w:val="center"/>
            <w:hideMark/>
          </w:tcPr>
          <w:p w14:paraId="42AAE69B"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200 000</w:t>
            </w:r>
          </w:p>
        </w:tc>
      </w:tr>
      <w:tr w:rsidR="00AB1CC5" w:rsidRPr="00AB1CC5" w14:paraId="157D0A33" w14:textId="77777777" w:rsidTr="00520C99">
        <w:trPr>
          <w:trHeight w:val="945"/>
        </w:trPr>
        <w:tc>
          <w:tcPr>
            <w:tcW w:w="1200" w:type="dxa"/>
            <w:vMerge/>
            <w:tcBorders>
              <w:top w:val="nil"/>
              <w:left w:val="single" w:sz="4" w:space="0" w:color="auto"/>
              <w:bottom w:val="single" w:sz="4" w:space="0" w:color="auto"/>
              <w:right w:val="single" w:sz="4" w:space="0" w:color="auto"/>
            </w:tcBorders>
            <w:vAlign w:val="center"/>
            <w:hideMark/>
          </w:tcPr>
          <w:p w14:paraId="6E3F733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13336D1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 sécurisation des produits de la Santé de la Reproduction (SPSR)</w:t>
            </w:r>
          </w:p>
        </w:tc>
        <w:tc>
          <w:tcPr>
            <w:tcW w:w="1200" w:type="dxa"/>
            <w:tcBorders>
              <w:top w:val="nil"/>
              <w:left w:val="nil"/>
              <w:bottom w:val="single" w:sz="4" w:space="0" w:color="auto"/>
              <w:right w:val="single" w:sz="4" w:space="0" w:color="auto"/>
            </w:tcBorders>
            <w:shd w:val="clear" w:color="000000" w:fill="9CC2E5"/>
            <w:vAlign w:val="center"/>
            <w:hideMark/>
          </w:tcPr>
          <w:p w14:paraId="36EC745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2838839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1B1D7BC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5522F43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38FF90D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3F63433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UNFPA</w:t>
            </w:r>
          </w:p>
        </w:tc>
        <w:tc>
          <w:tcPr>
            <w:tcW w:w="1200" w:type="dxa"/>
            <w:tcBorders>
              <w:top w:val="nil"/>
              <w:left w:val="nil"/>
              <w:bottom w:val="single" w:sz="4" w:space="0" w:color="auto"/>
              <w:right w:val="single" w:sz="4" w:space="0" w:color="auto"/>
            </w:tcBorders>
            <w:shd w:val="clear" w:color="000000" w:fill="9CC2E5"/>
            <w:vAlign w:val="center"/>
            <w:hideMark/>
          </w:tcPr>
          <w:p w14:paraId="5E15A184"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200 000</w:t>
            </w:r>
          </w:p>
        </w:tc>
        <w:tc>
          <w:tcPr>
            <w:tcW w:w="1200" w:type="dxa"/>
            <w:tcBorders>
              <w:top w:val="nil"/>
              <w:left w:val="nil"/>
              <w:bottom w:val="single" w:sz="4" w:space="0" w:color="auto"/>
              <w:right w:val="single" w:sz="4" w:space="0" w:color="auto"/>
            </w:tcBorders>
            <w:shd w:val="clear" w:color="000000" w:fill="9BC2E6"/>
            <w:noWrap/>
            <w:vAlign w:val="center"/>
            <w:hideMark/>
          </w:tcPr>
          <w:p w14:paraId="7EE2224F"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w:t>
            </w:r>
          </w:p>
        </w:tc>
        <w:tc>
          <w:tcPr>
            <w:tcW w:w="1200" w:type="dxa"/>
            <w:tcBorders>
              <w:top w:val="nil"/>
              <w:left w:val="nil"/>
              <w:bottom w:val="single" w:sz="4" w:space="0" w:color="auto"/>
              <w:right w:val="single" w:sz="4" w:space="0" w:color="auto"/>
            </w:tcBorders>
            <w:shd w:val="clear" w:color="000000" w:fill="9BC2E6"/>
            <w:noWrap/>
            <w:vAlign w:val="center"/>
            <w:hideMark/>
          </w:tcPr>
          <w:p w14:paraId="444B3D57"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1 000 000</w:t>
            </w:r>
          </w:p>
        </w:tc>
      </w:tr>
      <w:tr w:rsidR="00AB1CC5" w:rsidRPr="00AB1CC5" w14:paraId="16B7511A" w14:textId="77777777" w:rsidTr="00520C99">
        <w:trPr>
          <w:trHeight w:val="630"/>
        </w:trPr>
        <w:tc>
          <w:tcPr>
            <w:tcW w:w="1200" w:type="dxa"/>
            <w:vMerge/>
            <w:tcBorders>
              <w:top w:val="nil"/>
              <w:left w:val="single" w:sz="4" w:space="0" w:color="auto"/>
              <w:bottom w:val="single" w:sz="4" w:space="0" w:color="auto"/>
              <w:right w:val="single" w:sz="4" w:space="0" w:color="auto"/>
            </w:tcBorders>
            <w:vAlign w:val="center"/>
            <w:hideMark/>
          </w:tcPr>
          <w:p w14:paraId="78FD06F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tcPr>
          <w:p w14:paraId="1E0113A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2A5C23D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2BD6F89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710AC53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453DAAF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69D3F46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03551D1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CC2E5"/>
            <w:vAlign w:val="center"/>
          </w:tcPr>
          <w:p w14:paraId="7349E23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BC2E6"/>
            <w:noWrap/>
            <w:vAlign w:val="bottom"/>
          </w:tcPr>
          <w:p w14:paraId="7478DA5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9BC2E6"/>
            <w:noWrap/>
            <w:vAlign w:val="bottom"/>
          </w:tcPr>
          <w:p w14:paraId="5B5CEB2F"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p>
        </w:tc>
      </w:tr>
      <w:tr w:rsidR="00AB1CC5" w:rsidRPr="00AB1CC5" w14:paraId="23E3203F" w14:textId="77777777" w:rsidTr="00520C99">
        <w:trPr>
          <w:trHeight w:val="315"/>
        </w:trPr>
        <w:tc>
          <w:tcPr>
            <w:tcW w:w="1200" w:type="dxa"/>
            <w:vMerge/>
            <w:tcBorders>
              <w:top w:val="nil"/>
              <w:left w:val="single" w:sz="4" w:space="0" w:color="auto"/>
              <w:bottom w:val="single" w:sz="4" w:space="0" w:color="auto"/>
              <w:right w:val="single" w:sz="4" w:space="0" w:color="auto"/>
            </w:tcBorders>
            <w:vAlign w:val="center"/>
            <w:hideMark/>
          </w:tcPr>
          <w:p w14:paraId="11AF22E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06DB6E5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 SMART</w:t>
            </w:r>
          </w:p>
        </w:tc>
        <w:tc>
          <w:tcPr>
            <w:tcW w:w="1200" w:type="dxa"/>
            <w:tcBorders>
              <w:top w:val="nil"/>
              <w:left w:val="nil"/>
              <w:bottom w:val="single" w:sz="4" w:space="0" w:color="auto"/>
              <w:right w:val="single" w:sz="4" w:space="0" w:color="auto"/>
            </w:tcBorders>
            <w:shd w:val="clear" w:color="000000" w:fill="9CC2E5"/>
            <w:vAlign w:val="center"/>
            <w:hideMark/>
          </w:tcPr>
          <w:p w14:paraId="2B2582D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5919F7A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543FAC2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29BCE54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4EB4D81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0AD1E70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9CC2E5"/>
            <w:vAlign w:val="center"/>
            <w:hideMark/>
          </w:tcPr>
          <w:p w14:paraId="3198019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320 000</w:t>
            </w:r>
          </w:p>
        </w:tc>
        <w:tc>
          <w:tcPr>
            <w:tcW w:w="1200" w:type="dxa"/>
            <w:tcBorders>
              <w:top w:val="nil"/>
              <w:left w:val="nil"/>
              <w:bottom w:val="single" w:sz="4" w:space="0" w:color="auto"/>
              <w:right w:val="single" w:sz="4" w:space="0" w:color="auto"/>
            </w:tcBorders>
            <w:shd w:val="clear" w:color="000000" w:fill="9BC2E6"/>
            <w:noWrap/>
            <w:vAlign w:val="bottom"/>
            <w:hideMark/>
          </w:tcPr>
          <w:p w14:paraId="2F8274E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5</w:t>
            </w:r>
          </w:p>
        </w:tc>
        <w:tc>
          <w:tcPr>
            <w:tcW w:w="1200" w:type="dxa"/>
            <w:tcBorders>
              <w:top w:val="nil"/>
              <w:left w:val="nil"/>
              <w:bottom w:val="single" w:sz="4" w:space="0" w:color="auto"/>
              <w:right w:val="single" w:sz="4" w:space="0" w:color="auto"/>
            </w:tcBorders>
            <w:shd w:val="clear" w:color="000000" w:fill="9BC2E6"/>
            <w:noWrap/>
            <w:vAlign w:val="bottom"/>
            <w:hideMark/>
          </w:tcPr>
          <w:p w14:paraId="3ACB4A03"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1 600 000</w:t>
            </w:r>
          </w:p>
        </w:tc>
      </w:tr>
      <w:tr w:rsidR="00AB1CC5" w:rsidRPr="00AB1CC5" w14:paraId="4A7F38EF" w14:textId="77777777" w:rsidTr="00520C99">
        <w:trPr>
          <w:trHeight w:val="945"/>
        </w:trPr>
        <w:tc>
          <w:tcPr>
            <w:tcW w:w="1200" w:type="dxa"/>
            <w:vMerge/>
            <w:tcBorders>
              <w:top w:val="nil"/>
              <w:left w:val="single" w:sz="4" w:space="0" w:color="auto"/>
              <w:bottom w:val="single" w:sz="4" w:space="0" w:color="auto"/>
              <w:right w:val="single" w:sz="4" w:space="0" w:color="auto"/>
            </w:tcBorders>
            <w:vAlign w:val="center"/>
            <w:hideMark/>
          </w:tcPr>
          <w:p w14:paraId="5B58CB7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7883092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Enquête Nationale de Sécurité Alimentaire (ENSA)</w:t>
            </w:r>
          </w:p>
        </w:tc>
        <w:tc>
          <w:tcPr>
            <w:tcW w:w="1200" w:type="dxa"/>
            <w:tcBorders>
              <w:top w:val="nil"/>
              <w:left w:val="nil"/>
              <w:bottom w:val="single" w:sz="4" w:space="0" w:color="auto"/>
              <w:right w:val="single" w:sz="4" w:space="0" w:color="auto"/>
            </w:tcBorders>
            <w:shd w:val="clear" w:color="000000" w:fill="9CC2E5"/>
            <w:vAlign w:val="center"/>
            <w:hideMark/>
          </w:tcPr>
          <w:p w14:paraId="5603AE8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664A7CA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529DF5A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10E6DF3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040E140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2B2227B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PAM</w:t>
            </w:r>
          </w:p>
        </w:tc>
        <w:tc>
          <w:tcPr>
            <w:tcW w:w="1200" w:type="dxa"/>
            <w:tcBorders>
              <w:top w:val="nil"/>
              <w:left w:val="nil"/>
              <w:bottom w:val="single" w:sz="4" w:space="0" w:color="auto"/>
              <w:right w:val="single" w:sz="4" w:space="0" w:color="auto"/>
            </w:tcBorders>
            <w:shd w:val="clear" w:color="000000" w:fill="9CC2E5"/>
            <w:vAlign w:val="center"/>
            <w:hideMark/>
          </w:tcPr>
          <w:p w14:paraId="585B01B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365D4F4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34B62391" w14:textId="7729ADD3"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r w:rsidR="004E7453">
              <w:rPr>
                <w:rFonts w:ascii="Times New Roman" w:eastAsia="Times New Roman" w:hAnsi="Times New Roman" w:cs="Times New Roman"/>
                <w:noProof w:val="0"/>
                <w:color w:val="000000"/>
                <w:lang w:eastAsia="fr-FR"/>
              </w:rPr>
              <w:t>200 000</w:t>
            </w:r>
          </w:p>
        </w:tc>
      </w:tr>
      <w:tr w:rsidR="00AB1CC5" w:rsidRPr="00AB1CC5" w14:paraId="454261A6" w14:textId="77777777" w:rsidTr="00520C99">
        <w:trPr>
          <w:trHeight w:val="1260"/>
        </w:trPr>
        <w:tc>
          <w:tcPr>
            <w:tcW w:w="1200" w:type="dxa"/>
            <w:vMerge/>
            <w:tcBorders>
              <w:top w:val="nil"/>
              <w:left w:val="single" w:sz="4" w:space="0" w:color="auto"/>
              <w:bottom w:val="single" w:sz="4" w:space="0" w:color="auto"/>
              <w:right w:val="single" w:sz="4" w:space="0" w:color="auto"/>
            </w:tcBorders>
            <w:vAlign w:val="center"/>
            <w:hideMark/>
          </w:tcPr>
          <w:p w14:paraId="0DB7F8B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2740" w:type="dxa"/>
            <w:tcBorders>
              <w:top w:val="nil"/>
              <w:left w:val="nil"/>
              <w:bottom w:val="single" w:sz="4" w:space="0" w:color="auto"/>
              <w:right w:val="single" w:sz="4" w:space="0" w:color="auto"/>
            </w:tcBorders>
            <w:shd w:val="clear" w:color="000000" w:fill="9CC2E5"/>
            <w:vAlign w:val="center"/>
            <w:hideMark/>
          </w:tcPr>
          <w:p w14:paraId="65CCB6A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Emergency Food Security Assessement (EFSA)/ Enquête sur la sécurité alimentaire d’urgence</w:t>
            </w:r>
          </w:p>
        </w:tc>
        <w:tc>
          <w:tcPr>
            <w:tcW w:w="1200" w:type="dxa"/>
            <w:tcBorders>
              <w:top w:val="nil"/>
              <w:left w:val="nil"/>
              <w:bottom w:val="single" w:sz="4" w:space="0" w:color="auto"/>
              <w:right w:val="single" w:sz="4" w:space="0" w:color="auto"/>
            </w:tcBorders>
            <w:shd w:val="clear" w:color="000000" w:fill="9CC2E5"/>
            <w:vAlign w:val="center"/>
            <w:hideMark/>
          </w:tcPr>
          <w:p w14:paraId="798722E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0526DF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0550FD7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0F1961B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9CC2E5"/>
            <w:vAlign w:val="center"/>
            <w:hideMark/>
          </w:tcPr>
          <w:p w14:paraId="5BC6003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560254C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PAM</w:t>
            </w:r>
          </w:p>
        </w:tc>
        <w:tc>
          <w:tcPr>
            <w:tcW w:w="1200" w:type="dxa"/>
            <w:tcBorders>
              <w:top w:val="nil"/>
              <w:left w:val="nil"/>
              <w:bottom w:val="single" w:sz="4" w:space="0" w:color="auto"/>
              <w:right w:val="single" w:sz="4" w:space="0" w:color="auto"/>
            </w:tcBorders>
            <w:shd w:val="clear" w:color="000000" w:fill="9CC2E5"/>
            <w:vAlign w:val="center"/>
            <w:hideMark/>
          </w:tcPr>
          <w:p w14:paraId="327B559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408F995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5FFB42E6" w14:textId="14FE723D"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r w:rsidR="004E7453">
              <w:rPr>
                <w:rFonts w:ascii="Times New Roman" w:eastAsia="Times New Roman" w:hAnsi="Times New Roman" w:cs="Times New Roman"/>
                <w:noProof w:val="0"/>
                <w:color w:val="000000"/>
                <w:lang w:eastAsia="fr-FR"/>
              </w:rPr>
              <w:t>200 000</w:t>
            </w:r>
          </w:p>
        </w:tc>
      </w:tr>
      <w:tr w:rsidR="00AB1CC5" w:rsidRPr="00AB1CC5" w14:paraId="28D0C78D"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9CC2E5"/>
            <w:vAlign w:val="center"/>
            <w:hideMark/>
          </w:tcPr>
          <w:p w14:paraId="1EA8ECF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xml:space="preserve">S/Total </w:t>
            </w:r>
          </w:p>
        </w:tc>
        <w:tc>
          <w:tcPr>
            <w:tcW w:w="2740" w:type="dxa"/>
            <w:tcBorders>
              <w:top w:val="nil"/>
              <w:left w:val="nil"/>
              <w:bottom w:val="single" w:sz="4" w:space="0" w:color="auto"/>
              <w:right w:val="single" w:sz="4" w:space="0" w:color="auto"/>
            </w:tcBorders>
            <w:shd w:val="clear" w:color="000000" w:fill="9CC2E5"/>
            <w:vAlign w:val="center"/>
            <w:hideMark/>
          </w:tcPr>
          <w:p w14:paraId="519729B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2F27A8C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1F835BC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0D638CB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3F1A62F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725425D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213D00E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CC2E5"/>
            <w:vAlign w:val="center"/>
            <w:hideMark/>
          </w:tcPr>
          <w:p w14:paraId="3C58563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23EF591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9BC2E6"/>
            <w:noWrap/>
            <w:vAlign w:val="bottom"/>
            <w:hideMark/>
          </w:tcPr>
          <w:p w14:paraId="30397F2E" w14:textId="14E15107" w:rsidR="00AB1CC5" w:rsidRPr="004E7453" w:rsidRDefault="004E7453" w:rsidP="004E7453">
            <w:pPr>
              <w:jc w:val="right"/>
              <w:rPr>
                <w:rFonts w:ascii="Times New Roman" w:hAnsi="Times New Roman" w:cs="Times New Roman"/>
                <w:noProof w:val="0"/>
                <w:color w:val="000000"/>
              </w:rPr>
            </w:pPr>
            <w:r w:rsidRPr="004E7453">
              <w:rPr>
                <w:rFonts w:ascii="Times New Roman" w:hAnsi="Times New Roman" w:cs="Times New Roman"/>
                <w:color w:val="000000"/>
              </w:rPr>
              <w:t>4 200 000</w:t>
            </w:r>
          </w:p>
        </w:tc>
      </w:tr>
      <w:tr w:rsidR="00AB1CC5" w:rsidRPr="00AB1CC5" w14:paraId="1EF05946"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6C843CC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w:t>
            </w:r>
          </w:p>
        </w:tc>
        <w:tc>
          <w:tcPr>
            <w:tcW w:w="2740" w:type="dxa"/>
            <w:tcBorders>
              <w:top w:val="nil"/>
              <w:left w:val="nil"/>
              <w:bottom w:val="single" w:sz="4" w:space="0" w:color="auto"/>
              <w:right w:val="single" w:sz="4" w:space="0" w:color="auto"/>
            </w:tcBorders>
            <w:shd w:val="clear" w:color="000000" w:fill="ACB9CA"/>
            <w:vAlign w:val="center"/>
            <w:hideMark/>
          </w:tcPr>
          <w:p w14:paraId="281C358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D3E152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31BE008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612673C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1B34C9D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32F7B6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F9DA01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3D1285D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noWrap/>
            <w:vAlign w:val="bottom"/>
            <w:hideMark/>
          </w:tcPr>
          <w:p w14:paraId="0AA6596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noWrap/>
            <w:vAlign w:val="bottom"/>
            <w:hideMark/>
          </w:tcPr>
          <w:p w14:paraId="2ABFE63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54E82C80" w14:textId="77777777" w:rsidTr="00520C99">
        <w:trPr>
          <w:trHeight w:val="630"/>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059DA53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ACB9CA"/>
            <w:vAlign w:val="center"/>
            <w:hideMark/>
          </w:tcPr>
          <w:p w14:paraId="0BD870E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 finale UNDAF</w:t>
            </w:r>
          </w:p>
        </w:tc>
        <w:tc>
          <w:tcPr>
            <w:tcW w:w="1200" w:type="dxa"/>
            <w:tcBorders>
              <w:top w:val="nil"/>
              <w:left w:val="nil"/>
              <w:bottom w:val="single" w:sz="4" w:space="0" w:color="auto"/>
              <w:right w:val="single" w:sz="4" w:space="0" w:color="auto"/>
            </w:tcBorders>
            <w:shd w:val="clear" w:color="000000" w:fill="ACB9CA"/>
            <w:vAlign w:val="center"/>
            <w:hideMark/>
          </w:tcPr>
          <w:p w14:paraId="096FDE5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23B10DE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A6EA15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61308BA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ACB9CA"/>
            <w:vAlign w:val="center"/>
            <w:hideMark/>
          </w:tcPr>
          <w:p w14:paraId="1E6B5C7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17C71B4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RCO/ UNCT</w:t>
            </w:r>
          </w:p>
        </w:tc>
        <w:tc>
          <w:tcPr>
            <w:tcW w:w="1200" w:type="dxa"/>
            <w:tcBorders>
              <w:top w:val="nil"/>
              <w:left w:val="nil"/>
              <w:bottom w:val="single" w:sz="4" w:space="0" w:color="auto"/>
              <w:right w:val="single" w:sz="4" w:space="0" w:color="auto"/>
            </w:tcBorders>
            <w:shd w:val="clear" w:color="000000" w:fill="ACB9CA"/>
            <w:vAlign w:val="center"/>
            <w:hideMark/>
          </w:tcPr>
          <w:p w14:paraId="4C6EF2D3"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50 000</w:t>
            </w:r>
          </w:p>
        </w:tc>
        <w:tc>
          <w:tcPr>
            <w:tcW w:w="1200" w:type="dxa"/>
            <w:tcBorders>
              <w:top w:val="nil"/>
              <w:left w:val="nil"/>
              <w:bottom w:val="single" w:sz="4" w:space="0" w:color="auto"/>
              <w:right w:val="single" w:sz="4" w:space="0" w:color="auto"/>
            </w:tcBorders>
            <w:shd w:val="clear" w:color="000000" w:fill="ACB9CA"/>
            <w:noWrap/>
            <w:vAlign w:val="bottom"/>
            <w:hideMark/>
          </w:tcPr>
          <w:p w14:paraId="576655AD" w14:textId="77777777" w:rsidR="00AB1CC5" w:rsidRPr="00AB1CC5" w:rsidRDefault="00AB1CC5" w:rsidP="00520C99">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1</w:t>
            </w:r>
          </w:p>
        </w:tc>
        <w:tc>
          <w:tcPr>
            <w:tcW w:w="1200" w:type="dxa"/>
            <w:tcBorders>
              <w:top w:val="nil"/>
              <w:left w:val="nil"/>
              <w:bottom w:val="single" w:sz="4" w:space="0" w:color="auto"/>
              <w:right w:val="single" w:sz="4" w:space="0" w:color="auto"/>
            </w:tcBorders>
            <w:shd w:val="clear" w:color="000000" w:fill="ACB9CA"/>
            <w:noWrap/>
            <w:vAlign w:val="bottom"/>
            <w:hideMark/>
          </w:tcPr>
          <w:p w14:paraId="0BF1C390"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50 000</w:t>
            </w:r>
          </w:p>
        </w:tc>
      </w:tr>
      <w:tr w:rsidR="00AB1CC5" w:rsidRPr="00AB1CC5" w14:paraId="08AB797E" w14:textId="77777777" w:rsidTr="00520C99">
        <w:trPr>
          <w:trHeight w:val="630"/>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6A00056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ACB9CA"/>
            <w:vAlign w:val="center"/>
            <w:hideMark/>
          </w:tcPr>
          <w:p w14:paraId="1DDB8D7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 du système national d’évaluation</w:t>
            </w:r>
          </w:p>
        </w:tc>
        <w:tc>
          <w:tcPr>
            <w:tcW w:w="1200" w:type="dxa"/>
            <w:tcBorders>
              <w:top w:val="nil"/>
              <w:left w:val="nil"/>
              <w:bottom w:val="single" w:sz="4" w:space="0" w:color="auto"/>
              <w:right w:val="single" w:sz="4" w:space="0" w:color="auto"/>
            </w:tcBorders>
            <w:shd w:val="clear" w:color="000000" w:fill="ACB9CA"/>
            <w:vAlign w:val="center"/>
            <w:hideMark/>
          </w:tcPr>
          <w:p w14:paraId="0ACEFAA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ACB9CA"/>
            <w:vAlign w:val="center"/>
            <w:hideMark/>
          </w:tcPr>
          <w:p w14:paraId="4172AC2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6742A1E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0249863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9AFA6E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42A2D67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ACB9CA"/>
            <w:vAlign w:val="center"/>
            <w:hideMark/>
          </w:tcPr>
          <w:p w14:paraId="7C0A8F4F"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1 000 000</w:t>
            </w:r>
          </w:p>
        </w:tc>
        <w:tc>
          <w:tcPr>
            <w:tcW w:w="1200" w:type="dxa"/>
            <w:tcBorders>
              <w:top w:val="nil"/>
              <w:left w:val="nil"/>
              <w:bottom w:val="single" w:sz="4" w:space="0" w:color="auto"/>
              <w:right w:val="single" w:sz="4" w:space="0" w:color="auto"/>
            </w:tcBorders>
            <w:shd w:val="clear" w:color="000000" w:fill="ACB9CA"/>
            <w:noWrap/>
            <w:vAlign w:val="center"/>
            <w:hideMark/>
          </w:tcPr>
          <w:p w14:paraId="3C28C21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w:t>
            </w:r>
          </w:p>
        </w:tc>
        <w:tc>
          <w:tcPr>
            <w:tcW w:w="1200" w:type="dxa"/>
            <w:tcBorders>
              <w:top w:val="nil"/>
              <w:left w:val="nil"/>
              <w:bottom w:val="single" w:sz="4" w:space="0" w:color="auto"/>
              <w:right w:val="single" w:sz="4" w:space="0" w:color="auto"/>
            </w:tcBorders>
            <w:shd w:val="clear" w:color="000000" w:fill="ACB9CA"/>
            <w:noWrap/>
            <w:vAlign w:val="center"/>
            <w:hideMark/>
          </w:tcPr>
          <w:p w14:paraId="02AB821E"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1 000 000</w:t>
            </w:r>
          </w:p>
        </w:tc>
      </w:tr>
      <w:tr w:rsidR="00AB1CC5" w:rsidRPr="00AB1CC5" w14:paraId="3857C51D" w14:textId="77777777" w:rsidTr="00520C99">
        <w:trPr>
          <w:trHeight w:val="945"/>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356079E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ACB9CA"/>
            <w:vAlign w:val="center"/>
            <w:hideMark/>
          </w:tcPr>
          <w:p w14:paraId="5131FE1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 de la contribution du programme Education à la mise en œuvre du PDDE</w:t>
            </w:r>
          </w:p>
        </w:tc>
        <w:tc>
          <w:tcPr>
            <w:tcW w:w="1200" w:type="dxa"/>
            <w:tcBorders>
              <w:top w:val="nil"/>
              <w:left w:val="nil"/>
              <w:bottom w:val="single" w:sz="4" w:space="0" w:color="auto"/>
              <w:right w:val="single" w:sz="4" w:space="0" w:color="auto"/>
            </w:tcBorders>
            <w:shd w:val="clear" w:color="000000" w:fill="ACB9CA"/>
            <w:vAlign w:val="center"/>
            <w:hideMark/>
          </w:tcPr>
          <w:p w14:paraId="05EE494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217E2DD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ACB9CA"/>
            <w:vAlign w:val="center"/>
            <w:hideMark/>
          </w:tcPr>
          <w:p w14:paraId="00B267E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5748E2F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22389DC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71091A5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ACB9CA"/>
            <w:vAlign w:val="center"/>
            <w:hideMark/>
          </w:tcPr>
          <w:p w14:paraId="0543F63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1 050 000</w:t>
            </w:r>
          </w:p>
        </w:tc>
        <w:tc>
          <w:tcPr>
            <w:tcW w:w="1200" w:type="dxa"/>
            <w:tcBorders>
              <w:top w:val="nil"/>
              <w:left w:val="nil"/>
              <w:bottom w:val="single" w:sz="4" w:space="0" w:color="auto"/>
              <w:right w:val="single" w:sz="4" w:space="0" w:color="auto"/>
            </w:tcBorders>
            <w:shd w:val="clear" w:color="000000" w:fill="ACB9CA"/>
            <w:noWrap/>
            <w:vAlign w:val="bottom"/>
            <w:hideMark/>
          </w:tcPr>
          <w:p w14:paraId="1B494C7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w:t>
            </w:r>
          </w:p>
        </w:tc>
        <w:tc>
          <w:tcPr>
            <w:tcW w:w="1200" w:type="dxa"/>
            <w:tcBorders>
              <w:top w:val="nil"/>
              <w:left w:val="nil"/>
              <w:bottom w:val="single" w:sz="4" w:space="0" w:color="auto"/>
              <w:right w:val="single" w:sz="4" w:space="0" w:color="auto"/>
            </w:tcBorders>
            <w:shd w:val="clear" w:color="000000" w:fill="ACB9CA"/>
            <w:noWrap/>
            <w:vAlign w:val="bottom"/>
            <w:hideMark/>
          </w:tcPr>
          <w:p w14:paraId="66071259"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1 050 000</w:t>
            </w:r>
          </w:p>
        </w:tc>
      </w:tr>
      <w:tr w:rsidR="00AB1CC5" w:rsidRPr="00AB1CC5" w14:paraId="6706B787" w14:textId="77777777" w:rsidTr="00520C99">
        <w:trPr>
          <w:trHeight w:val="630"/>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1A31A8C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ACB9CA"/>
            <w:vAlign w:val="center"/>
            <w:hideMark/>
          </w:tcPr>
          <w:p w14:paraId="7E24997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 de la réponse du SNU au mariage des enfants</w:t>
            </w:r>
          </w:p>
        </w:tc>
        <w:tc>
          <w:tcPr>
            <w:tcW w:w="1200" w:type="dxa"/>
            <w:tcBorders>
              <w:top w:val="nil"/>
              <w:left w:val="nil"/>
              <w:bottom w:val="single" w:sz="4" w:space="0" w:color="auto"/>
              <w:right w:val="single" w:sz="4" w:space="0" w:color="auto"/>
            </w:tcBorders>
            <w:shd w:val="clear" w:color="000000" w:fill="ACB9CA"/>
            <w:vAlign w:val="center"/>
            <w:hideMark/>
          </w:tcPr>
          <w:p w14:paraId="5D1FFC1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2F15D4A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738B87D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ACB9CA"/>
            <w:vAlign w:val="center"/>
            <w:hideMark/>
          </w:tcPr>
          <w:p w14:paraId="4AE660E0" w14:textId="77777777" w:rsidR="00AB1CC5" w:rsidRPr="00AB1CC5" w:rsidRDefault="00AB1CC5" w:rsidP="00520C99">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031F464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61D7973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ACB9CA"/>
            <w:vAlign w:val="center"/>
            <w:hideMark/>
          </w:tcPr>
          <w:p w14:paraId="26CFE94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450 000</w:t>
            </w:r>
          </w:p>
        </w:tc>
        <w:tc>
          <w:tcPr>
            <w:tcW w:w="1200" w:type="dxa"/>
            <w:tcBorders>
              <w:top w:val="nil"/>
              <w:left w:val="nil"/>
              <w:bottom w:val="single" w:sz="4" w:space="0" w:color="auto"/>
              <w:right w:val="single" w:sz="4" w:space="0" w:color="auto"/>
            </w:tcBorders>
            <w:shd w:val="clear" w:color="000000" w:fill="ACB9CA"/>
            <w:noWrap/>
            <w:vAlign w:val="bottom"/>
            <w:hideMark/>
          </w:tcPr>
          <w:p w14:paraId="1135154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w:t>
            </w:r>
          </w:p>
        </w:tc>
        <w:tc>
          <w:tcPr>
            <w:tcW w:w="1200" w:type="dxa"/>
            <w:tcBorders>
              <w:top w:val="nil"/>
              <w:left w:val="nil"/>
              <w:bottom w:val="single" w:sz="4" w:space="0" w:color="auto"/>
              <w:right w:val="single" w:sz="4" w:space="0" w:color="auto"/>
            </w:tcBorders>
            <w:shd w:val="clear" w:color="000000" w:fill="ACB9CA"/>
            <w:noWrap/>
            <w:vAlign w:val="bottom"/>
            <w:hideMark/>
          </w:tcPr>
          <w:p w14:paraId="3C7EC98B"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450 000</w:t>
            </w:r>
          </w:p>
        </w:tc>
      </w:tr>
      <w:tr w:rsidR="00AB1CC5" w:rsidRPr="00AB1CC5" w14:paraId="60ECCF93" w14:textId="77777777" w:rsidTr="00520C99">
        <w:trPr>
          <w:trHeight w:val="945"/>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07BBB4A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000000" w:fill="ACB9CA"/>
            <w:vAlign w:val="center"/>
            <w:hideMark/>
          </w:tcPr>
          <w:p w14:paraId="470F034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Evaluation de la réponse du SNU aux urgences humanitaires </w:t>
            </w:r>
          </w:p>
        </w:tc>
        <w:tc>
          <w:tcPr>
            <w:tcW w:w="1200" w:type="dxa"/>
            <w:tcBorders>
              <w:top w:val="nil"/>
              <w:left w:val="nil"/>
              <w:bottom w:val="single" w:sz="4" w:space="0" w:color="auto"/>
              <w:right w:val="single" w:sz="4" w:space="0" w:color="auto"/>
            </w:tcBorders>
            <w:shd w:val="clear" w:color="000000" w:fill="ACB9CA"/>
            <w:vAlign w:val="center"/>
            <w:hideMark/>
          </w:tcPr>
          <w:p w14:paraId="25FD77A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07E36E94"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X</w:t>
            </w:r>
          </w:p>
        </w:tc>
        <w:tc>
          <w:tcPr>
            <w:tcW w:w="1200" w:type="dxa"/>
            <w:tcBorders>
              <w:top w:val="nil"/>
              <w:left w:val="nil"/>
              <w:bottom w:val="single" w:sz="4" w:space="0" w:color="auto"/>
              <w:right w:val="single" w:sz="4" w:space="0" w:color="auto"/>
            </w:tcBorders>
            <w:shd w:val="clear" w:color="000000" w:fill="ACB9CA"/>
            <w:vAlign w:val="center"/>
            <w:hideMark/>
          </w:tcPr>
          <w:p w14:paraId="3B15C66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4D68744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3B42412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77CA623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UNICEF</w:t>
            </w:r>
          </w:p>
        </w:tc>
        <w:tc>
          <w:tcPr>
            <w:tcW w:w="1200" w:type="dxa"/>
            <w:tcBorders>
              <w:top w:val="nil"/>
              <w:left w:val="nil"/>
              <w:bottom w:val="single" w:sz="4" w:space="0" w:color="auto"/>
              <w:right w:val="single" w:sz="4" w:space="0" w:color="auto"/>
            </w:tcBorders>
            <w:shd w:val="clear" w:color="000000" w:fill="ACB9CA"/>
            <w:vAlign w:val="center"/>
            <w:hideMark/>
          </w:tcPr>
          <w:p w14:paraId="2A25B04B"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550 000</w:t>
            </w:r>
          </w:p>
        </w:tc>
        <w:tc>
          <w:tcPr>
            <w:tcW w:w="1200" w:type="dxa"/>
            <w:tcBorders>
              <w:top w:val="nil"/>
              <w:left w:val="nil"/>
              <w:bottom w:val="single" w:sz="4" w:space="0" w:color="auto"/>
              <w:right w:val="single" w:sz="4" w:space="0" w:color="auto"/>
            </w:tcBorders>
            <w:shd w:val="clear" w:color="000000" w:fill="ACB9CA"/>
            <w:noWrap/>
            <w:vAlign w:val="bottom"/>
            <w:hideMark/>
          </w:tcPr>
          <w:p w14:paraId="02E8F39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1</w:t>
            </w:r>
          </w:p>
        </w:tc>
        <w:tc>
          <w:tcPr>
            <w:tcW w:w="1200" w:type="dxa"/>
            <w:tcBorders>
              <w:top w:val="nil"/>
              <w:left w:val="nil"/>
              <w:bottom w:val="single" w:sz="4" w:space="0" w:color="auto"/>
              <w:right w:val="single" w:sz="4" w:space="0" w:color="auto"/>
            </w:tcBorders>
            <w:shd w:val="clear" w:color="000000" w:fill="ACB9CA"/>
            <w:noWrap/>
            <w:vAlign w:val="bottom"/>
            <w:hideMark/>
          </w:tcPr>
          <w:p w14:paraId="3DD64A4A" w14:textId="77777777" w:rsidR="00AB1CC5" w:rsidRPr="00AB1CC5" w:rsidRDefault="00AB1CC5" w:rsidP="004E7453">
            <w:pPr>
              <w:spacing w:after="0" w:line="240" w:lineRule="auto"/>
              <w:jc w:val="right"/>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550 000</w:t>
            </w:r>
          </w:p>
        </w:tc>
      </w:tr>
      <w:tr w:rsidR="00AB1CC5" w:rsidRPr="00AB1CC5" w14:paraId="49671284" w14:textId="77777777" w:rsidTr="00520C99">
        <w:trPr>
          <w:trHeight w:val="315"/>
        </w:trPr>
        <w:tc>
          <w:tcPr>
            <w:tcW w:w="1200" w:type="dxa"/>
            <w:tcBorders>
              <w:top w:val="nil"/>
              <w:left w:val="single" w:sz="4" w:space="0" w:color="auto"/>
              <w:bottom w:val="single" w:sz="4" w:space="0" w:color="auto"/>
              <w:right w:val="single" w:sz="4" w:space="0" w:color="auto"/>
            </w:tcBorders>
            <w:shd w:val="clear" w:color="000000" w:fill="ACB9CA"/>
            <w:vAlign w:val="center"/>
            <w:hideMark/>
          </w:tcPr>
          <w:p w14:paraId="77E4314F" w14:textId="630CBE58"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r w:rsidR="004E7453">
              <w:rPr>
                <w:rFonts w:ascii="Times New Roman" w:eastAsia="Times New Roman" w:hAnsi="Times New Roman" w:cs="Times New Roman"/>
                <w:noProof w:val="0"/>
                <w:color w:val="000000"/>
                <w:lang w:eastAsia="fr-FR"/>
              </w:rPr>
              <w:t>S/Total</w:t>
            </w:r>
          </w:p>
        </w:tc>
        <w:tc>
          <w:tcPr>
            <w:tcW w:w="2740" w:type="dxa"/>
            <w:tcBorders>
              <w:top w:val="nil"/>
              <w:left w:val="nil"/>
              <w:bottom w:val="single" w:sz="4" w:space="0" w:color="auto"/>
              <w:right w:val="single" w:sz="4" w:space="0" w:color="auto"/>
            </w:tcBorders>
            <w:shd w:val="clear" w:color="000000" w:fill="ACB9CA"/>
            <w:vAlign w:val="center"/>
            <w:hideMark/>
          </w:tcPr>
          <w:p w14:paraId="0844AE0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4DD4B548"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743B5F3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24C1064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1C1A4296"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36792CD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61B9FE5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vAlign w:val="center"/>
            <w:hideMark/>
          </w:tcPr>
          <w:p w14:paraId="375FE97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000000" w:fill="ACB9CA"/>
            <w:noWrap/>
            <w:vAlign w:val="bottom"/>
            <w:hideMark/>
          </w:tcPr>
          <w:p w14:paraId="758D209F" w14:textId="6DC9D9E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p>
        </w:tc>
        <w:tc>
          <w:tcPr>
            <w:tcW w:w="1200" w:type="dxa"/>
            <w:tcBorders>
              <w:top w:val="nil"/>
              <w:left w:val="nil"/>
              <w:bottom w:val="single" w:sz="4" w:space="0" w:color="auto"/>
              <w:right w:val="single" w:sz="4" w:space="0" w:color="auto"/>
            </w:tcBorders>
            <w:shd w:val="clear" w:color="000000" w:fill="ACB9CA"/>
            <w:noWrap/>
            <w:vAlign w:val="bottom"/>
            <w:hideMark/>
          </w:tcPr>
          <w:p w14:paraId="2C1E0136" w14:textId="136A3D99" w:rsidR="00DA042C" w:rsidRPr="00DA042C" w:rsidRDefault="00DA042C" w:rsidP="00DA042C">
            <w:pPr>
              <w:jc w:val="right"/>
              <w:rPr>
                <w:rFonts w:ascii="Times New Roman" w:hAnsi="Times New Roman" w:cs="Times New Roman"/>
                <w:noProof w:val="0"/>
                <w:color w:val="000000"/>
              </w:rPr>
            </w:pPr>
            <w:r w:rsidRPr="00DA042C">
              <w:rPr>
                <w:rFonts w:ascii="Times New Roman" w:hAnsi="Times New Roman" w:cs="Times New Roman"/>
                <w:color w:val="000000"/>
              </w:rPr>
              <w:t>3 100 000</w:t>
            </w:r>
          </w:p>
          <w:p w14:paraId="42296727" w14:textId="77777777" w:rsidR="00AB1CC5" w:rsidRPr="00AB1CC5" w:rsidRDefault="00AB1CC5" w:rsidP="00DA042C">
            <w:pPr>
              <w:spacing w:after="0" w:line="240" w:lineRule="auto"/>
              <w:jc w:val="center"/>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17CFB9F5" w14:textId="77777777" w:rsidTr="00520C99">
        <w:trPr>
          <w:trHeight w:val="315"/>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3E398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2740" w:type="dxa"/>
            <w:tcBorders>
              <w:top w:val="nil"/>
              <w:left w:val="nil"/>
              <w:bottom w:val="single" w:sz="4" w:space="0" w:color="auto"/>
              <w:right w:val="single" w:sz="4" w:space="0" w:color="auto"/>
            </w:tcBorders>
            <w:shd w:val="clear" w:color="auto" w:fill="auto"/>
            <w:vAlign w:val="center"/>
            <w:hideMark/>
          </w:tcPr>
          <w:p w14:paraId="7830E4C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06C4804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3B7903A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2C8EB0F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792767D0"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77C69B55"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194206FD"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vAlign w:val="center"/>
            <w:hideMark/>
          </w:tcPr>
          <w:p w14:paraId="1512DC2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0F9549A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auto"/>
            <w:noWrap/>
            <w:vAlign w:val="bottom"/>
            <w:hideMark/>
          </w:tcPr>
          <w:p w14:paraId="6D37FC1C"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r>
      <w:tr w:rsidR="00AB1CC5" w:rsidRPr="00AB1CC5" w14:paraId="244FC0A0" w14:textId="77777777" w:rsidTr="00DA042C">
        <w:trPr>
          <w:trHeight w:val="300"/>
        </w:trPr>
        <w:tc>
          <w:tcPr>
            <w:tcW w:w="1200" w:type="dxa"/>
            <w:tcBorders>
              <w:top w:val="nil"/>
              <w:left w:val="single" w:sz="4" w:space="0" w:color="auto"/>
              <w:bottom w:val="single" w:sz="4" w:space="0" w:color="auto"/>
              <w:right w:val="single" w:sz="4" w:space="0" w:color="auto"/>
            </w:tcBorders>
            <w:shd w:val="clear" w:color="auto" w:fill="BDD6EE" w:themeFill="accent1" w:themeFillTint="66"/>
            <w:noWrap/>
            <w:vAlign w:val="bottom"/>
            <w:hideMark/>
          </w:tcPr>
          <w:p w14:paraId="171DA22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Total</w:t>
            </w:r>
          </w:p>
        </w:tc>
        <w:tc>
          <w:tcPr>
            <w:tcW w:w="2740" w:type="dxa"/>
            <w:tcBorders>
              <w:top w:val="nil"/>
              <w:left w:val="nil"/>
              <w:bottom w:val="single" w:sz="4" w:space="0" w:color="auto"/>
              <w:right w:val="single" w:sz="4" w:space="0" w:color="auto"/>
            </w:tcBorders>
            <w:shd w:val="clear" w:color="auto" w:fill="BDD6EE" w:themeFill="accent1" w:themeFillTint="66"/>
            <w:noWrap/>
            <w:vAlign w:val="bottom"/>
            <w:hideMark/>
          </w:tcPr>
          <w:p w14:paraId="66E37EB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40807783"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1B75B84E"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0E2C4867"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53E2568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2D1D90D2"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624988BA"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3A0F2981"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72B7FCD9" w14:textId="77777777"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p>
        </w:tc>
        <w:tc>
          <w:tcPr>
            <w:tcW w:w="1200" w:type="dxa"/>
            <w:tcBorders>
              <w:top w:val="nil"/>
              <w:left w:val="nil"/>
              <w:bottom w:val="single" w:sz="4" w:space="0" w:color="auto"/>
              <w:right w:val="single" w:sz="4" w:space="0" w:color="auto"/>
            </w:tcBorders>
            <w:shd w:val="clear" w:color="auto" w:fill="BDD6EE" w:themeFill="accent1" w:themeFillTint="66"/>
            <w:noWrap/>
            <w:vAlign w:val="bottom"/>
            <w:hideMark/>
          </w:tcPr>
          <w:p w14:paraId="176BF982" w14:textId="7356FD28" w:rsidR="00AB1CC5" w:rsidRPr="00AB1CC5" w:rsidRDefault="00AB1CC5" w:rsidP="00520C99">
            <w:pPr>
              <w:spacing w:after="0" w:line="240" w:lineRule="auto"/>
              <w:rPr>
                <w:rFonts w:ascii="Times New Roman" w:eastAsia="Times New Roman" w:hAnsi="Times New Roman" w:cs="Times New Roman"/>
                <w:noProof w:val="0"/>
                <w:color w:val="000000"/>
                <w:lang w:eastAsia="fr-FR"/>
              </w:rPr>
            </w:pPr>
            <w:r w:rsidRPr="00AB1CC5">
              <w:rPr>
                <w:rFonts w:ascii="Times New Roman" w:eastAsia="Times New Roman" w:hAnsi="Times New Roman" w:cs="Times New Roman"/>
                <w:noProof w:val="0"/>
                <w:color w:val="000000"/>
                <w:lang w:eastAsia="fr-FR"/>
              </w:rPr>
              <w:t> </w:t>
            </w:r>
            <w:r w:rsidR="00DA042C">
              <w:rPr>
                <w:rFonts w:ascii="Times New Roman" w:eastAsia="Times New Roman" w:hAnsi="Times New Roman" w:cs="Times New Roman"/>
                <w:noProof w:val="0"/>
                <w:color w:val="000000"/>
                <w:lang w:eastAsia="fr-FR"/>
              </w:rPr>
              <w:t>8 680 000</w:t>
            </w:r>
          </w:p>
        </w:tc>
      </w:tr>
      <w:bookmarkEnd w:id="107"/>
      <w:bookmarkEnd w:id="108"/>
    </w:tbl>
    <w:p w14:paraId="78D3445C" w14:textId="77777777" w:rsidR="00B954DA" w:rsidRPr="00B954DA" w:rsidRDefault="00B954DA" w:rsidP="00B954DA">
      <w:pPr>
        <w:sectPr w:rsidR="00B954DA" w:rsidRPr="00B954DA" w:rsidSect="00627534">
          <w:pgSz w:w="16838" w:h="11906" w:orient="landscape"/>
          <w:pgMar w:top="1417" w:right="1417" w:bottom="1417" w:left="1417" w:header="708" w:footer="708" w:gutter="0"/>
          <w:cols w:space="708"/>
          <w:docGrid w:linePitch="360"/>
        </w:sectPr>
      </w:pPr>
    </w:p>
    <w:p w14:paraId="09584E61" w14:textId="18F6C612" w:rsidR="00FA695C" w:rsidRPr="004067F1" w:rsidRDefault="00FA695C" w:rsidP="00FA695C">
      <w:pPr>
        <w:pStyle w:val="Heading2"/>
        <w:pBdr>
          <w:bottom w:val="single" w:sz="4" w:space="1" w:color="auto"/>
        </w:pBdr>
        <w:jc w:val="left"/>
      </w:pPr>
      <w:bookmarkStart w:id="109" w:name="_Toc459363430"/>
      <w:r>
        <w:t xml:space="preserve">Annexe </w:t>
      </w:r>
      <w:r w:rsidR="00C7001F">
        <w:t>3</w:t>
      </w:r>
      <w:r>
        <w:t>. Clauses Légales</w:t>
      </w:r>
      <w:bookmarkEnd w:id="109"/>
    </w:p>
    <w:p w14:paraId="1BC38AB3" w14:textId="77777777" w:rsidR="00034DFA" w:rsidRDefault="00034DFA"/>
    <w:p w14:paraId="6FD74FAA" w14:textId="77777777" w:rsidR="005776C0" w:rsidRPr="00161A7A" w:rsidRDefault="005776C0" w:rsidP="00161A7A">
      <w:pPr>
        <w:pStyle w:val="ListParagraph"/>
        <w:numPr>
          <w:ilvl w:val="0"/>
          <w:numId w:val="28"/>
        </w:numPr>
        <w:rPr>
          <w:b/>
        </w:rPr>
      </w:pPr>
      <w:r w:rsidRPr="00161A7A">
        <w:rPr>
          <w:b/>
        </w:rPr>
        <w:t>Partenariats, valeurs et principes</w:t>
      </w:r>
    </w:p>
    <w:p w14:paraId="37ACB5FE" w14:textId="77777777" w:rsidR="00034DFA" w:rsidRPr="005776C0" w:rsidRDefault="00034DFA" w:rsidP="005776C0">
      <w:pPr>
        <w:jc w:val="both"/>
        <w:rPr>
          <w:rFonts w:ascii="Times New Roman" w:hAnsi="Times New Roman" w:cs="Times New Roman"/>
        </w:rPr>
      </w:pPr>
    </w:p>
    <w:p w14:paraId="29EC6D30" w14:textId="184643DD" w:rsidR="005776C0" w:rsidRPr="005776C0" w:rsidRDefault="005776C0" w:rsidP="005776C0">
      <w:pPr>
        <w:jc w:val="both"/>
        <w:rPr>
          <w:rFonts w:ascii="Times New Roman" w:hAnsi="Times New Roman" w:cs="Times New Roman"/>
        </w:rPr>
      </w:pPr>
      <w:r w:rsidRPr="005776C0">
        <w:rPr>
          <w:rFonts w:ascii="Times New Roman" w:hAnsi="Times New Roman" w:cs="Times New Roman"/>
        </w:rPr>
        <w:t xml:space="preserve">Considérant que le Gouvernement du </w:t>
      </w:r>
      <w:r w:rsidRPr="00A249CD">
        <w:rPr>
          <w:rFonts w:ascii="Times New Roman" w:hAnsi="Times New Roman" w:cs="Times New Roman"/>
          <w:b/>
        </w:rPr>
        <w:t>Tchad</w:t>
      </w:r>
      <w:r w:rsidRPr="005776C0">
        <w:rPr>
          <w:rFonts w:ascii="Times New Roman" w:hAnsi="Times New Roman" w:cs="Times New Roman"/>
        </w:rPr>
        <w:t xml:space="preserve"> (ci-après le « Gouvernement ») a conclu ce qui suit : </w:t>
      </w:r>
    </w:p>
    <w:p w14:paraId="6E2594EA" w14:textId="471ECA40" w:rsidR="005776C0" w:rsidRPr="005776C0" w:rsidRDefault="005776C0" w:rsidP="005776C0">
      <w:pPr>
        <w:jc w:val="both"/>
        <w:rPr>
          <w:rFonts w:ascii="Times New Roman" w:hAnsi="Times New Roman" w:cs="Times New Roman"/>
        </w:rPr>
      </w:pPr>
      <w:r w:rsidRPr="005776C0">
        <w:rPr>
          <w:rFonts w:ascii="Times New Roman" w:hAnsi="Times New Roman" w:cs="Times New Roman"/>
        </w:rPr>
        <w:t>a)</w:t>
      </w:r>
      <w:r>
        <w:rPr>
          <w:rFonts w:ascii="Times New Roman" w:hAnsi="Times New Roman" w:cs="Times New Roman"/>
        </w:rPr>
        <w:t xml:space="preserve"> </w:t>
      </w:r>
      <w:r w:rsidRPr="005776C0">
        <w:rPr>
          <w:rFonts w:ascii="Times New Roman" w:hAnsi="Times New Roman" w:cs="Times New Roman"/>
        </w:rPr>
        <w:t xml:space="preserve">CONSIDÉRANT que le Gouvernement et le </w:t>
      </w:r>
      <w:r w:rsidRPr="00A249CD">
        <w:rPr>
          <w:rFonts w:ascii="Times New Roman" w:hAnsi="Times New Roman" w:cs="Times New Roman"/>
          <w:b/>
        </w:rPr>
        <w:t>Programme des Nations Unies pour le développement (ci-après le PNUD)</w:t>
      </w:r>
      <w:r w:rsidRPr="005776C0">
        <w:rPr>
          <w:rFonts w:ascii="Times New Roman" w:hAnsi="Times New Roman" w:cs="Times New Roman"/>
        </w:rPr>
        <w:t xml:space="preserve"> ont conclu un accord de base régissant l'a</w:t>
      </w:r>
      <w:r w:rsidR="00A249CD">
        <w:rPr>
          <w:rFonts w:ascii="Times New Roman" w:hAnsi="Times New Roman" w:cs="Times New Roman"/>
        </w:rPr>
        <w:t xml:space="preserve">ssistance du PNUD dans le pays </w:t>
      </w:r>
      <w:r w:rsidRPr="005776C0">
        <w:rPr>
          <w:rFonts w:ascii="Times New Roman" w:hAnsi="Times New Roman" w:cs="Times New Roman"/>
        </w:rPr>
        <w:t xml:space="preserve">signé par les deux parties le </w:t>
      </w:r>
      <w:r w:rsidR="00A249CD" w:rsidRPr="00A249CD">
        <w:rPr>
          <w:rFonts w:ascii="Times New Roman" w:hAnsi="Times New Roman" w:cs="Times New Roman"/>
          <w:b/>
        </w:rPr>
        <w:t>14/10/1977</w:t>
      </w:r>
      <w:r w:rsidRPr="005776C0">
        <w:rPr>
          <w:rFonts w:ascii="Times New Roman" w:hAnsi="Times New Roman" w:cs="Times New Roman"/>
        </w:rPr>
        <w:t xml:space="preserve">. Sur la base de l’Article I, paragraphe 2 de cet Accord de base, l’assistance du PNUD en faveur du Gouvernement est apportée à ce dernier, et fournie et reçue conformément aux résolutions et décisions pertinentes et applicables des organes compétents du PNUD, et sous réserve des fonds nécessaires à la disposition du PNUD. En particulier, la décision 2005/1 du 28 janvier 2005 du Conseil exécutif du PNUD  approuvant les nouvelles Réglementations et règles financières et, avec elles, les nouvelles définitions des termes « exécution » et « mise en œuvre » habilitant le PNUD à mettre en œuvre pleinement les Procédures communes d’élaboration de programme de pays faisant suite à l’initiative de simplification et d’harmonisation du Groupe des Nations Unies pour le développement. Au regard de cette décision, le présent </w:t>
      </w:r>
      <w:r w:rsidR="00A249CD">
        <w:rPr>
          <w:rFonts w:ascii="Times New Roman" w:hAnsi="Times New Roman" w:cs="Times New Roman"/>
        </w:rPr>
        <w:t>UNDAF</w:t>
      </w:r>
      <w:r w:rsidRPr="005776C0">
        <w:rPr>
          <w:rFonts w:ascii="Times New Roman" w:hAnsi="Times New Roman" w:cs="Times New Roman"/>
        </w:rPr>
        <w:t xml:space="preserve"> ainsi que le plan de travai</w:t>
      </w:r>
      <w:r w:rsidR="00A249CD">
        <w:rPr>
          <w:rFonts w:ascii="Times New Roman" w:hAnsi="Times New Roman" w:cs="Times New Roman"/>
        </w:rPr>
        <w:t xml:space="preserve">l (qui fait partie de cet UNDAF </w:t>
      </w:r>
      <w:r w:rsidRPr="005776C0">
        <w:rPr>
          <w:rFonts w:ascii="Times New Roman" w:hAnsi="Times New Roman" w:cs="Times New Roman"/>
        </w:rPr>
        <w:t>et est intégré aux présentes par référence), ayant été conclus par les présentes, constituent ensemble un document de projet tel que visé par l’Accord de base.</w:t>
      </w:r>
    </w:p>
    <w:p w14:paraId="32CEC3FA" w14:textId="77777777" w:rsidR="005776C0" w:rsidRDefault="005776C0" w:rsidP="005776C0">
      <w:pPr>
        <w:jc w:val="both"/>
        <w:rPr>
          <w:rFonts w:ascii="Times New Roman" w:hAnsi="Times New Roman" w:cs="Times New Roman"/>
        </w:rPr>
      </w:pPr>
      <w:r w:rsidRPr="005776C0">
        <w:rPr>
          <w:rFonts w:ascii="Times New Roman" w:hAnsi="Times New Roman" w:cs="Times New Roman"/>
        </w:rPr>
        <w:t>b)</w:t>
      </w:r>
      <w:r w:rsidRPr="005776C0">
        <w:rPr>
          <w:rFonts w:ascii="Times New Roman" w:hAnsi="Times New Roman" w:cs="Times New Roman"/>
        </w:rPr>
        <w:tab/>
        <w:t>Un Accord de base pour la coopération conclu par le Gouvernement avec le Fonds des Nations Unies pour l'enfance (UNICEF), le __________ et révisé le _______.</w:t>
      </w:r>
    </w:p>
    <w:p w14:paraId="7BAC8F49" w14:textId="6EB48F02" w:rsidR="005776C0" w:rsidRPr="003F6E63" w:rsidRDefault="005776C0" w:rsidP="005776C0">
      <w:pPr>
        <w:jc w:val="both"/>
        <w:rPr>
          <w:rFonts w:ascii="Times New Roman" w:hAnsi="Times New Roman" w:cs="Times New Roman"/>
        </w:rPr>
      </w:pPr>
      <w:r w:rsidRPr="005776C0">
        <w:rPr>
          <w:rFonts w:ascii="Times New Roman" w:hAnsi="Times New Roman" w:cs="Times New Roman"/>
        </w:rPr>
        <w:t>c)</w:t>
      </w:r>
      <w:r w:rsidRPr="005776C0">
        <w:rPr>
          <w:rFonts w:ascii="Times New Roman" w:hAnsi="Times New Roman" w:cs="Times New Roman"/>
        </w:rPr>
        <w:tab/>
      </w:r>
      <w:r w:rsidRPr="003F6E63">
        <w:rPr>
          <w:rFonts w:ascii="Times New Roman" w:hAnsi="Times New Roman" w:cs="Times New Roman"/>
        </w:rPr>
        <w:t xml:space="preserve">Un Accord de coopération dans le pays conclu par le Gouvernement et le Haut-Commissariat des Nations Unies pour les réfugiés (HCR), </w:t>
      </w:r>
      <w:r w:rsidRPr="003F6E63">
        <w:rPr>
          <w:rFonts w:ascii="Times New Roman" w:hAnsi="Times New Roman" w:cs="Times New Roman"/>
          <w:b/>
        </w:rPr>
        <w:t xml:space="preserve">le </w:t>
      </w:r>
      <w:r w:rsidR="003F6E63" w:rsidRPr="003F6E63">
        <w:rPr>
          <w:rFonts w:ascii="Times New Roman" w:hAnsi="Times New Roman" w:cs="Times New Roman"/>
          <w:b/>
        </w:rPr>
        <w:t>03 mai 2000</w:t>
      </w:r>
      <w:r w:rsidRPr="003F6E63">
        <w:rPr>
          <w:rFonts w:ascii="Times New Roman" w:hAnsi="Times New Roman" w:cs="Times New Roman"/>
        </w:rPr>
        <w:t>.</w:t>
      </w:r>
    </w:p>
    <w:p w14:paraId="3383EB32" w14:textId="77777777" w:rsidR="005776C0" w:rsidRPr="005776C0" w:rsidRDefault="005776C0" w:rsidP="005776C0">
      <w:pPr>
        <w:jc w:val="both"/>
        <w:rPr>
          <w:rFonts w:ascii="Times New Roman" w:hAnsi="Times New Roman" w:cs="Times New Roman"/>
        </w:rPr>
      </w:pPr>
      <w:r w:rsidRPr="005776C0">
        <w:rPr>
          <w:rFonts w:ascii="Times New Roman" w:hAnsi="Times New Roman" w:cs="Times New Roman"/>
        </w:rPr>
        <w:t>d)</w:t>
      </w:r>
      <w:r w:rsidRPr="005776C0">
        <w:rPr>
          <w:rFonts w:ascii="Times New Roman" w:hAnsi="Times New Roman" w:cs="Times New Roman"/>
        </w:rPr>
        <w:tab/>
        <w:t>Un Accord de base conclu par le Gouvernement avec le Programme alimentaire mondial (PAM), relatif à l'assistance fournie le PAM, ledit accord ayant été signé le ________.</w:t>
      </w:r>
    </w:p>
    <w:p w14:paraId="1E57C3CB" w14:textId="36AB705E" w:rsidR="005776C0" w:rsidRPr="00520C99" w:rsidRDefault="005776C0" w:rsidP="005776C0">
      <w:pPr>
        <w:jc w:val="both"/>
        <w:rPr>
          <w:rFonts w:ascii="Times New Roman" w:hAnsi="Times New Roman" w:cs="Times New Roman"/>
          <w:b/>
        </w:rPr>
      </w:pPr>
      <w:r w:rsidRPr="005776C0">
        <w:rPr>
          <w:rFonts w:ascii="Times New Roman" w:hAnsi="Times New Roman" w:cs="Times New Roman"/>
        </w:rPr>
        <w:t>e)</w:t>
      </w:r>
      <w:r w:rsidRPr="005776C0">
        <w:rPr>
          <w:rFonts w:ascii="Times New Roman" w:hAnsi="Times New Roman" w:cs="Times New Roman"/>
        </w:rPr>
        <w:tab/>
        <w:t>Pour ce qui concerne le Fonds des Nations Unies pour la population (</w:t>
      </w:r>
      <w:r w:rsidR="00522AE9">
        <w:rPr>
          <w:rFonts w:ascii="Times New Roman" w:hAnsi="Times New Roman" w:cs="Times New Roman"/>
        </w:rPr>
        <w:t>UNFPA</w:t>
      </w:r>
      <w:r w:rsidRPr="005776C0">
        <w:rPr>
          <w:rFonts w:ascii="Times New Roman" w:hAnsi="Times New Roman" w:cs="Times New Roman"/>
        </w:rPr>
        <w:t xml:space="preserve">), </w:t>
      </w:r>
      <w:r w:rsidR="00520C99">
        <w:rPr>
          <w:rFonts w:ascii="Times New Roman" w:hAnsi="Times New Roman" w:cs="Times New Roman"/>
        </w:rPr>
        <w:t>le même accord</w:t>
      </w:r>
      <w:r w:rsidR="00520C99" w:rsidRPr="00520C99">
        <w:t xml:space="preserve"> </w:t>
      </w:r>
      <w:r w:rsidR="00520C99" w:rsidRPr="00520C99">
        <w:rPr>
          <w:rFonts w:ascii="Times New Roman" w:hAnsi="Times New Roman" w:cs="Times New Roman"/>
        </w:rPr>
        <w:t xml:space="preserve">régissant l'assistance du PNUD dans le pays </w:t>
      </w:r>
      <w:r w:rsidR="00520C99">
        <w:rPr>
          <w:rFonts w:ascii="Times New Roman" w:hAnsi="Times New Roman" w:cs="Times New Roman"/>
        </w:rPr>
        <w:t xml:space="preserve">a été </w:t>
      </w:r>
      <w:r w:rsidR="00520C99" w:rsidRPr="00520C99">
        <w:rPr>
          <w:rFonts w:ascii="Times New Roman" w:hAnsi="Times New Roman" w:cs="Times New Roman"/>
        </w:rPr>
        <w:t xml:space="preserve">signé </w:t>
      </w:r>
      <w:r w:rsidR="00520C99" w:rsidRPr="00520C99">
        <w:rPr>
          <w:rFonts w:ascii="Times New Roman" w:hAnsi="Times New Roman" w:cs="Times New Roman"/>
          <w:b/>
        </w:rPr>
        <w:t>le 14/10/1977.</w:t>
      </w:r>
    </w:p>
    <w:p w14:paraId="7E047A2C" w14:textId="77777777" w:rsidR="005776C0" w:rsidRPr="005776C0" w:rsidRDefault="005776C0" w:rsidP="005776C0">
      <w:pPr>
        <w:jc w:val="both"/>
        <w:rPr>
          <w:rFonts w:ascii="Times New Roman" w:hAnsi="Times New Roman" w:cs="Times New Roman"/>
        </w:rPr>
      </w:pPr>
      <w:r w:rsidRPr="005776C0">
        <w:rPr>
          <w:rFonts w:ascii="Times New Roman" w:hAnsi="Times New Roman" w:cs="Times New Roman"/>
        </w:rPr>
        <w:t>f)</w:t>
      </w:r>
      <w:r w:rsidRPr="005776C0">
        <w:rPr>
          <w:rFonts w:ascii="Times New Roman" w:hAnsi="Times New Roman" w:cs="Times New Roman"/>
        </w:rPr>
        <w:tab/>
        <w:t>Concernant l'Organisation des Nations Unies pour le développement industriel (ONUDI), un accord entre le Gouvernement du [NOM] et [Ministère du Commerce] pour la création du Bureau de l’ONUDI en [ANNÉE]. Si un accord de base-type pour la coopération a été conclu avec le Gouvernement concerné, une référence à celui-ci doit être insérée à la place de ou en sus de l'Accord avec le Bureau de pays.</w:t>
      </w:r>
    </w:p>
    <w:p w14:paraId="285E2FD5" w14:textId="6A3FB965" w:rsidR="00341E3B" w:rsidRDefault="005776C0" w:rsidP="00341E3B">
      <w:pPr>
        <w:spacing w:after="0" w:line="240" w:lineRule="auto"/>
        <w:rPr>
          <w:noProof w:val="0"/>
        </w:rPr>
      </w:pPr>
      <w:r w:rsidRPr="00341E3B">
        <w:rPr>
          <w:rFonts w:ascii="Times New Roman" w:hAnsi="Times New Roman"/>
        </w:rPr>
        <w:t>g)</w:t>
      </w:r>
      <w:r w:rsidRPr="00341E3B">
        <w:rPr>
          <w:rFonts w:ascii="Times New Roman" w:hAnsi="Times New Roman"/>
        </w:rPr>
        <w:tab/>
        <w:t xml:space="preserve">Un accord avec l’Organisation des Nations Unies pour l'alimentation et l'agriculture, pour l’établissement de la représentation de la FAO </w:t>
      </w:r>
      <w:r w:rsidR="00341E3B" w:rsidRPr="00341E3B">
        <w:rPr>
          <w:rFonts w:ascii="Times New Roman" w:hAnsi="Times New Roman"/>
        </w:rPr>
        <w:t>Tchad</w:t>
      </w:r>
      <w:r w:rsidRPr="00341E3B">
        <w:rPr>
          <w:rFonts w:ascii="Times New Roman" w:hAnsi="Times New Roman"/>
        </w:rPr>
        <w:t xml:space="preserve"> le </w:t>
      </w:r>
      <w:r w:rsidR="00341E3B" w:rsidRPr="00341E3B">
        <w:rPr>
          <w:b/>
          <w:bCs/>
        </w:rPr>
        <w:t>le 30 septembre 1977</w:t>
      </w:r>
    </w:p>
    <w:p w14:paraId="5EB2DADE" w14:textId="130D789C" w:rsidR="00B56BD8" w:rsidRPr="00341E3B" w:rsidRDefault="00B56BD8" w:rsidP="005776C0">
      <w:pPr>
        <w:jc w:val="both"/>
        <w:rPr>
          <w:rFonts w:ascii="Times New Roman" w:hAnsi="Times New Roman" w:cs="Times New Roman"/>
          <w:b/>
        </w:rPr>
      </w:pPr>
      <w:r>
        <w:rPr>
          <w:rFonts w:ascii="Times New Roman" w:hAnsi="Times New Roman" w:cs="Times New Roman"/>
        </w:rPr>
        <w:t xml:space="preserve">h) </w:t>
      </w:r>
      <w:r w:rsidRPr="00B56BD8">
        <w:rPr>
          <w:rFonts w:ascii="Times New Roman" w:hAnsi="Times New Roman" w:cs="Times New Roman"/>
        </w:rPr>
        <w:t xml:space="preserve">Un Accord de base conclu par le Gouvernement </w:t>
      </w:r>
      <w:r>
        <w:rPr>
          <w:rFonts w:ascii="Times New Roman" w:hAnsi="Times New Roman" w:cs="Times New Roman"/>
        </w:rPr>
        <w:t xml:space="preserve"> du Tchad </w:t>
      </w:r>
      <w:r w:rsidRPr="00B56BD8">
        <w:rPr>
          <w:rFonts w:ascii="Times New Roman" w:hAnsi="Times New Roman" w:cs="Times New Roman"/>
        </w:rPr>
        <w:t xml:space="preserve">avec </w:t>
      </w:r>
      <w:r>
        <w:rPr>
          <w:rFonts w:ascii="Times New Roman" w:hAnsi="Times New Roman" w:cs="Times New Roman"/>
        </w:rPr>
        <w:t>l’Organisation Mondial de la Santé</w:t>
      </w:r>
      <w:r w:rsidRPr="00B56BD8">
        <w:rPr>
          <w:rFonts w:ascii="Times New Roman" w:hAnsi="Times New Roman" w:cs="Times New Roman"/>
        </w:rPr>
        <w:t xml:space="preserve"> (</w:t>
      </w:r>
      <w:r>
        <w:rPr>
          <w:rFonts w:ascii="Times New Roman" w:hAnsi="Times New Roman" w:cs="Times New Roman"/>
        </w:rPr>
        <w:t>OMS</w:t>
      </w:r>
      <w:r w:rsidRPr="00B56BD8">
        <w:rPr>
          <w:rFonts w:ascii="Times New Roman" w:hAnsi="Times New Roman" w:cs="Times New Roman"/>
        </w:rPr>
        <w:t>), relatif à l'assistance fournie</w:t>
      </w:r>
      <w:r>
        <w:rPr>
          <w:rFonts w:ascii="Times New Roman" w:hAnsi="Times New Roman" w:cs="Times New Roman"/>
        </w:rPr>
        <w:t>,</w:t>
      </w:r>
      <w:r w:rsidRPr="00B56BD8">
        <w:rPr>
          <w:rFonts w:ascii="Times New Roman" w:hAnsi="Times New Roman" w:cs="Times New Roman"/>
        </w:rPr>
        <w:t xml:space="preserve"> </w:t>
      </w:r>
      <w:r w:rsidRPr="00341E3B">
        <w:rPr>
          <w:rFonts w:ascii="Times New Roman" w:hAnsi="Times New Roman" w:cs="Times New Roman"/>
          <w:b/>
        </w:rPr>
        <w:t xml:space="preserve">le </w:t>
      </w:r>
      <w:r w:rsidRPr="00341E3B">
        <w:rPr>
          <w:rFonts w:ascii="Times New Roman" w:hAnsi="Times New Roman" w:cs="Times New Roman"/>
          <w:b/>
          <w:bCs/>
        </w:rPr>
        <w:t>23 mars 1961</w:t>
      </w:r>
      <w:r w:rsidR="00341E3B">
        <w:rPr>
          <w:rFonts w:ascii="Times New Roman" w:hAnsi="Times New Roman" w:cs="Times New Roman"/>
          <w:b/>
          <w:bCs/>
        </w:rPr>
        <w:t>.</w:t>
      </w:r>
    </w:p>
    <w:p w14:paraId="3CF9AB42" w14:textId="415C7EF6" w:rsidR="005776C0" w:rsidRPr="005776C0" w:rsidRDefault="00341E3B" w:rsidP="005776C0">
      <w:pPr>
        <w:jc w:val="both"/>
        <w:rPr>
          <w:rFonts w:ascii="Times New Roman" w:hAnsi="Times New Roman" w:cs="Times New Roman"/>
        </w:rPr>
      </w:pPr>
      <w:r>
        <w:rPr>
          <w:rFonts w:ascii="Times New Roman" w:hAnsi="Times New Roman" w:cs="Times New Roman"/>
        </w:rPr>
        <w:t>h</w:t>
      </w:r>
      <w:r w:rsidR="005776C0" w:rsidRPr="005776C0">
        <w:rPr>
          <w:rFonts w:ascii="Times New Roman" w:hAnsi="Times New Roman" w:cs="Times New Roman"/>
        </w:rPr>
        <w:t>) Pour tous les organismes : Une assistance sera mise à la disposition du Gouvernement et elle sera fournie et reçue conformément aux résolutions et décisions pertinentes et applicables des structures de gouvernance de l'organisme compétent des Nations Unies [Ajouter des références aux autres organismes des Nations Unies si besoin est].</w:t>
      </w:r>
    </w:p>
    <w:p w14:paraId="512BEAAD" w14:textId="77777777" w:rsidR="005776C0" w:rsidRPr="005776C0" w:rsidRDefault="005776C0" w:rsidP="005776C0">
      <w:pPr>
        <w:jc w:val="both"/>
        <w:rPr>
          <w:rFonts w:ascii="Times New Roman" w:hAnsi="Times New Roman" w:cs="Times New Roman"/>
        </w:rPr>
      </w:pPr>
    </w:p>
    <w:p w14:paraId="77CE9741" w14:textId="1CD6D7AD" w:rsidR="00034DFA" w:rsidRPr="005776C0" w:rsidRDefault="005776C0" w:rsidP="005776C0">
      <w:pPr>
        <w:jc w:val="both"/>
        <w:rPr>
          <w:rFonts w:ascii="Times New Roman" w:hAnsi="Times New Roman" w:cs="Times New Roman"/>
        </w:rPr>
      </w:pPr>
      <w:r w:rsidRPr="005776C0">
        <w:rPr>
          <w:rFonts w:ascii="Times New Roman" w:hAnsi="Times New Roman" w:cs="Times New Roman"/>
        </w:rPr>
        <w:t>À l'égard de chacun des organismes des Nations Unies l'ayant signé, le PNUAD sera lu, interprété et exécuté en accord avec, et d'une manière conforme à l'accord de base conclu entre cet organisme des Nations Unies et le Gouvernement hôte.</w:t>
      </w:r>
    </w:p>
    <w:p w14:paraId="525DE2BF" w14:textId="77777777" w:rsidR="00C50AFD" w:rsidRPr="00161A7A" w:rsidRDefault="00C50AFD" w:rsidP="00161A7A">
      <w:pPr>
        <w:pStyle w:val="ListParagraph"/>
        <w:numPr>
          <w:ilvl w:val="0"/>
          <w:numId w:val="28"/>
        </w:numPr>
        <w:rPr>
          <w:b/>
        </w:rPr>
      </w:pPr>
      <w:r w:rsidRPr="00161A7A">
        <w:rPr>
          <w:b/>
        </w:rPr>
        <w:t>Gestion du programme et accords de reddition des comptes</w:t>
      </w:r>
    </w:p>
    <w:p w14:paraId="4B8D8B7A" w14:textId="77777777" w:rsidR="00034DFA" w:rsidRDefault="00034DFA" w:rsidP="00C50AFD">
      <w:pPr>
        <w:jc w:val="both"/>
        <w:rPr>
          <w:rFonts w:asciiTheme="majorHAnsi" w:hAnsiTheme="majorHAnsi" w:cstheme="majorBidi"/>
        </w:rPr>
      </w:pPr>
    </w:p>
    <w:p w14:paraId="3BFA6AE2" w14:textId="10E33200" w:rsidR="00695721" w:rsidRPr="00341E3B" w:rsidRDefault="00695721" w:rsidP="00C50AFD">
      <w:pPr>
        <w:jc w:val="both"/>
        <w:rPr>
          <w:rFonts w:ascii="Times New Roman" w:hAnsi="Times New Roman" w:cs="Times New Roman"/>
        </w:rPr>
      </w:pPr>
      <w:r w:rsidRPr="00341E3B">
        <w:rPr>
          <w:rFonts w:ascii="Times New Roman" w:hAnsi="Times New Roman" w:cs="Times New Roman"/>
        </w:rPr>
        <w:t>2.1. Arrangements de gestion</w:t>
      </w:r>
    </w:p>
    <w:p w14:paraId="66F98CEC" w14:textId="2EEAB6C4" w:rsidR="00C50AFD" w:rsidRPr="00341E3B" w:rsidRDefault="00C50AFD" w:rsidP="00C50AFD">
      <w:pPr>
        <w:jc w:val="both"/>
        <w:rPr>
          <w:rFonts w:ascii="Times New Roman" w:hAnsi="Times New Roman" w:cs="Times New Roman"/>
        </w:rPr>
      </w:pPr>
      <w:r w:rsidRPr="00341E3B">
        <w:rPr>
          <w:rFonts w:ascii="Times New Roman" w:hAnsi="Times New Roman" w:cs="Times New Roman"/>
        </w:rPr>
        <w:t xml:space="preserve">Le programme sera exécuté à l'échelle nationale sous la coordination globale de </w:t>
      </w:r>
      <w:r w:rsidRPr="00341E3B">
        <w:rPr>
          <w:rFonts w:ascii="Times New Roman" w:hAnsi="Times New Roman" w:cs="Times New Roman"/>
          <w:u w:val="single"/>
        </w:rPr>
        <w:tab/>
      </w:r>
      <w:r w:rsidRPr="00341E3B">
        <w:rPr>
          <w:rFonts w:ascii="Times New Roman" w:hAnsi="Times New Roman" w:cs="Times New Roman"/>
        </w:rPr>
        <w:t xml:space="preserve"> (Autorité gouvernementale de coordination). Les autorités gouvernementales de coordination en charge des programmes spécifiques des organismes des Nations Unies sont mentionnées à l'Annexe X. Les ministères, les ONG, les ONGI, et les organismes des Nations Unies mettront en œuvre les activités programmatiques. Le PNUAD deviendra opérationnel grâce à l'élaboration de plans de travail conjoints 3 et/ou de plans de travail particuliers à un organisme et les documents de projets jugés nécessaires, ces derniers décriront les résultats spécifiques devant être obtenus, et constitueront un accord entre les organismes des Nations Unies et chacun des partenaires d'exécution, en tant que de besoin, relativement à l'utilisation des ressources. Dans la mesure du possible, les organismes des Nations Unies et les partenaires recourront au minimum de documents nécessaires, à savoir, le PNUAD signé et les plans de travail conjoints ou particuliers à un organisme, également signés, ainsi que les documents de projet pour la mise en œuvre des initiatives programmatiques. Cependant, si cela s'avère nécessaire et opportun, les documents de projet peuvent être préparés en utilisant entre autres, le texte pertinent extrait du PNUAD et des plans de travail conjoints ou particuliers à un organisme</w:t>
      </w:r>
    </w:p>
    <w:p w14:paraId="5D6E4D1D" w14:textId="7701F1EE" w:rsidR="00695721" w:rsidRPr="00C50AFD" w:rsidRDefault="00695721" w:rsidP="00C50AFD">
      <w:pPr>
        <w:jc w:val="both"/>
        <w:rPr>
          <w:rFonts w:asciiTheme="majorHAnsi" w:hAnsiTheme="majorHAnsi" w:cstheme="majorBidi"/>
        </w:rPr>
      </w:pPr>
      <w:r>
        <w:t>2.2. Approche Harmonisée de transfert de cash (HACT)</w:t>
      </w:r>
    </w:p>
    <w:p w14:paraId="079832BE" w14:textId="77777777" w:rsidR="00695721" w:rsidRPr="00341E3B" w:rsidRDefault="00695721" w:rsidP="00695721">
      <w:pPr>
        <w:pStyle w:val="BodyText"/>
        <w:kinsoku w:val="0"/>
        <w:overflowPunct w:val="0"/>
        <w:spacing w:before="0" w:line="200" w:lineRule="atLeast"/>
        <w:ind w:left="251"/>
        <w:rPr>
          <w:rFonts w:ascii="Times New Roman" w:hAnsi="Times New Roman" w:cs="Times New Roman"/>
          <w:sz w:val="22"/>
          <w:szCs w:val="22"/>
          <w:lang w:val="es-ES_tradnl"/>
        </w:rPr>
      </w:pPr>
      <w:r w:rsidRPr="00341E3B">
        <w:rPr>
          <w:rFonts w:ascii="Times New Roman" w:hAnsi="Times New Roman" w:cs="Times New Roman"/>
          <w:sz w:val="22"/>
          <w:szCs w:val="22"/>
          <w:lang w:val="fr-FR"/>
        </w:rPr>
        <w:t>L'ensemble des espèces transférées à un Partenaire d'exécution sont versées sur la base des plans de travail 5) convenus entre le Partenaire d'exécution et les organismes des Nations Unies.</w:t>
      </w:r>
    </w:p>
    <w:p w14:paraId="74DF5FA3" w14:textId="77777777" w:rsidR="00695721" w:rsidRPr="00341E3B" w:rsidRDefault="00695721" w:rsidP="00695721">
      <w:pPr>
        <w:pStyle w:val="BodyText"/>
        <w:kinsoku w:val="0"/>
        <w:overflowPunct w:val="0"/>
        <w:spacing w:line="266" w:lineRule="auto"/>
        <w:ind w:left="204" w:right="232"/>
        <w:rPr>
          <w:rFonts w:ascii="Times New Roman" w:hAnsi="Times New Roman" w:cs="Times New Roman"/>
          <w:sz w:val="22"/>
          <w:szCs w:val="22"/>
          <w:lang w:val="es-ES_tradnl"/>
        </w:rPr>
      </w:pPr>
      <w:r w:rsidRPr="00341E3B">
        <w:rPr>
          <w:rFonts w:ascii="Times New Roman" w:hAnsi="Times New Roman" w:cs="Times New Roman"/>
          <w:sz w:val="22"/>
          <w:szCs w:val="22"/>
          <w:lang w:val="fr-FR"/>
        </w:rPr>
        <w:t>Les transferts d'espèces pour les activités détaillées dans les plans de travail peuvent être effectués par les organismes des Nations Unies suivant les modalités suivantes :</w:t>
      </w:r>
    </w:p>
    <w:p w14:paraId="3864EE65"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es-ES_tradnl"/>
        </w:rPr>
      </w:pPr>
    </w:p>
    <w:p w14:paraId="131A6E0A" w14:textId="77777777" w:rsidR="00695721" w:rsidRPr="00341E3B" w:rsidRDefault="00695721" w:rsidP="00695721">
      <w:pPr>
        <w:pStyle w:val="BodyText"/>
        <w:numPr>
          <w:ilvl w:val="0"/>
          <w:numId w:val="23"/>
        </w:numPr>
        <w:tabs>
          <w:tab w:val="left" w:pos="598"/>
        </w:tabs>
        <w:kinsoku w:val="0"/>
        <w:overflowPunct w:val="0"/>
        <w:ind w:left="564"/>
        <w:rPr>
          <w:rFonts w:ascii="Times New Roman" w:hAnsi="Times New Roman" w:cs="Times New Roman"/>
          <w:sz w:val="22"/>
          <w:szCs w:val="22"/>
          <w:lang w:val="fr-FR"/>
        </w:rPr>
      </w:pPr>
      <w:r w:rsidRPr="00341E3B">
        <w:rPr>
          <w:rFonts w:ascii="Times New Roman" w:hAnsi="Times New Roman" w:cs="Times New Roman"/>
          <w:sz w:val="22"/>
          <w:szCs w:val="22"/>
          <w:lang w:val="fr-FR"/>
        </w:rPr>
        <w:t>Espèces transférées directement au Partenaire d'exécution :</w:t>
      </w:r>
    </w:p>
    <w:p w14:paraId="77FC24D6"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fr-FR"/>
        </w:rPr>
      </w:pPr>
    </w:p>
    <w:p w14:paraId="1F1E1038" w14:textId="77777777" w:rsidR="00695721" w:rsidRPr="00341E3B" w:rsidRDefault="00695721" w:rsidP="00695721">
      <w:pPr>
        <w:pStyle w:val="BodyText"/>
        <w:numPr>
          <w:ilvl w:val="1"/>
          <w:numId w:val="23"/>
        </w:numPr>
        <w:tabs>
          <w:tab w:val="left" w:pos="1318"/>
        </w:tabs>
        <w:kinsoku w:val="0"/>
        <w:overflowPunct w:val="0"/>
        <w:ind w:left="1284"/>
        <w:rPr>
          <w:rFonts w:ascii="Times New Roman" w:hAnsi="Times New Roman" w:cs="Times New Roman"/>
          <w:sz w:val="22"/>
          <w:szCs w:val="22"/>
          <w:lang w:val="fr-FR"/>
        </w:rPr>
      </w:pPr>
      <w:r w:rsidRPr="00341E3B">
        <w:rPr>
          <w:rFonts w:ascii="Times New Roman" w:hAnsi="Times New Roman" w:cs="Times New Roman"/>
          <w:sz w:val="22"/>
          <w:szCs w:val="22"/>
          <w:lang w:val="fr-FR"/>
        </w:rPr>
        <w:t>Avant le début des activités (transfert direct d'espèces) ou</w:t>
      </w:r>
    </w:p>
    <w:p w14:paraId="5F60EC2A"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fr-FR"/>
        </w:rPr>
      </w:pPr>
    </w:p>
    <w:p w14:paraId="2450ED76" w14:textId="77777777" w:rsidR="00695721" w:rsidRPr="00341E3B" w:rsidRDefault="00695721" w:rsidP="00695721">
      <w:pPr>
        <w:pStyle w:val="BodyText"/>
        <w:numPr>
          <w:ilvl w:val="1"/>
          <w:numId w:val="23"/>
        </w:numPr>
        <w:tabs>
          <w:tab w:val="left" w:pos="1318"/>
        </w:tabs>
        <w:kinsoku w:val="0"/>
        <w:overflowPunct w:val="0"/>
        <w:ind w:left="1284"/>
        <w:rPr>
          <w:rFonts w:ascii="Times New Roman" w:hAnsi="Times New Roman" w:cs="Times New Roman"/>
          <w:sz w:val="22"/>
          <w:szCs w:val="22"/>
          <w:lang w:val="fr-FR"/>
        </w:rPr>
      </w:pPr>
      <w:r w:rsidRPr="00341E3B">
        <w:rPr>
          <w:rFonts w:ascii="Times New Roman" w:hAnsi="Times New Roman" w:cs="Times New Roman"/>
          <w:sz w:val="22"/>
          <w:szCs w:val="22"/>
          <w:lang w:val="fr-FR"/>
        </w:rPr>
        <w:t>Après que les activités aient été achevées (remboursement) ;</w:t>
      </w:r>
    </w:p>
    <w:p w14:paraId="4FB2986A" w14:textId="77777777" w:rsidR="00695721" w:rsidRPr="00341E3B" w:rsidRDefault="00695721" w:rsidP="00695721">
      <w:pPr>
        <w:pStyle w:val="BodyText"/>
        <w:kinsoku w:val="0"/>
        <w:overflowPunct w:val="0"/>
        <w:spacing w:before="4"/>
        <w:ind w:left="-33"/>
        <w:rPr>
          <w:rFonts w:ascii="Times New Roman" w:hAnsi="Times New Roman" w:cs="Times New Roman"/>
          <w:sz w:val="22"/>
          <w:szCs w:val="22"/>
          <w:lang w:val="fr-FR"/>
        </w:rPr>
      </w:pPr>
    </w:p>
    <w:p w14:paraId="118DFE77" w14:textId="77777777" w:rsidR="00695721" w:rsidRPr="00341E3B" w:rsidRDefault="00695721" w:rsidP="00695721">
      <w:pPr>
        <w:pStyle w:val="BodyText"/>
        <w:numPr>
          <w:ilvl w:val="0"/>
          <w:numId w:val="23"/>
        </w:numPr>
        <w:tabs>
          <w:tab w:val="left" w:pos="598"/>
        </w:tabs>
        <w:kinsoku w:val="0"/>
        <w:overflowPunct w:val="0"/>
        <w:spacing w:line="266" w:lineRule="auto"/>
        <w:ind w:left="564" w:right="232"/>
        <w:rPr>
          <w:rFonts w:ascii="Times New Roman" w:hAnsi="Times New Roman" w:cs="Times New Roman"/>
          <w:sz w:val="22"/>
          <w:szCs w:val="22"/>
          <w:lang w:val="fr-FR"/>
        </w:rPr>
      </w:pPr>
      <w:r w:rsidRPr="00341E3B">
        <w:rPr>
          <w:rFonts w:ascii="Times New Roman" w:hAnsi="Times New Roman" w:cs="Times New Roman"/>
          <w:sz w:val="22"/>
          <w:szCs w:val="22"/>
          <w:lang w:val="fr-FR"/>
        </w:rPr>
        <w:t>Fonds versés directement aux fournisseurs ou tiers pour les obligations contractées par les Partenaires d'exécution sur la base des demandes signées par le représentant officiel désigné du Partenaire d'exécution ;</w:t>
      </w:r>
    </w:p>
    <w:p w14:paraId="0F67DA8C" w14:textId="77777777" w:rsidR="00695721" w:rsidRPr="00341E3B" w:rsidRDefault="00695721" w:rsidP="00695721">
      <w:pPr>
        <w:pStyle w:val="BodyText"/>
        <w:kinsoku w:val="0"/>
        <w:overflowPunct w:val="0"/>
        <w:spacing w:before="1"/>
        <w:ind w:left="-33"/>
        <w:rPr>
          <w:rFonts w:ascii="Times New Roman" w:hAnsi="Times New Roman" w:cs="Times New Roman"/>
          <w:sz w:val="22"/>
          <w:szCs w:val="22"/>
          <w:lang w:val="fr-FR"/>
        </w:rPr>
      </w:pPr>
    </w:p>
    <w:p w14:paraId="1E37F2FF" w14:textId="77777777" w:rsidR="00695721" w:rsidRPr="00341E3B" w:rsidRDefault="00695721" w:rsidP="00695721">
      <w:pPr>
        <w:pStyle w:val="BodyText"/>
        <w:numPr>
          <w:ilvl w:val="0"/>
          <w:numId w:val="23"/>
        </w:numPr>
        <w:tabs>
          <w:tab w:val="left" w:pos="598"/>
        </w:tabs>
        <w:kinsoku w:val="0"/>
        <w:overflowPunct w:val="0"/>
        <w:spacing w:line="266" w:lineRule="auto"/>
        <w:ind w:left="564" w:right="232"/>
        <w:rPr>
          <w:rFonts w:ascii="Times New Roman" w:hAnsi="Times New Roman" w:cs="Times New Roman"/>
          <w:sz w:val="22"/>
          <w:szCs w:val="22"/>
          <w:lang w:val="fr-FR"/>
        </w:rPr>
      </w:pPr>
      <w:r w:rsidRPr="00341E3B">
        <w:rPr>
          <w:rFonts w:ascii="Times New Roman" w:hAnsi="Times New Roman" w:cs="Times New Roman"/>
          <w:sz w:val="22"/>
          <w:szCs w:val="22"/>
          <w:lang w:val="fr-FR"/>
        </w:rPr>
        <w:t>Fonds versés directement aux fournisseurs ou aux tiers pour les obligations contractées par les organismes des Nations Unies à l'appui des activités convenues avec les Partenaires d'exécution.</w:t>
      </w:r>
    </w:p>
    <w:p w14:paraId="6371D4B6" w14:textId="77777777" w:rsidR="00695721" w:rsidRPr="00341E3B" w:rsidRDefault="00695721" w:rsidP="00695721">
      <w:pPr>
        <w:pStyle w:val="BodyText"/>
        <w:kinsoku w:val="0"/>
        <w:overflowPunct w:val="0"/>
        <w:spacing w:before="4"/>
        <w:ind w:left="-33"/>
        <w:rPr>
          <w:rFonts w:ascii="Times New Roman" w:hAnsi="Times New Roman" w:cs="Times New Roman"/>
          <w:sz w:val="22"/>
          <w:szCs w:val="22"/>
          <w:lang w:val="fr-FR"/>
        </w:rPr>
      </w:pPr>
    </w:p>
    <w:p w14:paraId="20FA2D2D" w14:textId="77777777" w:rsidR="00695721" w:rsidRPr="00341E3B" w:rsidRDefault="00695721" w:rsidP="00695721">
      <w:pPr>
        <w:pStyle w:val="BodyText"/>
        <w:kinsoku w:val="0"/>
        <w:overflowPunct w:val="0"/>
        <w:spacing w:line="264" w:lineRule="auto"/>
        <w:ind w:left="204" w:right="232"/>
        <w:rPr>
          <w:rFonts w:ascii="Times New Roman" w:hAnsi="Times New Roman" w:cs="Times New Roman"/>
          <w:sz w:val="22"/>
          <w:szCs w:val="22"/>
          <w:lang w:val="es-ES_tradnl"/>
        </w:rPr>
      </w:pPr>
      <w:r w:rsidRPr="00341E3B">
        <w:rPr>
          <w:rFonts w:ascii="Times New Roman" w:hAnsi="Times New Roman" w:cs="Times New Roman"/>
          <w:sz w:val="22"/>
          <w:szCs w:val="22"/>
          <w:lang w:val="fr-FR"/>
        </w:rPr>
        <w:t>[Dans les pays où il a été convenu que les espèces seront transférées à l'intention d'institutions autres que le Partenaire d'exécution (par exemple, le Trésor public), veuillez remplacer par le texte suivant :]</w:t>
      </w:r>
    </w:p>
    <w:p w14:paraId="38A3CFC5"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es-ES_tradnl"/>
        </w:rPr>
      </w:pPr>
    </w:p>
    <w:p w14:paraId="7F6689C9" w14:textId="77777777" w:rsidR="00695721" w:rsidRPr="00341E3B" w:rsidRDefault="00695721" w:rsidP="00695721">
      <w:pPr>
        <w:pStyle w:val="BodyText"/>
        <w:kinsoku w:val="0"/>
        <w:overflowPunct w:val="0"/>
        <w:spacing w:line="266" w:lineRule="auto"/>
        <w:ind w:left="204" w:right="232"/>
        <w:rPr>
          <w:rFonts w:ascii="Times New Roman" w:hAnsi="Times New Roman" w:cs="Times New Roman"/>
          <w:sz w:val="22"/>
          <w:szCs w:val="22"/>
          <w:lang w:val="es-ES_tradnl"/>
        </w:rPr>
      </w:pPr>
      <w:r w:rsidRPr="00341E3B">
        <w:rPr>
          <w:rFonts w:ascii="Times New Roman" w:hAnsi="Times New Roman" w:cs="Times New Roman"/>
          <w:sz w:val="22"/>
          <w:szCs w:val="22"/>
          <w:lang w:val="fr-FR"/>
        </w:rPr>
        <w:t>Les transferts d'espèces pour les activités détaillées dans les plans de travail peuvent être effectués par les organismes des Nations Unies suivant les modalités suivantes :</w:t>
      </w:r>
    </w:p>
    <w:p w14:paraId="1BC0E054" w14:textId="77777777" w:rsidR="00695721" w:rsidRPr="00341E3B" w:rsidRDefault="00695721" w:rsidP="00695721">
      <w:pPr>
        <w:pStyle w:val="BodyText"/>
        <w:kinsoku w:val="0"/>
        <w:overflowPunct w:val="0"/>
        <w:spacing w:before="4"/>
        <w:ind w:left="-33"/>
        <w:rPr>
          <w:rFonts w:ascii="Times New Roman" w:hAnsi="Times New Roman" w:cs="Times New Roman"/>
          <w:sz w:val="22"/>
          <w:szCs w:val="22"/>
          <w:lang w:val="es-ES_tradnl"/>
        </w:rPr>
      </w:pPr>
    </w:p>
    <w:p w14:paraId="102CB2B2" w14:textId="516AB72E" w:rsidR="00034DFA" w:rsidRPr="00341E3B" w:rsidRDefault="00695721" w:rsidP="00695721">
      <w:pPr>
        <w:rPr>
          <w:rFonts w:ascii="Times New Roman" w:hAnsi="Times New Roman" w:cs="Times New Roman"/>
        </w:rPr>
      </w:pPr>
      <w:r w:rsidRPr="00341E3B">
        <w:rPr>
          <w:rFonts w:ascii="Times New Roman" w:hAnsi="Times New Roman" w:cs="Times New Roman"/>
        </w:rPr>
        <w:t>Espèces transférées à [institution nationale] pour une transmission au Partenaire d'exécution :</w:t>
      </w:r>
    </w:p>
    <w:p w14:paraId="334536F1" w14:textId="77777777" w:rsidR="00695721" w:rsidRPr="00341E3B" w:rsidRDefault="00695721" w:rsidP="00695721">
      <w:pPr>
        <w:pStyle w:val="BodyText"/>
        <w:numPr>
          <w:ilvl w:val="1"/>
          <w:numId w:val="24"/>
        </w:numPr>
        <w:tabs>
          <w:tab w:val="left" w:pos="958"/>
        </w:tabs>
        <w:kinsoku w:val="0"/>
        <w:overflowPunct w:val="0"/>
        <w:spacing w:before="81"/>
        <w:ind w:left="924"/>
        <w:rPr>
          <w:rFonts w:ascii="Times New Roman" w:hAnsi="Times New Roman" w:cs="Times New Roman"/>
          <w:sz w:val="22"/>
          <w:szCs w:val="22"/>
          <w:lang w:val="fr-FR"/>
        </w:rPr>
      </w:pPr>
      <w:r w:rsidRPr="00341E3B">
        <w:rPr>
          <w:rFonts w:ascii="Times New Roman" w:hAnsi="Times New Roman" w:cs="Times New Roman"/>
          <w:sz w:val="22"/>
          <w:szCs w:val="22"/>
          <w:lang w:val="fr-FR"/>
        </w:rPr>
        <w:t>Avant le début des activités (transfert direct d'espèces) ou</w:t>
      </w:r>
    </w:p>
    <w:p w14:paraId="01599206"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fr-FR"/>
        </w:rPr>
      </w:pPr>
    </w:p>
    <w:p w14:paraId="644394D1" w14:textId="77777777" w:rsidR="00695721" w:rsidRPr="00341E3B" w:rsidRDefault="00695721" w:rsidP="00695721">
      <w:pPr>
        <w:pStyle w:val="BodyText"/>
        <w:numPr>
          <w:ilvl w:val="1"/>
          <w:numId w:val="24"/>
        </w:numPr>
        <w:tabs>
          <w:tab w:val="left" w:pos="958"/>
        </w:tabs>
        <w:kinsoku w:val="0"/>
        <w:overflowPunct w:val="0"/>
        <w:ind w:left="924"/>
        <w:rPr>
          <w:rFonts w:ascii="Times New Roman" w:hAnsi="Times New Roman" w:cs="Times New Roman"/>
          <w:sz w:val="22"/>
          <w:szCs w:val="22"/>
          <w:lang w:val="fr-FR"/>
        </w:rPr>
      </w:pPr>
      <w:r w:rsidRPr="00341E3B">
        <w:rPr>
          <w:rFonts w:ascii="Times New Roman" w:hAnsi="Times New Roman" w:cs="Times New Roman"/>
          <w:sz w:val="22"/>
          <w:szCs w:val="22"/>
          <w:lang w:val="fr-FR"/>
        </w:rPr>
        <w:t>Après que les activités aient été achevées (remboursement).</w:t>
      </w:r>
    </w:p>
    <w:p w14:paraId="0FB10F50" w14:textId="77777777" w:rsidR="00695721" w:rsidRPr="00341E3B" w:rsidRDefault="00695721" w:rsidP="00695721">
      <w:pPr>
        <w:pStyle w:val="BodyText"/>
        <w:kinsoku w:val="0"/>
        <w:overflowPunct w:val="0"/>
        <w:spacing w:before="4"/>
        <w:ind w:left="-33"/>
        <w:rPr>
          <w:rFonts w:ascii="Times New Roman" w:hAnsi="Times New Roman" w:cs="Times New Roman"/>
          <w:sz w:val="22"/>
          <w:szCs w:val="22"/>
          <w:lang w:val="fr-FR"/>
        </w:rPr>
      </w:pPr>
    </w:p>
    <w:p w14:paraId="16A538E5" w14:textId="77777777" w:rsidR="00695721" w:rsidRPr="00341E3B" w:rsidRDefault="00695721" w:rsidP="00695721">
      <w:pPr>
        <w:pStyle w:val="BodyText"/>
        <w:numPr>
          <w:ilvl w:val="0"/>
          <w:numId w:val="24"/>
        </w:numPr>
        <w:tabs>
          <w:tab w:val="left" w:pos="598"/>
        </w:tabs>
        <w:kinsoku w:val="0"/>
        <w:overflowPunct w:val="0"/>
        <w:spacing w:line="266" w:lineRule="auto"/>
        <w:ind w:left="564" w:right="232"/>
        <w:rPr>
          <w:rFonts w:ascii="Times New Roman" w:hAnsi="Times New Roman" w:cs="Times New Roman"/>
          <w:sz w:val="22"/>
          <w:szCs w:val="22"/>
          <w:lang w:val="fr-FR"/>
        </w:rPr>
      </w:pPr>
      <w:r w:rsidRPr="00341E3B">
        <w:rPr>
          <w:rFonts w:ascii="Times New Roman" w:hAnsi="Times New Roman" w:cs="Times New Roman"/>
          <w:sz w:val="22"/>
          <w:szCs w:val="22"/>
          <w:lang w:val="fr-FR"/>
        </w:rPr>
        <w:t>Fonds versés directement aux fournisseurs ou tiers pour les obligations contractées par les Partenaires d'exécution sur la base des demandes signées par le représentant officiel désigné du Partenaire d'exécution.</w:t>
      </w:r>
    </w:p>
    <w:p w14:paraId="5B8471F2" w14:textId="77777777" w:rsidR="00695721" w:rsidRPr="00341E3B" w:rsidRDefault="00695721" w:rsidP="00695721">
      <w:pPr>
        <w:pStyle w:val="BodyText"/>
        <w:kinsoku w:val="0"/>
        <w:overflowPunct w:val="0"/>
        <w:spacing w:before="4"/>
        <w:ind w:left="-33"/>
        <w:rPr>
          <w:rFonts w:ascii="Times New Roman" w:hAnsi="Times New Roman" w:cs="Times New Roman"/>
          <w:sz w:val="22"/>
          <w:szCs w:val="22"/>
          <w:lang w:val="fr-FR"/>
        </w:rPr>
      </w:pPr>
    </w:p>
    <w:p w14:paraId="03143912" w14:textId="77777777" w:rsidR="00695721" w:rsidRPr="00341E3B" w:rsidRDefault="00695721" w:rsidP="00695721">
      <w:pPr>
        <w:pStyle w:val="BodyText"/>
        <w:numPr>
          <w:ilvl w:val="0"/>
          <w:numId w:val="24"/>
        </w:numPr>
        <w:tabs>
          <w:tab w:val="left" w:pos="598"/>
        </w:tabs>
        <w:kinsoku w:val="0"/>
        <w:overflowPunct w:val="0"/>
        <w:spacing w:line="264" w:lineRule="auto"/>
        <w:ind w:left="564" w:right="232"/>
        <w:rPr>
          <w:rFonts w:ascii="Times New Roman" w:hAnsi="Times New Roman" w:cs="Times New Roman"/>
          <w:sz w:val="22"/>
          <w:szCs w:val="22"/>
          <w:lang w:val="fr-FR"/>
        </w:rPr>
      </w:pPr>
      <w:r w:rsidRPr="00341E3B">
        <w:rPr>
          <w:rFonts w:ascii="Times New Roman" w:hAnsi="Times New Roman" w:cs="Times New Roman"/>
          <w:sz w:val="22"/>
          <w:szCs w:val="22"/>
          <w:lang w:val="fr-FR"/>
        </w:rPr>
        <w:t>Fonds versés directement aux fournisseurs ou aux tiers pour les obligations contractées par les organismes des Nations Unies à l'appui des activités convenues avec les Partenaires d'exécution.</w:t>
      </w:r>
    </w:p>
    <w:p w14:paraId="39DE0716" w14:textId="77777777" w:rsidR="00695721" w:rsidRPr="00341E3B" w:rsidRDefault="00695721" w:rsidP="00695721">
      <w:pPr>
        <w:pStyle w:val="BodyText"/>
        <w:kinsoku w:val="0"/>
        <w:overflowPunct w:val="0"/>
        <w:spacing w:before="6"/>
        <w:ind w:left="-33"/>
        <w:rPr>
          <w:rFonts w:ascii="Times New Roman" w:hAnsi="Times New Roman" w:cs="Times New Roman"/>
          <w:sz w:val="22"/>
          <w:szCs w:val="22"/>
          <w:lang w:val="fr-FR"/>
        </w:rPr>
      </w:pPr>
    </w:p>
    <w:p w14:paraId="15C29C88" w14:textId="77777777" w:rsidR="00695721" w:rsidRPr="00341E3B" w:rsidRDefault="00695721" w:rsidP="00695721">
      <w:pPr>
        <w:pStyle w:val="BodyText"/>
        <w:kinsoku w:val="0"/>
        <w:overflowPunct w:val="0"/>
        <w:spacing w:line="266" w:lineRule="auto"/>
        <w:ind w:left="204" w:right="232"/>
        <w:rPr>
          <w:rFonts w:ascii="Times New Roman" w:hAnsi="Times New Roman" w:cs="Times New Roman"/>
          <w:sz w:val="22"/>
          <w:szCs w:val="22"/>
          <w:lang w:val="fr-FR"/>
        </w:rPr>
      </w:pPr>
      <w:r w:rsidRPr="00341E3B">
        <w:rPr>
          <w:rFonts w:ascii="Times New Roman" w:hAnsi="Times New Roman" w:cs="Times New Roman"/>
          <w:sz w:val="22"/>
          <w:szCs w:val="22"/>
          <w:lang w:val="fr-FR"/>
        </w:rPr>
        <w:t>Lorsque des transferts d'espèces sont effectués à l'intention de [institution nationale], le/la [institution nationale] les transmettra rapidement au Partenaire d'exécution.</w:t>
      </w:r>
    </w:p>
    <w:p w14:paraId="65FBC719" w14:textId="77777777" w:rsidR="00695721" w:rsidRPr="00341E3B" w:rsidRDefault="00695721" w:rsidP="00695721">
      <w:pPr>
        <w:pStyle w:val="BodyText"/>
        <w:kinsoku w:val="0"/>
        <w:overflowPunct w:val="0"/>
        <w:spacing w:before="1"/>
        <w:ind w:left="-33"/>
        <w:rPr>
          <w:rFonts w:ascii="Times New Roman" w:hAnsi="Times New Roman" w:cs="Times New Roman"/>
          <w:sz w:val="22"/>
          <w:szCs w:val="22"/>
          <w:lang w:val="fr-FR"/>
        </w:rPr>
      </w:pPr>
    </w:p>
    <w:p w14:paraId="0712050B" w14:textId="77777777" w:rsidR="00695721" w:rsidRPr="00341E3B" w:rsidRDefault="00695721" w:rsidP="00695721">
      <w:pPr>
        <w:pStyle w:val="BodyText"/>
        <w:kinsoku w:val="0"/>
        <w:overflowPunct w:val="0"/>
        <w:spacing w:line="264" w:lineRule="auto"/>
        <w:ind w:left="204" w:right="227"/>
        <w:jc w:val="both"/>
        <w:rPr>
          <w:rFonts w:ascii="Times New Roman" w:hAnsi="Times New Roman" w:cs="Times New Roman"/>
          <w:sz w:val="22"/>
          <w:szCs w:val="22"/>
          <w:lang w:val="es-ES_tradnl"/>
        </w:rPr>
      </w:pPr>
      <w:r w:rsidRPr="00341E3B">
        <w:rPr>
          <w:rFonts w:ascii="Times New Roman" w:hAnsi="Times New Roman" w:cs="Times New Roman"/>
          <w:sz w:val="22"/>
          <w:szCs w:val="22"/>
          <w:lang w:val="fr-FR"/>
        </w:rPr>
        <w:t>Les transferts directs d'espèces sont demandés et effectués pour des périodes d’exécution de programmes n'excédant pas trois mois. Le remboursement des dépenses préalablement autorisées est demandé et effectué sur une base trimestrielle ou après l'achèvement des activités. Les organismes des Nations Unies ne sont pas tenus de rembourser les dépenses engagées par le Partenaire d’exécution au-delà des montants ayant été autorisés.</w:t>
      </w:r>
    </w:p>
    <w:p w14:paraId="59582D3E" w14:textId="77777777" w:rsidR="00695721" w:rsidRPr="00341E3B" w:rsidRDefault="00695721" w:rsidP="00695721">
      <w:pPr>
        <w:pStyle w:val="BodyText"/>
        <w:kinsoku w:val="0"/>
        <w:overflowPunct w:val="0"/>
        <w:spacing w:before="3"/>
        <w:ind w:left="-33"/>
        <w:rPr>
          <w:rFonts w:ascii="Times New Roman" w:hAnsi="Times New Roman" w:cs="Times New Roman"/>
          <w:sz w:val="22"/>
          <w:szCs w:val="22"/>
          <w:lang w:val="es-ES_tradnl"/>
        </w:rPr>
      </w:pPr>
    </w:p>
    <w:p w14:paraId="26CC90D8" w14:textId="77777777" w:rsidR="00695721" w:rsidRPr="00341E3B" w:rsidRDefault="00695721" w:rsidP="00695721">
      <w:pPr>
        <w:pStyle w:val="BodyText"/>
        <w:kinsoku w:val="0"/>
        <w:overflowPunct w:val="0"/>
        <w:spacing w:line="266" w:lineRule="auto"/>
        <w:ind w:left="204" w:right="232"/>
        <w:rPr>
          <w:rFonts w:ascii="Times New Roman" w:hAnsi="Times New Roman" w:cs="Times New Roman"/>
          <w:sz w:val="22"/>
          <w:szCs w:val="22"/>
          <w:lang w:val="es-ES_tradnl"/>
        </w:rPr>
      </w:pPr>
      <w:r w:rsidRPr="00341E3B">
        <w:rPr>
          <w:rFonts w:ascii="Times New Roman" w:hAnsi="Times New Roman" w:cs="Times New Roman"/>
          <w:sz w:val="22"/>
          <w:szCs w:val="22"/>
          <w:lang w:val="fr-FR"/>
        </w:rPr>
        <w:t>À la suite d'une activité arrivée à son terme, tout solde de fonds fera l'objet d'un remboursement ou d'une affectation à un autre programme suivant un accord mutuel entre le Partenaire d'exécution et les organismes des Nations Unies.</w:t>
      </w:r>
    </w:p>
    <w:p w14:paraId="10DD88D6" w14:textId="77777777" w:rsidR="00695721" w:rsidRPr="00341E3B" w:rsidRDefault="00695721" w:rsidP="00695721">
      <w:pPr>
        <w:pStyle w:val="BodyText"/>
        <w:kinsoku w:val="0"/>
        <w:overflowPunct w:val="0"/>
        <w:spacing w:before="1"/>
        <w:ind w:left="-33"/>
        <w:rPr>
          <w:rFonts w:ascii="Times New Roman" w:hAnsi="Times New Roman" w:cs="Times New Roman"/>
          <w:sz w:val="22"/>
          <w:szCs w:val="22"/>
          <w:lang w:val="es-ES_tradnl"/>
        </w:rPr>
      </w:pPr>
    </w:p>
    <w:p w14:paraId="1DD72F78" w14:textId="77777777" w:rsidR="00695721" w:rsidRPr="00341E3B" w:rsidRDefault="00695721" w:rsidP="00695721">
      <w:pPr>
        <w:pStyle w:val="BodyText"/>
        <w:kinsoku w:val="0"/>
        <w:overflowPunct w:val="0"/>
        <w:spacing w:line="263" w:lineRule="auto"/>
        <w:ind w:left="204" w:right="218"/>
        <w:jc w:val="both"/>
        <w:rPr>
          <w:rFonts w:ascii="Times New Roman" w:hAnsi="Times New Roman" w:cs="Times New Roman"/>
          <w:sz w:val="22"/>
          <w:szCs w:val="22"/>
          <w:lang w:val="fr-FR"/>
        </w:rPr>
      </w:pPr>
      <w:r w:rsidRPr="00341E3B">
        <w:rPr>
          <w:rFonts w:ascii="Times New Roman" w:hAnsi="Times New Roman" w:cs="Times New Roman"/>
          <w:sz w:val="22"/>
          <w:szCs w:val="22"/>
          <w:lang w:val="fr-FR"/>
        </w:rPr>
        <w:t>Les modalités des transferts d'espèces, le volume des décaissements ainsi que le cadre et la fréquence des activités d'assurance, peuvent dépendre des observations consécutives à un examen de la capacité de gestion des fonds publics dans le cas d'un Partenaire d'exécution gouvernemental, et de l'évaluation de la capacité de gestion financière d'un partenaire d'exécution extérieur aux Nations Unies.6 . Un consultant qualifié, tel qu'un cabinet d'experts-comptables choisi par les organismes des Nations Unies, peut diligenter une telle évaluation, à laquelle le Partenaire d'exécution peut participer. Le Partenaire d'exécution peut contribuer à la désignation du consultant.</w:t>
      </w:r>
    </w:p>
    <w:p w14:paraId="6344CB22" w14:textId="77777777" w:rsidR="00695721" w:rsidRPr="00341E3B" w:rsidRDefault="00695721" w:rsidP="00695721">
      <w:pPr>
        <w:pStyle w:val="BodyText"/>
        <w:kinsoku w:val="0"/>
        <w:overflowPunct w:val="0"/>
        <w:spacing w:before="7"/>
        <w:ind w:left="-33"/>
        <w:rPr>
          <w:rFonts w:ascii="Times New Roman" w:hAnsi="Times New Roman" w:cs="Times New Roman"/>
          <w:sz w:val="22"/>
          <w:szCs w:val="22"/>
          <w:lang w:val="fr-FR"/>
        </w:rPr>
      </w:pPr>
    </w:p>
    <w:p w14:paraId="62A6C7A0" w14:textId="6131CE90" w:rsidR="00695721" w:rsidRPr="00341E3B" w:rsidRDefault="00695721" w:rsidP="00695721">
      <w:pPr>
        <w:rPr>
          <w:rFonts w:ascii="Times New Roman" w:hAnsi="Times New Roman" w:cs="Times New Roman"/>
        </w:rPr>
      </w:pPr>
      <w:r w:rsidRPr="00341E3B">
        <w:rPr>
          <w:rFonts w:ascii="Times New Roman" w:hAnsi="Times New Roman" w:cs="Times New Roman"/>
        </w:rPr>
        <w:t>Les modalités des transferts d'espèces, le volume des décaissements ainsi que le cadre et la fréquence des activités d'assurance peuvent faire l'objet de modifications au cours de l'exécution du programme, en conséquence des observations résultant du suivi du programme, de la surveillance et du compte-rendu des dépenses ainsi que des audits.</w:t>
      </w:r>
    </w:p>
    <w:p w14:paraId="76F8BF7C" w14:textId="77777777" w:rsidR="00695721" w:rsidRPr="00341E3B" w:rsidRDefault="00695721" w:rsidP="00695721">
      <w:pPr>
        <w:pStyle w:val="BodyText"/>
        <w:kinsoku w:val="0"/>
        <w:overflowPunct w:val="0"/>
        <w:spacing w:before="0" w:line="265" w:lineRule="auto"/>
        <w:ind w:left="89" w:right="113"/>
        <w:jc w:val="both"/>
        <w:rPr>
          <w:rFonts w:ascii="Times New Roman" w:hAnsi="Times New Roman" w:cs="Times New Roman"/>
          <w:sz w:val="22"/>
          <w:szCs w:val="22"/>
          <w:lang w:val="fr-FR"/>
        </w:rPr>
      </w:pPr>
      <w:r w:rsidRPr="00341E3B">
        <w:rPr>
          <w:rFonts w:ascii="Times New Roman" w:hAnsi="Times New Roman" w:cs="Times New Roman"/>
          <w:sz w:val="22"/>
          <w:szCs w:val="22"/>
          <w:lang w:val="fr-FR"/>
        </w:rPr>
        <w:t>En cas de transfert direct d'espèces ou de remboursement, les organismes des Nations Unies doivent notifier au Partenaire d'exécution le montant ayant reçu validation, et procéder au versement des fonds à l'intention du Partenaire d'exécution sous [indiquer ici le nombre de jours conformément à l'échéancier de l'organisme des Nations Unies].</w:t>
      </w:r>
    </w:p>
    <w:p w14:paraId="3FD6F3C2" w14:textId="77777777" w:rsidR="00695721" w:rsidRPr="00341E3B" w:rsidRDefault="00695721" w:rsidP="00695721">
      <w:pPr>
        <w:pStyle w:val="BodyText"/>
        <w:kinsoku w:val="0"/>
        <w:overflowPunct w:val="0"/>
        <w:spacing w:before="0"/>
        <w:ind w:left="-19"/>
        <w:rPr>
          <w:rFonts w:ascii="Times New Roman" w:hAnsi="Times New Roman" w:cs="Times New Roman"/>
          <w:sz w:val="22"/>
          <w:szCs w:val="22"/>
          <w:lang w:val="fr-FR"/>
        </w:rPr>
      </w:pPr>
    </w:p>
    <w:p w14:paraId="34521FAF" w14:textId="77777777" w:rsidR="00695721" w:rsidRPr="00341E3B" w:rsidRDefault="00695721" w:rsidP="00695721">
      <w:pPr>
        <w:pStyle w:val="BodyText"/>
        <w:kinsoku w:val="0"/>
        <w:overflowPunct w:val="0"/>
        <w:spacing w:before="0" w:line="264" w:lineRule="auto"/>
        <w:ind w:left="89" w:right="114"/>
        <w:jc w:val="both"/>
        <w:rPr>
          <w:rFonts w:ascii="Times New Roman" w:hAnsi="Times New Roman" w:cs="Times New Roman"/>
          <w:sz w:val="22"/>
          <w:szCs w:val="22"/>
          <w:lang w:val="fr-FR"/>
        </w:rPr>
      </w:pPr>
      <w:r w:rsidRPr="00341E3B">
        <w:rPr>
          <w:rFonts w:ascii="Times New Roman" w:hAnsi="Times New Roman" w:cs="Times New Roman"/>
          <w:sz w:val="22"/>
          <w:szCs w:val="22"/>
          <w:lang w:val="fr-FR"/>
        </w:rPr>
        <w:t>En cas de versement direct à des fournisseurs ou tiers concernant des obligations contractées par les Partenaires d'exécution sur la base de demandes signées par le représentant officiel désigné du Partenaire d'exécution ; ou aux fournisseurs ou aux tiers concernant des obligations contractées par les organismes des Nations Unies à l'appui d'activités convenues avec les Partenaires d'exécution, les organismes des Nations Unies procéderont au paiement sous [indiquer ici le nombre de jours convenu par les organismes des Nations Unies].</w:t>
      </w:r>
    </w:p>
    <w:p w14:paraId="4D965DFB" w14:textId="77777777" w:rsidR="00695721" w:rsidRPr="00341E3B" w:rsidRDefault="00695721" w:rsidP="00695721">
      <w:pPr>
        <w:pStyle w:val="BodyText"/>
        <w:kinsoku w:val="0"/>
        <w:overflowPunct w:val="0"/>
        <w:spacing w:before="1"/>
        <w:ind w:left="-19"/>
        <w:rPr>
          <w:rFonts w:ascii="Times New Roman" w:hAnsi="Times New Roman" w:cs="Times New Roman"/>
          <w:sz w:val="22"/>
          <w:szCs w:val="22"/>
          <w:lang w:val="fr-FR"/>
        </w:rPr>
      </w:pPr>
    </w:p>
    <w:p w14:paraId="1CA0451F" w14:textId="77777777" w:rsidR="00695721" w:rsidRPr="00341E3B" w:rsidRDefault="00695721" w:rsidP="00695721">
      <w:pPr>
        <w:pStyle w:val="BodyText"/>
        <w:kinsoku w:val="0"/>
        <w:overflowPunct w:val="0"/>
        <w:spacing w:before="0" w:line="266" w:lineRule="auto"/>
        <w:ind w:left="89" w:right="111"/>
        <w:jc w:val="both"/>
        <w:rPr>
          <w:rFonts w:ascii="Times New Roman" w:hAnsi="Times New Roman" w:cs="Times New Roman"/>
          <w:sz w:val="22"/>
          <w:szCs w:val="22"/>
          <w:lang w:val="fr-FR"/>
        </w:rPr>
      </w:pPr>
      <w:r w:rsidRPr="00341E3B">
        <w:rPr>
          <w:rFonts w:ascii="Times New Roman" w:hAnsi="Times New Roman" w:cs="Times New Roman"/>
          <w:sz w:val="22"/>
          <w:szCs w:val="22"/>
          <w:lang w:val="fr-FR"/>
        </w:rPr>
        <w:t>Les organismes des Nations Unies ne sauraient être tenus directement responsables en vertu des accords contractuels conclus entre le Partenaire d'exécution et un fournisseur tiers.</w:t>
      </w:r>
    </w:p>
    <w:p w14:paraId="4B886F0F" w14:textId="77777777" w:rsidR="00695721" w:rsidRPr="00341E3B" w:rsidRDefault="00695721" w:rsidP="00695721">
      <w:pPr>
        <w:pStyle w:val="BodyText"/>
        <w:kinsoku w:val="0"/>
        <w:overflowPunct w:val="0"/>
        <w:spacing w:before="11"/>
        <w:ind w:left="-19"/>
        <w:rPr>
          <w:rFonts w:ascii="Times New Roman" w:hAnsi="Times New Roman" w:cs="Times New Roman"/>
          <w:sz w:val="22"/>
          <w:szCs w:val="22"/>
          <w:lang w:val="fr-FR"/>
        </w:rPr>
      </w:pPr>
    </w:p>
    <w:p w14:paraId="01F0339D" w14:textId="4C196026" w:rsidR="00695721" w:rsidRPr="00341E3B" w:rsidRDefault="00695721" w:rsidP="00695721">
      <w:pPr>
        <w:rPr>
          <w:rFonts w:ascii="Times New Roman" w:hAnsi="Times New Roman" w:cs="Times New Roman"/>
        </w:rPr>
      </w:pPr>
      <w:r w:rsidRPr="00341E3B">
        <w:rPr>
          <w:rFonts w:ascii="Times New Roman" w:hAnsi="Times New Roman" w:cs="Times New Roman"/>
        </w:rPr>
        <w:t>Lorsque des organismes des Nations Unies et une autre organisation des Nations Unies versent des espèces au même Partenaire d'exécution, le suivi du programme ainsi que le contrôle et l'audit financier seront effectués conjointement ou en coordination avec ces organismes des Nations Unies.</w:t>
      </w:r>
    </w:p>
    <w:p w14:paraId="2E9838AB" w14:textId="77777777" w:rsidR="007D3E8F" w:rsidRPr="00341E3B" w:rsidRDefault="007D3E8F" w:rsidP="007D3E8F">
      <w:pPr>
        <w:pStyle w:val="BodyText"/>
        <w:kinsoku w:val="0"/>
        <w:overflowPunct w:val="0"/>
        <w:spacing w:line="264" w:lineRule="auto"/>
        <w:ind w:left="134" w:right="217"/>
        <w:jc w:val="both"/>
        <w:rPr>
          <w:rFonts w:ascii="Times New Roman" w:hAnsi="Times New Roman" w:cs="Times New Roman"/>
          <w:sz w:val="22"/>
          <w:szCs w:val="22"/>
          <w:lang w:val="es-ES_tradnl"/>
        </w:rPr>
      </w:pPr>
      <w:r w:rsidRPr="00341E3B">
        <w:rPr>
          <w:rFonts w:ascii="Times New Roman" w:hAnsi="Times New Roman" w:cs="Times New Roman"/>
          <w:i/>
          <w:iCs/>
          <w:sz w:val="22"/>
          <w:szCs w:val="22"/>
          <w:lang w:val="fr-FR"/>
        </w:rPr>
        <w:t>Un rapport standard d'autorisation de financement et de certificat des dépenses (FACE), présentant les secteurs d'activité du plan de travail, sera utilisé par les Partenaires d'exécution pour solliciter la remise de fonds ou obtenir que [organisation des Nations Unies] assure le remboursement ou s'acquitte directement des dépenses prévues.  Les Partenaires d'exécution utiliseront le rapport FACE pour rendre compte de l'utilisation des fonds reçus. Le Partenaire d'exécution indiquera le ou les représentants officiels désignés et habilités à communiquer les détails comptables, à faire la demande des fonds et à valider l'utilisation de fonds. Le rapport FACE sera certifié par le ou les représentants désignés du Partenaire d'exécution.</w:t>
      </w:r>
    </w:p>
    <w:p w14:paraId="20C2C1DA" w14:textId="77777777" w:rsidR="007D3E8F" w:rsidRPr="00341E3B" w:rsidRDefault="007D3E8F" w:rsidP="007D3E8F">
      <w:pPr>
        <w:pStyle w:val="BodyText"/>
        <w:kinsoku w:val="0"/>
        <w:overflowPunct w:val="0"/>
        <w:spacing w:before="3"/>
        <w:ind w:left="-86"/>
        <w:rPr>
          <w:rFonts w:ascii="Times New Roman" w:hAnsi="Times New Roman" w:cs="Times New Roman"/>
          <w:i/>
          <w:iCs/>
          <w:sz w:val="22"/>
          <w:szCs w:val="22"/>
          <w:lang w:val="es-ES_tradnl"/>
        </w:rPr>
      </w:pPr>
    </w:p>
    <w:p w14:paraId="6A9397D8" w14:textId="77777777" w:rsidR="007D3E8F" w:rsidRPr="00341E3B" w:rsidRDefault="007D3E8F" w:rsidP="007D3E8F">
      <w:pPr>
        <w:pStyle w:val="BodyText"/>
        <w:kinsoku w:val="0"/>
        <w:overflowPunct w:val="0"/>
        <w:spacing w:line="266" w:lineRule="auto"/>
        <w:ind w:left="134" w:right="232"/>
        <w:rPr>
          <w:rFonts w:ascii="Times New Roman" w:hAnsi="Times New Roman" w:cs="Times New Roman"/>
          <w:sz w:val="22"/>
          <w:szCs w:val="22"/>
          <w:lang w:val="es-ES_tradnl"/>
        </w:rPr>
      </w:pPr>
      <w:r w:rsidRPr="00341E3B">
        <w:rPr>
          <w:rFonts w:ascii="Times New Roman" w:hAnsi="Times New Roman" w:cs="Times New Roman"/>
          <w:i/>
          <w:iCs/>
          <w:sz w:val="22"/>
          <w:szCs w:val="22"/>
          <w:lang w:val="fr-FR"/>
        </w:rPr>
        <w:t>Les espèces transférées aux Partenaires d'exécution ne doivent être dépensées qu'aux fins des activités et exclusivement dans le cadre des plans de travail convenu.</w:t>
      </w:r>
    </w:p>
    <w:p w14:paraId="3B351688" w14:textId="77777777" w:rsidR="007D3E8F" w:rsidRPr="00341E3B" w:rsidRDefault="007D3E8F" w:rsidP="007D3E8F">
      <w:pPr>
        <w:pStyle w:val="BodyText"/>
        <w:kinsoku w:val="0"/>
        <w:overflowPunct w:val="0"/>
        <w:spacing w:before="2"/>
        <w:ind w:left="-86"/>
        <w:rPr>
          <w:rFonts w:ascii="Times New Roman" w:hAnsi="Times New Roman" w:cs="Times New Roman"/>
          <w:i/>
          <w:iCs/>
          <w:sz w:val="22"/>
          <w:szCs w:val="22"/>
          <w:lang w:val="es-ES_tradnl"/>
        </w:rPr>
      </w:pPr>
    </w:p>
    <w:p w14:paraId="7EAE29CE" w14:textId="77777777" w:rsidR="007D3E8F" w:rsidRPr="00341E3B" w:rsidRDefault="007D3E8F" w:rsidP="007D3E8F">
      <w:pPr>
        <w:pStyle w:val="BodyText"/>
        <w:kinsoku w:val="0"/>
        <w:overflowPunct w:val="0"/>
        <w:spacing w:line="264" w:lineRule="auto"/>
        <w:ind w:left="134" w:right="217"/>
        <w:jc w:val="both"/>
        <w:rPr>
          <w:rFonts w:ascii="Times New Roman" w:hAnsi="Times New Roman" w:cs="Times New Roman"/>
          <w:sz w:val="22"/>
          <w:szCs w:val="22"/>
          <w:lang w:val="es-ES_tradnl"/>
        </w:rPr>
      </w:pPr>
      <w:r w:rsidRPr="00341E3B">
        <w:rPr>
          <w:rFonts w:ascii="Times New Roman" w:hAnsi="Times New Roman" w:cs="Times New Roman"/>
          <w:i/>
          <w:iCs/>
          <w:sz w:val="22"/>
          <w:szCs w:val="22"/>
          <w:lang w:val="fr-FR"/>
        </w:rPr>
        <w:t>Les espèces reçues par le Gouvernement et les Partenaires d'exécution qui sont des ONG nationales seront utilisées dans le respect des réglementations, politiques et procédures nationales en vigueur et conformes aux normes internationales, en particulier en veillant à ce que ces espèces soient affectées à des activités convenues dans les plans de travail, et en s'assurant que les rapports sur l'utilisation de toutes les espèces reçues sont soumis à [organisation des Nations Unies] dans les six mois suivant la réception des fonds. Lorsque toute réglementation, politique et procédure nationale n'est pas conforme aux normes internationales, les règles financières de l'organisme des Nations Unies ainsi que les autres règles en rapport de même que les réglementations, politiques et procédures de cet organisme s'appliqueront.</w:t>
      </w:r>
    </w:p>
    <w:p w14:paraId="7A86D232" w14:textId="77777777" w:rsidR="007D3E8F" w:rsidRPr="00341E3B" w:rsidRDefault="007D3E8F" w:rsidP="007D3E8F">
      <w:pPr>
        <w:pStyle w:val="BodyText"/>
        <w:kinsoku w:val="0"/>
        <w:overflowPunct w:val="0"/>
        <w:spacing w:before="3"/>
        <w:ind w:left="-86"/>
        <w:rPr>
          <w:rFonts w:ascii="Times New Roman" w:hAnsi="Times New Roman" w:cs="Times New Roman"/>
          <w:i/>
          <w:iCs/>
          <w:sz w:val="22"/>
          <w:szCs w:val="22"/>
          <w:lang w:val="es-ES_tradnl"/>
        </w:rPr>
      </w:pPr>
    </w:p>
    <w:p w14:paraId="213ACCDD" w14:textId="77777777" w:rsidR="007D3E8F" w:rsidRPr="00341E3B" w:rsidRDefault="007D3E8F" w:rsidP="007D3E8F">
      <w:pPr>
        <w:pStyle w:val="BodyText"/>
        <w:kinsoku w:val="0"/>
        <w:overflowPunct w:val="0"/>
        <w:spacing w:line="264" w:lineRule="auto"/>
        <w:ind w:left="134" w:right="227"/>
        <w:jc w:val="both"/>
        <w:rPr>
          <w:rFonts w:ascii="Times New Roman" w:hAnsi="Times New Roman" w:cs="Times New Roman"/>
          <w:sz w:val="22"/>
          <w:szCs w:val="22"/>
          <w:lang w:val="es-ES_tradnl"/>
        </w:rPr>
      </w:pPr>
      <w:r w:rsidRPr="00341E3B">
        <w:rPr>
          <w:rFonts w:ascii="Times New Roman" w:hAnsi="Times New Roman" w:cs="Times New Roman"/>
          <w:i/>
          <w:iCs/>
          <w:sz w:val="22"/>
          <w:szCs w:val="22"/>
          <w:lang w:val="fr-FR"/>
        </w:rPr>
        <w:t>Dans le cas des ONG/OSC internationales et des OIG intervenant comme Partenaires d'exécution, les espèces reçues doivent être utilisées dans le respect des normes internationales, en particulier en veillant à ce que ces espèces soient affectées à des activités convenues dans les plans de travail, et en s'assurant que des rapports portant sur l'utilisation totale de l'intégralité des espèces reçues sont soumis à [organisation des Nations Unies] dans les six mois suivant la réception des fonds.</w:t>
      </w:r>
    </w:p>
    <w:p w14:paraId="67D20822" w14:textId="77777777" w:rsidR="007D3E8F" w:rsidRPr="00341E3B" w:rsidRDefault="007D3E8F" w:rsidP="007D3E8F">
      <w:pPr>
        <w:pStyle w:val="BodyText"/>
        <w:kinsoku w:val="0"/>
        <w:overflowPunct w:val="0"/>
        <w:spacing w:before="6"/>
        <w:ind w:left="-86"/>
        <w:rPr>
          <w:rFonts w:ascii="Times New Roman" w:hAnsi="Times New Roman" w:cs="Times New Roman"/>
          <w:i/>
          <w:iCs/>
          <w:sz w:val="22"/>
          <w:szCs w:val="22"/>
          <w:lang w:val="es-ES_tradnl"/>
        </w:rPr>
      </w:pPr>
    </w:p>
    <w:p w14:paraId="7F8EF5FC" w14:textId="77777777" w:rsidR="007D3E8F" w:rsidRPr="00341E3B" w:rsidRDefault="007D3E8F" w:rsidP="007D3E8F">
      <w:pPr>
        <w:pStyle w:val="BodyText"/>
        <w:kinsoku w:val="0"/>
        <w:overflowPunct w:val="0"/>
        <w:spacing w:line="267" w:lineRule="auto"/>
        <w:ind w:left="134" w:right="232"/>
        <w:rPr>
          <w:rFonts w:ascii="Times New Roman" w:hAnsi="Times New Roman" w:cs="Times New Roman"/>
          <w:sz w:val="22"/>
          <w:szCs w:val="22"/>
          <w:lang w:val="es-ES_tradnl"/>
        </w:rPr>
      </w:pPr>
      <w:r w:rsidRPr="00341E3B">
        <w:rPr>
          <w:rFonts w:ascii="Times New Roman" w:hAnsi="Times New Roman" w:cs="Times New Roman"/>
          <w:i/>
          <w:iCs/>
          <w:sz w:val="22"/>
          <w:szCs w:val="22"/>
          <w:lang w:val="fr-FR"/>
        </w:rPr>
        <w:t>Afin de faciliter les audits spéciaux et programmés, chaque Partenaire d'exécution recevant des espèces versées par [organisation des Nations Unies] fournira en temps utile à l'organisme des Nations Unies ou à son représentant un accès à :</w:t>
      </w:r>
    </w:p>
    <w:p w14:paraId="2A7FCB7F" w14:textId="77777777" w:rsidR="007D3E8F" w:rsidRPr="00341E3B" w:rsidRDefault="007D3E8F" w:rsidP="007D3E8F">
      <w:pPr>
        <w:pStyle w:val="BodyText"/>
        <w:kinsoku w:val="0"/>
        <w:overflowPunct w:val="0"/>
        <w:spacing w:before="3"/>
        <w:ind w:left="-86"/>
        <w:rPr>
          <w:rFonts w:ascii="Times New Roman" w:hAnsi="Times New Roman" w:cs="Times New Roman"/>
          <w:i/>
          <w:iCs/>
          <w:sz w:val="22"/>
          <w:szCs w:val="22"/>
          <w:lang w:val="es-ES_tradnl"/>
        </w:rPr>
      </w:pPr>
    </w:p>
    <w:p w14:paraId="7F3677B3" w14:textId="3EE90E8D" w:rsidR="007D3E8F" w:rsidRPr="00341E3B" w:rsidRDefault="00200D40" w:rsidP="007D3E8F">
      <w:pPr>
        <w:pStyle w:val="BodyText"/>
        <w:numPr>
          <w:ilvl w:val="0"/>
          <w:numId w:val="25"/>
        </w:numPr>
        <w:tabs>
          <w:tab w:val="left" w:pos="365"/>
        </w:tabs>
        <w:kinsoku w:val="0"/>
        <w:overflowPunct w:val="0"/>
        <w:ind w:left="278"/>
        <w:rPr>
          <w:rFonts w:ascii="Times New Roman" w:hAnsi="Times New Roman" w:cs="Times New Roman"/>
          <w:sz w:val="22"/>
          <w:szCs w:val="22"/>
          <w:lang w:val="fr-FR"/>
        </w:rPr>
      </w:pPr>
      <w:r>
        <w:rPr>
          <w:rFonts w:ascii="Times New Roman" w:hAnsi="Times New Roman" w:cs="Times New Roman"/>
          <w:sz w:val="22"/>
          <w:szCs w:val="22"/>
          <w:lang w:val="es-ES_tradnl"/>
        </w:rPr>
        <w:t>L</w:t>
      </w:r>
      <w:r w:rsidR="007D3E8F" w:rsidRPr="00341E3B">
        <w:rPr>
          <w:rFonts w:ascii="Times New Roman" w:hAnsi="Times New Roman" w:cs="Times New Roman"/>
          <w:sz w:val="22"/>
          <w:szCs w:val="22"/>
          <w:lang w:val="fr-FR"/>
        </w:rPr>
        <w:t xml:space="preserve">'ensemble </w:t>
      </w:r>
      <w:r w:rsidR="007D3E8F" w:rsidRPr="00341E3B">
        <w:rPr>
          <w:rFonts w:ascii="Times New Roman" w:hAnsi="Times New Roman" w:cs="Times New Roman"/>
          <w:i/>
          <w:iCs/>
          <w:sz w:val="22"/>
          <w:szCs w:val="22"/>
          <w:lang w:val="fr-FR"/>
        </w:rPr>
        <w:t>des données financières exposant l'historique des transactions relatives aux transferts d'espèces effectués par</w:t>
      </w:r>
      <w:r w:rsidR="007D3E8F" w:rsidRPr="00341E3B">
        <w:rPr>
          <w:rFonts w:ascii="Times New Roman" w:hAnsi="Times New Roman" w:cs="Times New Roman"/>
          <w:sz w:val="22"/>
          <w:szCs w:val="22"/>
          <w:lang w:val="fr-FR"/>
        </w:rPr>
        <w:t xml:space="preserve"> </w:t>
      </w:r>
      <w:r w:rsidR="007D3E8F" w:rsidRPr="00341E3B">
        <w:rPr>
          <w:rFonts w:ascii="Times New Roman" w:hAnsi="Times New Roman" w:cs="Times New Roman"/>
          <w:i/>
          <w:iCs/>
          <w:sz w:val="22"/>
          <w:szCs w:val="22"/>
          <w:lang w:val="fr-FR"/>
        </w:rPr>
        <w:t>[organisme des Nations Unies], ainsi que tous les documents pertinents ;</w:t>
      </w:r>
    </w:p>
    <w:p w14:paraId="679B0FCD" w14:textId="77777777" w:rsidR="007D3E8F" w:rsidRPr="00341E3B" w:rsidRDefault="007D3E8F" w:rsidP="007D3E8F">
      <w:pPr>
        <w:pStyle w:val="BodyText"/>
        <w:kinsoku w:val="0"/>
        <w:overflowPunct w:val="0"/>
        <w:spacing w:before="4"/>
        <w:ind w:left="-86"/>
        <w:rPr>
          <w:rFonts w:ascii="Times New Roman" w:hAnsi="Times New Roman" w:cs="Times New Roman"/>
          <w:i/>
          <w:iCs/>
          <w:sz w:val="22"/>
          <w:szCs w:val="22"/>
          <w:lang w:val="fr-FR"/>
        </w:rPr>
      </w:pPr>
    </w:p>
    <w:p w14:paraId="42BA1C64" w14:textId="77777777" w:rsidR="007D3E8F" w:rsidRPr="00341E3B" w:rsidRDefault="007D3E8F" w:rsidP="007D3E8F">
      <w:pPr>
        <w:pStyle w:val="BodyText"/>
        <w:numPr>
          <w:ilvl w:val="1"/>
          <w:numId w:val="25"/>
        </w:numPr>
        <w:tabs>
          <w:tab w:val="left" w:pos="941"/>
        </w:tabs>
        <w:kinsoku w:val="0"/>
        <w:overflowPunct w:val="0"/>
        <w:spacing w:line="266" w:lineRule="auto"/>
        <w:ind w:left="854" w:right="232"/>
        <w:rPr>
          <w:rFonts w:ascii="Times New Roman" w:hAnsi="Times New Roman" w:cs="Times New Roman"/>
          <w:sz w:val="22"/>
          <w:szCs w:val="22"/>
          <w:lang w:val="fr-FR"/>
        </w:rPr>
      </w:pPr>
      <w:r w:rsidRPr="00341E3B">
        <w:rPr>
          <w:rFonts w:ascii="Times New Roman" w:hAnsi="Times New Roman" w:cs="Times New Roman"/>
          <w:sz w:val="22"/>
          <w:szCs w:val="22"/>
          <w:lang w:val="fr-FR"/>
        </w:rPr>
        <w:t>tous les documents pertinents et le personnel associé au fonctionnement de la structure de contrôle interne du Partenaire d'exécution par l'intermédiaire de laquelle les transferts d'espèces ont été effectués.</w:t>
      </w:r>
    </w:p>
    <w:p w14:paraId="1FB17E8C" w14:textId="77777777" w:rsidR="007D3E8F" w:rsidRPr="00341E3B" w:rsidRDefault="007D3E8F" w:rsidP="007D3E8F">
      <w:pPr>
        <w:pStyle w:val="BodyText"/>
        <w:kinsoku w:val="0"/>
        <w:overflowPunct w:val="0"/>
        <w:spacing w:before="1"/>
        <w:ind w:left="72"/>
        <w:rPr>
          <w:rFonts w:ascii="Times New Roman" w:hAnsi="Times New Roman" w:cs="Times New Roman"/>
          <w:sz w:val="22"/>
          <w:szCs w:val="22"/>
        </w:rPr>
      </w:pPr>
      <w:r w:rsidRPr="00341E3B">
        <w:rPr>
          <w:rFonts w:ascii="Times New Roman" w:hAnsi="Times New Roman" w:cs="Times New Roman"/>
          <w:sz w:val="22"/>
          <w:szCs w:val="22"/>
          <w:lang w:val="fr-FR"/>
        </w:rPr>
        <w:t>Les conclusions de chaque audit seront transmises au Partenaire d'exécution et à [organisation des Nations Unies]. Chaque partenaire d'exécution devra en outre :</w:t>
      </w:r>
    </w:p>
    <w:p w14:paraId="775090CE" w14:textId="77777777" w:rsidR="007D3E8F" w:rsidRPr="00341E3B" w:rsidRDefault="007D3E8F" w:rsidP="007D3E8F">
      <w:pPr>
        <w:pStyle w:val="BodyText"/>
        <w:kinsoku w:val="0"/>
        <w:overflowPunct w:val="0"/>
        <w:spacing w:before="5"/>
        <w:ind w:left="-36"/>
        <w:rPr>
          <w:rFonts w:ascii="Times New Roman" w:hAnsi="Times New Roman" w:cs="Times New Roman"/>
          <w:sz w:val="22"/>
          <w:szCs w:val="22"/>
        </w:rPr>
      </w:pPr>
    </w:p>
    <w:p w14:paraId="68D027C5" w14:textId="77777777" w:rsidR="007D3E8F" w:rsidRPr="00341E3B" w:rsidRDefault="007D3E8F" w:rsidP="007D3E8F">
      <w:pPr>
        <w:pStyle w:val="BodyText"/>
        <w:numPr>
          <w:ilvl w:val="0"/>
          <w:numId w:val="26"/>
        </w:numPr>
        <w:tabs>
          <w:tab w:val="left" w:pos="828"/>
        </w:tabs>
        <w:kinsoku w:val="0"/>
        <w:overflowPunct w:val="0"/>
        <w:spacing w:before="0"/>
        <w:ind w:left="791" w:hanging="359"/>
        <w:rPr>
          <w:rFonts w:ascii="Times New Roman" w:hAnsi="Times New Roman" w:cs="Times New Roman"/>
          <w:sz w:val="22"/>
          <w:szCs w:val="22"/>
          <w:lang w:val="fr-FR"/>
        </w:rPr>
      </w:pPr>
      <w:r w:rsidRPr="00341E3B">
        <w:rPr>
          <w:rFonts w:ascii="Times New Roman" w:hAnsi="Times New Roman" w:cs="Times New Roman"/>
          <w:sz w:val="22"/>
          <w:szCs w:val="22"/>
          <w:lang w:val="fr-FR"/>
        </w:rPr>
        <w:t>Recevoir et examiner le rapport remis par les auditeurs.</w:t>
      </w:r>
    </w:p>
    <w:p w14:paraId="14929101" w14:textId="77777777" w:rsidR="007D3E8F" w:rsidRPr="00341E3B" w:rsidRDefault="007D3E8F" w:rsidP="007D3E8F">
      <w:pPr>
        <w:pStyle w:val="BodyText"/>
        <w:kinsoku w:val="0"/>
        <w:overflowPunct w:val="0"/>
        <w:spacing w:before="3"/>
        <w:ind w:left="-36"/>
        <w:rPr>
          <w:rFonts w:ascii="Times New Roman" w:hAnsi="Times New Roman" w:cs="Times New Roman"/>
          <w:sz w:val="22"/>
          <w:szCs w:val="22"/>
          <w:lang w:val="fr-FR"/>
        </w:rPr>
      </w:pPr>
    </w:p>
    <w:p w14:paraId="55D17E12" w14:textId="77777777" w:rsidR="007D3E8F" w:rsidRPr="00341E3B" w:rsidRDefault="007D3E8F" w:rsidP="007D3E8F">
      <w:pPr>
        <w:pStyle w:val="BodyText"/>
        <w:numPr>
          <w:ilvl w:val="0"/>
          <w:numId w:val="26"/>
        </w:numPr>
        <w:tabs>
          <w:tab w:val="left" w:pos="828"/>
        </w:tabs>
        <w:kinsoku w:val="0"/>
        <w:overflowPunct w:val="0"/>
        <w:spacing w:before="0" w:line="264" w:lineRule="auto"/>
        <w:ind w:left="791" w:right="109" w:hanging="359"/>
        <w:jc w:val="both"/>
        <w:rPr>
          <w:rFonts w:ascii="Times New Roman" w:hAnsi="Times New Roman" w:cs="Times New Roman"/>
          <w:sz w:val="22"/>
          <w:szCs w:val="22"/>
          <w:lang w:val="fr-FR"/>
        </w:rPr>
      </w:pPr>
      <w:r w:rsidRPr="00341E3B">
        <w:rPr>
          <w:rFonts w:ascii="Times New Roman" w:hAnsi="Times New Roman" w:cs="Times New Roman"/>
          <w:sz w:val="22"/>
          <w:szCs w:val="22"/>
          <w:lang w:val="fr-FR"/>
        </w:rPr>
        <w:t>Fournir en temps utile une déclaration d'acceptation ou de rejet de toute recommandation formulée dans l'audit à [organisation des Nations Unies] ayant versé des fonds (lorsque l'Institution supérieure de contrôle des finances publiques a été désignée pour conduire les audits, ajouter : et à l'Institution supérieure de contrôle des finances publiques) de manière à ce que les auditeurs intègrent ces déclarations dans le rapport final d'audit avant de le soumettre à [organisation des Nations Unies].</w:t>
      </w:r>
    </w:p>
    <w:p w14:paraId="60DE66E8" w14:textId="77777777" w:rsidR="007D3E8F" w:rsidRPr="00341E3B" w:rsidRDefault="007D3E8F" w:rsidP="007D3E8F">
      <w:pPr>
        <w:pStyle w:val="BodyText"/>
        <w:kinsoku w:val="0"/>
        <w:overflowPunct w:val="0"/>
        <w:spacing w:before="3"/>
        <w:ind w:left="-36"/>
        <w:rPr>
          <w:rFonts w:ascii="Times New Roman" w:hAnsi="Times New Roman" w:cs="Times New Roman"/>
          <w:sz w:val="22"/>
          <w:szCs w:val="22"/>
          <w:lang w:val="fr-FR"/>
        </w:rPr>
      </w:pPr>
    </w:p>
    <w:p w14:paraId="4F1EC179" w14:textId="77777777" w:rsidR="007D3E8F" w:rsidRPr="00341E3B" w:rsidRDefault="007D3E8F" w:rsidP="007D3E8F">
      <w:pPr>
        <w:pStyle w:val="BodyText"/>
        <w:numPr>
          <w:ilvl w:val="0"/>
          <w:numId w:val="26"/>
        </w:numPr>
        <w:tabs>
          <w:tab w:val="left" w:pos="828"/>
        </w:tabs>
        <w:kinsoku w:val="0"/>
        <w:overflowPunct w:val="0"/>
        <w:spacing w:before="0"/>
        <w:ind w:left="791" w:hanging="359"/>
        <w:rPr>
          <w:rFonts w:ascii="Times New Roman" w:hAnsi="Times New Roman" w:cs="Times New Roman"/>
          <w:sz w:val="22"/>
          <w:szCs w:val="22"/>
          <w:lang w:val="fr-FR"/>
        </w:rPr>
      </w:pPr>
      <w:r w:rsidRPr="00341E3B">
        <w:rPr>
          <w:rFonts w:ascii="Times New Roman" w:hAnsi="Times New Roman" w:cs="Times New Roman"/>
          <w:sz w:val="22"/>
          <w:szCs w:val="22"/>
          <w:lang w:val="fr-FR"/>
        </w:rPr>
        <w:t>Prendre des mesures dans les meilleurs délais pour donner suite aux recommandations acceptées de l'audit.</w:t>
      </w:r>
    </w:p>
    <w:p w14:paraId="69F12E13" w14:textId="77777777" w:rsidR="007D3E8F" w:rsidRPr="00341E3B" w:rsidRDefault="007D3E8F" w:rsidP="007D3E8F">
      <w:pPr>
        <w:pStyle w:val="BodyText"/>
        <w:kinsoku w:val="0"/>
        <w:overflowPunct w:val="0"/>
        <w:spacing w:before="5"/>
        <w:ind w:left="-36"/>
        <w:rPr>
          <w:rFonts w:ascii="Times New Roman" w:hAnsi="Times New Roman" w:cs="Times New Roman"/>
          <w:sz w:val="22"/>
          <w:szCs w:val="22"/>
          <w:lang w:val="fr-FR"/>
        </w:rPr>
      </w:pPr>
    </w:p>
    <w:p w14:paraId="6481770D" w14:textId="77777777" w:rsidR="007D3E8F" w:rsidRPr="00341E3B" w:rsidRDefault="007D3E8F" w:rsidP="007D3E8F">
      <w:pPr>
        <w:pStyle w:val="BodyText"/>
        <w:kinsoku w:val="0"/>
        <w:overflowPunct w:val="0"/>
        <w:spacing w:before="0" w:line="266" w:lineRule="auto"/>
        <w:ind w:left="108" w:right="114"/>
        <w:rPr>
          <w:rFonts w:ascii="Times New Roman" w:hAnsi="Times New Roman" w:cs="Times New Roman"/>
          <w:sz w:val="22"/>
          <w:szCs w:val="22"/>
          <w:lang w:val="fr-FR"/>
        </w:rPr>
      </w:pPr>
      <w:r w:rsidRPr="00341E3B">
        <w:rPr>
          <w:rFonts w:ascii="Times New Roman" w:hAnsi="Times New Roman" w:cs="Times New Roman"/>
          <w:sz w:val="22"/>
          <w:szCs w:val="22"/>
          <w:lang w:val="fr-FR"/>
        </w:rPr>
        <w:t>Rendre compte aux organismes des Nations Unies (lorsque l'Institution supérieure de contrôle des finances publiques a été désignée pour conduire les audits, ajouter : et à l'Institution supérieure de contrôle des finances publiques) des mesures prises pour mettre en œuvre les recommandations acceptées, sur une base trimestrielle (ou selon les accords conclus localement).</w:t>
      </w:r>
    </w:p>
    <w:p w14:paraId="0A3501F1" w14:textId="77777777" w:rsidR="007D3E8F" w:rsidRPr="00341E3B" w:rsidRDefault="007D3E8F" w:rsidP="00695721">
      <w:pPr>
        <w:rPr>
          <w:rFonts w:ascii="Times New Roman" w:hAnsi="Times New Roman" w:cs="Times New Roman"/>
        </w:rPr>
      </w:pPr>
    </w:p>
    <w:p w14:paraId="482271E6" w14:textId="58429D6E" w:rsidR="00007399" w:rsidRPr="00007399" w:rsidRDefault="00007399" w:rsidP="00161A7A">
      <w:pPr>
        <w:pStyle w:val="ListParagraph"/>
        <w:numPr>
          <w:ilvl w:val="0"/>
          <w:numId w:val="28"/>
        </w:numPr>
      </w:pPr>
      <w:r w:rsidRPr="00161A7A">
        <w:rPr>
          <w:b/>
        </w:rPr>
        <w:t xml:space="preserve">Ressources et stratégie de mobilisation des ressources   </w:t>
      </w:r>
      <w:r>
        <w:t xml:space="preserve">                                                            </w:t>
      </w:r>
    </w:p>
    <w:p w14:paraId="1DD0154E" w14:textId="77777777" w:rsidR="00034DFA" w:rsidRPr="005776C0" w:rsidRDefault="00034DFA" w:rsidP="005776C0">
      <w:pPr>
        <w:jc w:val="both"/>
        <w:rPr>
          <w:rFonts w:ascii="Times New Roman" w:hAnsi="Times New Roman" w:cs="Times New Roman"/>
        </w:rPr>
      </w:pPr>
    </w:p>
    <w:p w14:paraId="2AAA766B" w14:textId="77777777" w:rsidR="00007399" w:rsidRPr="00200D40" w:rsidRDefault="00007399" w:rsidP="00695721">
      <w:pPr>
        <w:pStyle w:val="BodyText"/>
        <w:shd w:val="clear" w:color="auto" w:fill="FFFFFF"/>
        <w:kinsoku w:val="0"/>
        <w:overflowPunct w:val="0"/>
        <w:spacing w:before="0" w:line="264" w:lineRule="auto"/>
        <w:ind w:left="0" w:right="105"/>
        <w:jc w:val="both"/>
        <w:rPr>
          <w:rFonts w:ascii="Times New Roman" w:hAnsi="Times New Roman" w:cs="Times New Roman"/>
          <w:sz w:val="22"/>
          <w:szCs w:val="22"/>
          <w:lang w:val="es-ES_tradnl"/>
        </w:rPr>
      </w:pPr>
      <w:r w:rsidRPr="00200D40">
        <w:rPr>
          <w:rFonts w:ascii="Times New Roman" w:hAnsi="Times New Roman" w:cs="Times New Roman"/>
          <w:sz w:val="22"/>
          <w:szCs w:val="22"/>
          <w:lang w:val="fr-FR"/>
        </w:rPr>
        <w:t>Les organismes des Nations Unies faciliteront la préparation et la mise en œuvre d'activités au sein du PNUAD. Il peut s’agir notamment : d’un soutien technique, d’une assistance en espèces, de fournitures, de produits de base et d’équipements, de services d'approvisionnement, de transport, de fonds destinés à financer des actions de sensibilisation, de recherches et d’études, de services de consultation, de développement de programme, de suivi et d’évaluation de programmes, d’activités de formation et de soutien du personnel. Une partie du soutien des organismes des Nations Unies peut provenir d'organisations non-gouvernementales [et de la société civile] tel que convenu dans le cadre des plans de travail individuels et des documents de projet.</w:t>
      </w:r>
    </w:p>
    <w:p w14:paraId="688DB1F2" w14:textId="77777777" w:rsidR="00007399" w:rsidRPr="00200D40" w:rsidRDefault="00007399" w:rsidP="00695721">
      <w:pPr>
        <w:pStyle w:val="BodyText"/>
        <w:shd w:val="clear" w:color="auto" w:fill="FFFFFF"/>
        <w:kinsoku w:val="0"/>
        <w:overflowPunct w:val="0"/>
        <w:spacing w:before="2"/>
        <w:ind w:left="0"/>
        <w:rPr>
          <w:rFonts w:ascii="Times New Roman" w:hAnsi="Times New Roman" w:cs="Times New Roman"/>
          <w:b/>
          <w:bCs/>
          <w:sz w:val="22"/>
          <w:szCs w:val="22"/>
          <w:lang w:val="es-ES_tradnl"/>
        </w:rPr>
      </w:pPr>
    </w:p>
    <w:p w14:paraId="52CE257B" w14:textId="1EF09145" w:rsidR="00034DFA" w:rsidRPr="00200D40" w:rsidRDefault="00007399" w:rsidP="00007399">
      <w:pPr>
        <w:jc w:val="both"/>
        <w:rPr>
          <w:rFonts w:ascii="Times New Roman" w:hAnsi="Times New Roman" w:cs="Times New Roman"/>
        </w:rPr>
      </w:pPr>
      <w:r w:rsidRPr="00200D40">
        <w:rPr>
          <w:rFonts w:ascii="Times New Roman" w:hAnsi="Times New Roman" w:cs="Times New Roman"/>
        </w:rPr>
        <w:t>Un soutien supplémentaire peut comporter un accès au système global d’information géré par les organisations des Nations Unies, au réseau des bureaux de pays des organismes des Nations Unies et aux bases de données spécialisées, notamment aux fichiers de consultants et des prestataires de services liés au développement, et l'accès au soutien apporté par le réseau des organismes, fonds et programmes spécialisés des Nations Unies.</w:t>
      </w:r>
    </w:p>
    <w:p w14:paraId="4688C823" w14:textId="77777777" w:rsidR="00007399" w:rsidRPr="00200D40" w:rsidRDefault="00007399" w:rsidP="00007399">
      <w:pPr>
        <w:pStyle w:val="BodyText"/>
        <w:shd w:val="clear" w:color="auto" w:fill="FFFFFF"/>
        <w:kinsoku w:val="0"/>
        <w:overflowPunct w:val="0"/>
        <w:spacing w:before="0" w:line="266" w:lineRule="auto"/>
        <w:ind w:left="83" w:right="109"/>
        <w:jc w:val="both"/>
        <w:rPr>
          <w:rFonts w:ascii="Times New Roman" w:hAnsi="Times New Roman" w:cs="Times New Roman"/>
          <w:sz w:val="22"/>
          <w:szCs w:val="22"/>
          <w:lang w:val="fr-FR"/>
        </w:rPr>
      </w:pPr>
      <w:r w:rsidRPr="00200D40">
        <w:rPr>
          <w:rFonts w:ascii="Times New Roman" w:hAnsi="Times New Roman" w:cs="Times New Roman"/>
          <w:sz w:val="22"/>
          <w:szCs w:val="22"/>
          <w:lang w:val="fr-FR"/>
        </w:rPr>
        <w:t>Les organismes des Nations Unies doivent désigner un personnel et des consultants aux fins de l'élaboration de programmes, du soutien aux programmes, de l’assistance technique ainsi que d'activités de suivi et d'évaluation.</w:t>
      </w:r>
    </w:p>
    <w:p w14:paraId="0872BB2A" w14:textId="77777777" w:rsidR="00007399" w:rsidRPr="00200D40" w:rsidRDefault="00007399" w:rsidP="00007399">
      <w:pPr>
        <w:pStyle w:val="BodyText"/>
        <w:shd w:val="clear" w:color="auto" w:fill="FFFFFF"/>
        <w:kinsoku w:val="0"/>
        <w:overflowPunct w:val="0"/>
        <w:spacing w:before="12"/>
        <w:ind w:left="-19"/>
        <w:rPr>
          <w:rFonts w:ascii="Times New Roman" w:hAnsi="Times New Roman" w:cs="Times New Roman"/>
          <w:sz w:val="22"/>
          <w:szCs w:val="22"/>
          <w:lang w:val="fr-FR"/>
        </w:rPr>
      </w:pPr>
    </w:p>
    <w:p w14:paraId="0E01BD51" w14:textId="3482E292" w:rsidR="00007399" w:rsidRDefault="00007399" w:rsidP="00007399">
      <w:pPr>
        <w:jc w:val="both"/>
        <w:rPr>
          <w:rFonts w:ascii="Times New Roman" w:hAnsi="Times New Roman" w:cs="Times New Roman"/>
        </w:rPr>
      </w:pPr>
      <w:r w:rsidRPr="00200D40">
        <w:rPr>
          <w:rFonts w:ascii="Times New Roman" w:hAnsi="Times New Roman" w:cs="Times New Roman"/>
        </w:rPr>
        <w:t>Sous réserve des examens annuels et des progrès accomplis dans le cadre de la mise en œuvre du programme, les fonds des organismes des Nations Unies sont distribués chaque année civile et conformément au PNUAD. Ces budgets feront l'objet d'un examen et seront exposés plus en détail dans les plans de travail ainsi que dans les documents de projet. Si le gouvernement et les organismes des Nations Unies y consentent mutuellement, les fonds n'ayant pas été affectés par les donateurs en faveur d'activités particulières des organismes des Nations Unies peuvent être alloués à d'autres activités programmatiques tout aussi importantes.</w:t>
      </w:r>
    </w:p>
    <w:p w14:paraId="16E05BFB" w14:textId="77777777" w:rsidR="00200D40" w:rsidRDefault="00200D40" w:rsidP="00007399">
      <w:pPr>
        <w:jc w:val="both"/>
        <w:rPr>
          <w:rFonts w:ascii="Times New Roman" w:hAnsi="Times New Roman" w:cs="Times New Roman"/>
        </w:rPr>
      </w:pPr>
    </w:p>
    <w:p w14:paraId="38357AA2" w14:textId="77777777" w:rsidR="00200D40" w:rsidRPr="00200D40" w:rsidRDefault="00200D40" w:rsidP="00007399">
      <w:pPr>
        <w:jc w:val="both"/>
        <w:rPr>
          <w:rFonts w:ascii="Times New Roman" w:hAnsi="Times New Roman" w:cs="Times New Roman"/>
        </w:rPr>
      </w:pPr>
    </w:p>
    <w:p w14:paraId="7D00120E" w14:textId="06C1AF35" w:rsidR="00007399" w:rsidRPr="00161A7A" w:rsidRDefault="00007399" w:rsidP="00161A7A">
      <w:pPr>
        <w:pStyle w:val="ListParagraph"/>
        <w:numPr>
          <w:ilvl w:val="0"/>
          <w:numId w:val="28"/>
        </w:numPr>
        <w:rPr>
          <w:b/>
        </w:rPr>
      </w:pPr>
      <w:r w:rsidRPr="00161A7A">
        <w:rPr>
          <w:b/>
        </w:rPr>
        <w:t>Suivi et évaluation</w:t>
      </w:r>
    </w:p>
    <w:p w14:paraId="4325A5B6" w14:textId="77777777" w:rsidR="00007399" w:rsidRPr="00200D40" w:rsidRDefault="00007399" w:rsidP="00007399">
      <w:pPr>
        <w:pStyle w:val="BodyText"/>
        <w:kinsoku w:val="0"/>
        <w:overflowPunct w:val="0"/>
        <w:spacing w:before="0" w:line="203" w:lineRule="exact"/>
        <w:ind w:left="148"/>
        <w:rPr>
          <w:rFonts w:ascii="Times New Roman" w:hAnsi="Times New Roman" w:cs="Times New Roman"/>
          <w:spacing w:val="-1"/>
          <w:sz w:val="22"/>
          <w:szCs w:val="22"/>
          <w:lang w:val="fr-FR"/>
        </w:rPr>
      </w:pPr>
      <w:r w:rsidRPr="00200D40">
        <w:rPr>
          <w:rFonts w:ascii="Times New Roman" w:hAnsi="Times New Roman" w:cs="Times New Roman"/>
          <w:sz w:val="22"/>
          <w:szCs w:val="22"/>
          <w:lang w:val="fr-FR"/>
        </w:rPr>
        <w:t>Les Partenaires d'exécution s'engagent à coopérer avec les organismes des Nations Unies aux fins du suivi de toutes les activités financées par des sommes versées par lesdits organismes. À cet effet, les Partenaires d'exécution conviennent de ce qui suit :</w:t>
      </w:r>
    </w:p>
    <w:p w14:paraId="165304BF" w14:textId="77777777" w:rsidR="00007399" w:rsidRPr="00200D40" w:rsidRDefault="00007399" w:rsidP="00007399">
      <w:pPr>
        <w:pStyle w:val="BodyText"/>
        <w:kinsoku w:val="0"/>
        <w:overflowPunct w:val="0"/>
        <w:spacing w:before="0" w:line="203" w:lineRule="exact"/>
        <w:ind w:left="368"/>
        <w:rPr>
          <w:rFonts w:ascii="Times New Roman" w:hAnsi="Times New Roman" w:cs="Times New Roman"/>
          <w:spacing w:val="-1"/>
          <w:sz w:val="22"/>
          <w:szCs w:val="22"/>
          <w:lang w:val="fr-FR"/>
        </w:rPr>
      </w:pPr>
    </w:p>
    <w:p w14:paraId="09E9CDC2" w14:textId="77777777" w:rsidR="00007399" w:rsidRPr="00200D40" w:rsidRDefault="00007399" w:rsidP="00007399">
      <w:pPr>
        <w:pStyle w:val="BodyText"/>
        <w:tabs>
          <w:tab w:val="left" w:pos="719"/>
        </w:tabs>
        <w:kinsoku w:val="0"/>
        <w:overflowPunct w:val="0"/>
        <w:spacing w:before="0" w:line="199" w:lineRule="exact"/>
        <w:ind w:left="574" w:hanging="426"/>
        <w:rPr>
          <w:rFonts w:ascii="Times New Roman" w:hAnsi="Times New Roman" w:cs="Times New Roman"/>
          <w:sz w:val="22"/>
          <w:szCs w:val="22"/>
          <w:lang w:val="fr-FR"/>
        </w:rPr>
      </w:pPr>
      <w:r w:rsidRPr="00200D40">
        <w:rPr>
          <w:rFonts w:ascii="Times New Roman" w:hAnsi="Times New Roman" w:cs="Times New Roman"/>
          <w:sz w:val="22"/>
          <w:szCs w:val="22"/>
          <w:lang w:val="fr-FR"/>
        </w:rPr>
        <w:t>1.</w:t>
      </w:r>
      <w:r w:rsidRPr="00200D40">
        <w:rPr>
          <w:rFonts w:ascii="Times New Roman" w:hAnsi="Times New Roman" w:cs="Times New Roman"/>
          <w:sz w:val="22"/>
          <w:szCs w:val="22"/>
          <w:lang w:val="fr-FR"/>
        </w:rPr>
        <w:tab/>
        <w:t>Examens périodiques sur place et vérifications ponctuelles de leurs documents financiers par les organismes des Nations Unies ou leurs représentants, selon le cas, et tel que décrit dans les clauses spécifiques de leurs documents/contrats d'engagement avec les organismes des Nations Unies</w:t>
      </w:r>
    </w:p>
    <w:p w14:paraId="6987520F" w14:textId="77777777" w:rsidR="00007399" w:rsidRPr="00200D40" w:rsidRDefault="00007399" w:rsidP="00007399">
      <w:pPr>
        <w:pStyle w:val="BodyText"/>
        <w:kinsoku w:val="0"/>
        <w:overflowPunct w:val="0"/>
        <w:spacing w:before="2"/>
        <w:ind w:left="148"/>
        <w:rPr>
          <w:rFonts w:ascii="Times New Roman" w:hAnsi="Times New Roman" w:cs="Times New Roman"/>
          <w:b/>
          <w:bCs/>
          <w:sz w:val="22"/>
          <w:szCs w:val="22"/>
          <w:lang w:val="fr-FR"/>
        </w:rPr>
      </w:pPr>
    </w:p>
    <w:p w14:paraId="0763E757" w14:textId="77777777" w:rsidR="00007399" w:rsidRPr="00200D40" w:rsidRDefault="00007399" w:rsidP="00007399">
      <w:pPr>
        <w:pStyle w:val="BodyText"/>
        <w:numPr>
          <w:ilvl w:val="0"/>
          <w:numId w:val="19"/>
        </w:numPr>
        <w:tabs>
          <w:tab w:val="left" w:pos="360"/>
        </w:tabs>
        <w:kinsoku w:val="0"/>
        <w:overflowPunct w:val="0"/>
        <w:spacing w:before="0" w:line="266" w:lineRule="auto"/>
        <w:ind w:left="507" w:right="2" w:hanging="359"/>
        <w:jc w:val="both"/>
        <w:rPr>
          <w:rFonts w:ascii="Times New Roman" w:hAnsi="Times New Roman" w:cs="Times New Roman"/>
          <w:sz w:val="22"/>
          <w:szCs w:val="22"/>
          <w:lang w:val="fr-FR"/>
        </w:rPr>
      </w:pPr>
      <w:r w:rsidRPr="00200D40">
        <w:rPr>
          <w:rFonts w:ascii="Times New Roman" w:hAnsi="Times New Roman" w:cs="Times New Roman"/>
          <w:sz w:val="22"/>
          <w:szCs w:val="22"/>
          <w:lang w:val="fr-FR"/>
        </w:rPr>
        <w:t>Suivi programmatique des activités dans le respect des normes et orientations des organismes des Nations Unies en matière de visites sur place et de suivi sur le terrain,</w:t>
      </w:r>
    </w:p>
    <w:p w14:paraId="1EAE9893" w14:textId="77777777" w:rsidR="00007399" w:rsidRPr="00200D40" w:rsidRDefault="00007399" w:rsidP="00007399">
      <w:pPr>
        <w:pStyle w:val="BodyText"/>
        <w:kinsoku w:val="0"/>
        <w:overflowPunct w:val="0"/>
        <w:spacing w:before="12"/>
        <w:ind w:left="148"/>
        <w:rPr>
          <w:rFonts w:ascii="Times New Roman" w:hAnsi="Times New Roman" w:cs="Times New Roman"/>
          <w:b/>
          <w:bCs/>
          <w:sz w:val="22"/>
          <w:szCs w:val="22"/>
          <w:lang w:val="fr-FR"/>
        </w:rPr>
      </w:pPr>
    </w:p>
    <w:p w14:paraId="3D5E6C12" w14:textId="2B1FFA13" w:rsidR="00034DFA" w:rsidRPr="00200D40" w:rsidRDefault="00007399" w:rsidP="00007399">
      <w:pPr>
        <w:jc w:val="both"/>
        <w:rPr>
          <w:rFonts w:ascii="Times New Roman" w:hAnsi="Times New Roman" w:cs="Times New Roman"/>
        </w:rPr>
      </w:pPr>
      <w:r w:rsidRPr="00200D40">
        <w:rPr>
          <w:rFonts w:ascii="Times New Roman" w:hAnsi="Times New Roman" w:cs="Times New Roman"/>
        </w:rPr>
        <w:t>Audits spéciaux ou programmés. Chaque organisation des Nations Unies, en collaboration avec d'autres organismes du système (s’ils le souhaitent, en consultation avec le ministère respectif en charge de la coordination) mettra en place un plan annuel d'audits, visant en priorité les Partenaires d'exécution bénéficiant d'une assistance importante sous forme d’espèces versées par les organismes des Nations Unies, et ceux dont les capacités de gestion financière ont besoin d'être renforcées.</w:t>
      </w:r>
    </w:p>
    <w:p w14:paraId="27E5FE09" w14:textId="77777777" w:rsidR="009149E3" w:rsidRPr="00200D40" w:rsidRDefault="009149E3" w:rsidP="009149E3">
      <w:pPr>
        <w:pStyle w:val="BodyText"/>
        <w:numPr>
          <w:ilvl w:val="0"/>
          <w:numId w:val="20"/>
        </w:numPr>
        <w:tabs>
          <w:tab w:val="left" w:pos="255"/>
        </w:tabs>
        <w:kinsoku w:val="0"/>
        <w:overflowPunct w:val="0"/>
        <w:spacing w:before="0" w:line="266" w:lineRule="auto"/>
        <w:ind w:left="122" w:right="108" w:firstLine="0"/>
        <w:jc w:val="both"/>
        <w:rPr>
          <w:rFonts w:ascii="Times New Roman" w:hAnsi="Times New Roman" w:cs="Times New Roman"/>
          <w:sz w:val="22"/>
          <w:szCs w:val="22"/>
          <w:lang w:val="fr-FR"/>
        </w:rPr>
      </w:pPr>
      <w:r w:rsidRPr="00200D40">
        <w:rPr>
          <w:rFonts w:ascii="Times New Roman" w:hAnsi="Times New Roman" w:cs="Times New Roman"/>
          <w:sz w:val="22"/>
          <w:szCs w:val="22"/>
          <w:lang w:val="fr-FR"/>
        </w:rPr>
        <w:t>[Lorsqu'une évaluation du système de gestion des finances publiques a confirmé que l'Institution supérieure de contrôle des finances publiques a la capacité suffisante, qu'elle accepte et est en mesure de conduire des audits spéciaux et programmés] :</w:t>
      </w:r>
    </w:p>
    <w:p w14:paraId="3D4F798F" w14:textId="77777777" w:rsidR="009149E3" w:rsidRPr="00200D40" w:rsidRDefault="009149E3" w:rsidP="009149E3">
      <w:pPr>
        <w:pStyle w:val="BodyText"/>
        <w:kinsoku w:val="0"/>
        <w:overflowPunct w:val="0"/>
        <w:spacing w:before="11"/>
        <w:ind w:left="14"/>
        <w:rPr>
          <w:rFonts w:ascii="Times New Roman" w:hAnsi="Times New Roman" w:cs="Times New Roman"/>
          <w:b/>
          <w:bCs/>
          <w:sz w:val="22"/>
          <w:szCs w:val="22"/>
          <w:lang w:val="fr-FR"/>
        </w:rPr>
      </w:pPr>
    </w:p>
    <w:p w14:paraId="2CF73812" w14:textId="129A562F" w:rsidR="009149E3" w:rsidRPr="00200D40" w:rsidRDefault="009149E3" w:rsidP="009149E3">
      <w:pPr>
        <w:pStyle w:val="BodyText"/>
        <w:kinsoku w:val="0"/>
        <w:overflowPunct w:val="0"/>
        <w:spacing w:before="0" w:line="263" w:lineRule="auto"/>
        <w:ind w:left="122" w:right="120"/>
        <w:jc w:val="both"/>
        <w:rPr>
          <w:rFonts w:ascii="Times New Roman" w:hAnsi="Times New Roman" w:cs="Times New Roman"/>
          <w:sz w:val="22"/>
          <w:szCs w:val="22"/>
          <w:lang w:val="es-ES_tradnl"/>
        </w:rPr>
      </w:pPr>
      <w:r w:rsidRPr="00200D40">
        <w:rPr>
          <w:rFonts w:ascii="Times New Roman" w:hAnsi="Times New Roman" w:cs="Times New Roman"/>
          <w:i/>
          <w:iCs/>
          <w:sz w:val="22"/>
          <w:szCs w:val="22"/>
          <w:lang w:val="fr-FR"/>
        </w:rPr>
        <w:t xml:space="preserve">L'Institution supérieure de contrôle des finances peut diligenter les audits des Partenaires d'exécution gouvernementaux. Si l'Institution supérieure de contrôle des finances prend la décision de ne pas procéder aux audits de Partenaires d'exécution particuliers suivant la fréquence et le cadre exigés par les organismes des Nations Unies, ces derniers retiendront les services d'audit de prestataires </w:t>
      </w:r>
      <w:r w:rsidR="00200D40">
        <w:rPr>
          <w:rFonts w:ascii="Times New Roman" w:hAnsi="Times New Roman" w:cs="Times New Roman"/>
          <w:i/>
          <w:iCs/>
          <w:sz w:val="22"/>
          <w:szCs w:val="22"/>
          <w:lang w:val="fr-FR"/>
        </w:rPr>
        <w:t>du secteur privé pour y procéder</w:t>
      </w:r>
      <w:r w:rsidRPr="00200D40">
        <w:rPr>
          <w:rFonts w:ascii="Times New Roman" w:hAnsi="Times New Roman" w:cs="Times New Roman"/>
          <w:i/>
          <w:iCs/>
          <w:sz w:val="22"/>
          <w:szCs w:val="22"/>
          <w:lang w:val="fr-FR"/>
        </w:rPr>
        <w:t>.</w:t>
      </w:r>
    </w:p>
    <w:p w14:paraId="12563FBE" w14:textId="77777777" w:rsidR="009149E3" w:rsidRDefault="009149E3" w:rsidP="00007399">
      <w:pPr>
        <w:jc w:val="both"/>
        <w:rPr>
          <w:rFonts w:ascii="Times New Roman" w:hAnsi="Times New Roman" w:cs="Times New Roman"/>
          <w:lang w:val="es-ES_tradnl"/>
        </w:rPr>
      </w:pPr>
    </w:p>
    <w:p w14:paraId="75441938" w14:textId="77777777" w:rsidR="009149E3" w:rsidRPr="00161A7A" w:rsidRDefault="009149E3" w:rsidP="00161A7A">
      <w:pPr>
        <w:pStyle w:val="ListParagraph"/>
        <w:numPr>
          <w:ilvl w:val="0"/>
          <w:numId w:val="28"/>
        </w:numPr>
        <w:rPr>
          <w:b/>
        </w:rPr>
      </w:pPr>
      <w:r w:rsidRPr="00161A7A">
        <w:rPr>
          <w:b/>
        </w:rPr>
        <w:t>Engagements du gouvernement</w:t>
      </w:r>
    </w:p>
    <w:p w14:paraId="0A979BE3" w14:textId="77777777" w:rsidR="009149E3" w:rsidRDefault="009149E3" w:rsidP="00007399">
      <w:pPr>
        <w:jc w:val="both"/>
        <w:rPr>
          <w:rFonts w:ascii="Times New Roman" w:hAnsi="Times New Roman" w:cs="Times New Roman"/>
          <w:lang w:val="es-ES_tradnl"/>
        </w:rPr>
      </w:pPr>
    </w:p>
    <w:p w14:paraId="6F52D785" w14:textId="534DC3C5" w:rsidR="009149E3" w:rsidRPr="00200D40" w:rsidRDefault="009149E3" w:rsidP="00007399">
      <w:pPr>
        <w:jc w:val="both"/>
        <w:rPr>
          <w:rFonts w:ascii="Times New Roman" w:hAnsi="Times New Roman" w:cs="Times New Roman"/>
        </w:rPr>
      </w:pPr>
      <w:r w:rsidRPr="00200D40">
        <w:rPr>
          <w:rFonts w:ascii="Times New Roman" w:hAnsi="Times New Roman" w:cs="Times New Roman"/>
        </w:rPr>
        <w:t>Le gouvernement apportera un soutien aux efforts des organismes des Nations Unies visant à collecter les fonds nécessaires pour répondre aux besoins de ce PNUAD. Il coopérera avec les organismes des Nations Unies dans le cadre des initiatives suivantes : encourager les donateurs gouvernementaux potentiels à mettre à la disposition des organismes des Nations Unies les fonds nécessaires à la mise en œuvre des éléments non financés du programme ; avaliser les efforts des organismes des Nations Unies pour collecter les fonds nécessaires au programme auprès d'autres sources, notamment le secteur privé à l’échelle internationale et en [nom du pays] ; et permettre aux particuliers, entreprises et fondations de contribuer [nom du pays] au financement de ce programme qui sera assorti d'exonérations fiscales en faveur du donateur, dans la mesure des contraintes légales en vigueur.</w:t>
      </w:r>
    </w:p>
    <w:p w14:paraId="695C3A13" w14:textId="48CEE591" w:rsidR="009149E3" w:rsidRPr="00200D40" w:rsidRDefault="009149E3" w:rsidP="00007399">
      <w:pPr>
        <w:jc w:val="both"/>
        <w:rPr>
          <w:rFonts w:ascii="Times New Roman" w:hAnsi="Times New Roman" w:cs="Times New Roman"/>
        </w:rPr>
      </w:pPr>
      <w:r w:rsidRPr="00200D40">
        <w:rPr>
          <w:rFonts w:ascii="Times New Roman" w:hAnsi="Times New Roman" w:cs="Times New Roman"/>
        </w:rPr>
        <w:t>L’assistance en espèces pour les déplacements, salaires, honoraires et autres frais, est établie à des taux proportionnels à ceux appliqués dans le pays, et sans excéder les taux applicables au système des Nations Unies (comme indiqué dans les circulaires de la Commission de la fonction publique internationale (CFPI)).</w:t>
      </w:r>
    </w:p>
    <w:p w14:paraId="09FCC8C1" w14:textId="77777777" w:rsidR="009149E3" w:rsidRPr="00200D40" w:rsidRDefault="009149E3" w:rsidP="009149E3">
      <w:pPr>
        <w:pStyle w:val="BodyText"/>
        <w:kinsoku w:val="0"/>
        <w:overflowPunct w:val="0"/>
        <w:spacing w:before="0" w:line="266" w:lineRule="auto"/>
        <w:ind w:left="116" w:right="102"/>
        <w:jc w:val="both"/>
        <w:rPr>
          <w:rFonts w:ascii="Times New Roman" w:hAnsi="Times New Roman" w:cs="Times New Roman"/>
          <w:sz w:val="22"/>
          <w:szCs w:val="22"/>
          <w:lang w:val="fr-FR"/>
        </w:rPr>
      </w:pPr>
      <w:r w:rsidRPr="00200D40">
        <w:rPr>
          <w:rFonts w:ascii="Times New Roman" w:hAnsi="Times New Roman" w:cs="Times New Roman"/>
          <w:sz w:val="22"/>
          <w:szCs w:val="22"/>
          <w:lang w:val="fr-FR"/>
        </w:rPr>
        <w:t>Le gouvernement honorera ses engagements conformément aux dispositions des accords de coopération et d'assistance mentionnés au paragraphe [x ci-dessus dans la section traitant du fondement de la relation].</w:t>
      </w:r>
    </w:p>
    <w:p w14:paraId="41AE5CCB" w14:textId="77777777" w:rsidR="009149E3" w:rsidRPr="00200D40" w:rsidRDefault="009149E3" w:rsidP="009149E3">
      <w:pPr>
        <w:pStyle w:val="BodyText"/>
        <w:kinsoku w:val="0"/>
        <w:overflowPunct w:val="0"/>
        <w:spacing w:before="1"/>
        <w:ind w:left="14"/>
        <w:rPr>
          <w:rFonts w:ascii="Times New Roman" w:hAnsi="Times New Roman" w:cs="Times New Roman"/>
          <w:b/>
          <w:bCs/>
          <w:sz w:val="22"/>
          <w:szCs w:val="22"/>
          <w:lang w:val="fr-FR"/>
        </w:rPr>
      </w:pPr>
    </w:p>
    <w:p w14:paraId="2AE0B7ED" w14:textId="30F51653" w:rsidR="009149E3" w:rsidRPr="00200D40" w:rsidRDefault="009149E3" w:rsidP="009149E3">
      <w:pPr>
        <w:jc w:val="both"/>
        <w:rPr>
          <w:rFonts w:ascii="Times New Roman" w:hAnsi="Times New Roman" w:cs="Times New Roman"/>
          <w:lang w:val="es-ES_tradnl"/>
        </w:rPr>
      </w:pPr>
      <w:r w:rsidRPr="00200D40">
        <w:rPr>
          <w:rFonts w:ascii="Times New Roman" w:hAnsi="Times New Roman" w:cs="Times New Roman"/>
        </w:rPr>
        <w:t>Sans porter préjudice à ces accords, le Gouvernement doit appliquer les dispositions de la Convention sur les privilèges et immunités des Nations Unies (La « Convention générale ») ou la « Convention sur les privilèges et immunités des institutions spécialisées » aux biens, fonds et actifs des organismes ainsi qu'aux représentants officiels et consultants de ces derniers. Le Gouvernement accordera en outre aux organismes et à leurs représentants officiels ainsi qu'aux autres personnes assurant une prestation de services au nom des organismes, les privilèges, immunités et facilités figurant dans les accords de coopération et d'assistance entre les organismes et le Gouvernement. En outre, il est entendu que tous les Volontaires des Nations Unies soient assimilés à des représentants officiels des agences, et de ce fait, comme des ayants droit aux privilèges et immunités tel que spécifiés dans la « Convention générale » ou la « Convention sur les privilèges et immunités des institutions spécialisées ».Il incombera au Gouvernement de traiter les réclamations quelles qu'elles soient, susceptibles d'être intentées par des tiers à l'encontre de l'un des organismes et de ses représentants officiels, conseillers, agents ou autres personnes assurant une prestation de services au nom des organismes. Aucun des organismes ni quelconque de leurs représentants officiels, conseillers ou personnes assurant la prestation de services en leur nom, ne sera tenu pour responsable à l'égard de réclamations et obligations résultant d'opérations en vertu des accords de coopération et d'assistance, sauf en cas d'accord mutuel entre le gouvernement et un organisme particulier sur le fait que lesdites réclamations et obligations découlent d'une faute lourde ou d’une négligence grave de cet organisme, ou de ses représentants officiels, conseillers ou personnes assurant la prestation de services.</w:t>
      </w:r>
    </w:p>
    <w:p w14:paraId="31CAC445" w14:textId="77777777" w:rsidR="00F66CEC" w:rsidRPr="00200D40" w:rsidRDefault="00F66CEC" w:rsidP="00F66CEC">
      <w:pPr>
        <w:pStyle w:val="BodyText"/>
        <w:kinsoku w:val="0"/>
        <w:overflowPunct w:val="0"/>
        <w:spacing w:before="0" w:line="265" w:lineRule="auto"/>
        <w:ind w:left="83" w:right="107"/>
        <w:jc w:val="both"/>
        <w:rPr>
          <w:rFonts w:ascii="Times New Roman" w:hAnsi="Times New Roman" w:cs="Times New Roman"/>
          <w:sz w:val="22"/>
          <w:szCs w:val="22"/>
          <w:lang w:val="fr-BE"/>
        </w:rPr>
      </w:pPr>
      <w:r w:rsidRPr="00200D40">
        <w:rPr>
          <w:rFonts w:ascii="Times New Roman" w:hAnsi="Times New Roman" w:cs="Times New Roman"/>
          <w:sz w:val="22"/>
          <w:szCs w:val="22"/>
          <w:lang w:val="fr-FR"/>
        </w:rPr>
        <w:t>[Si cela est exigé] : Sans préjudice du caractère général de ce qui précède, le gouvernement garantira ou couvrira les organismes en matière de responsabilité civile prévue par la législation du pays, concernant les véhicules fournis par les organismes mais sous le contrôle du gouvernement ou destinés à une utilisation par le gouvernement.</w:t>
      </w:r>
    </w:p>
    <w:p w14:paraId="4AD85DF0" w14:textId="77777777" w:rsidR="00F66CEC" w:rsidRPr="00200D40" w:rsidRDefault="00F66CEC" w:rsidP="00F66CEC">
      <w:pPr>
        <w:pStyle w:val="BodyText"/>
        <w:kinsoku w:val="0"/>
        <w:overflowPunct w:val="0"/>
        <w:spacing w:before="0"/>
        <w:ind w:left="-19"/>
        <w:rPr>
          <w:rFonts w:ascii="Times New Roman" w:hAnsi="Times New Roman" w:cs="Times New Roman"/>
          <w:sz w:val="22"/>
          <w:szCs w:val="22"/>
          <w:lang w:val="fr-BE"/>
        </w:rPr>
      </w:pPr>
    </w:p>
    <w:p w14:paraId="699895FA" w14:textId="19CDF520" w:rsidR="00F66CEC" w:rsidRPr="00200D40" w:rsidRDefault="00F66CEC" w:rsidP="00F66CEC">
      <w:pPr>
        <w:pStyle w:val="BodyText"/>
        <w:numPr>
          <w:ilvl w:val="0"/>
          <w:numId w:val="22"/>
        </w:numPr>
        <w:tabs>
          <w:tab w:val="left" w:pos="364"/>
        </w:tabs>
        <w:kinsoku w:val="0"/>
        <w:overflowPunct w:val="0"/>
        <w:spacing w:before="0" w:line="265" w:lineRule="auto"/>
        <w:ind w:left="83" w:right="107" w:firstLine="0"/>
        <w:jc w:val="both"/>
        <w:rPr>
          <w:rFonts w:ascii="Times New Roman" w:hAnsi="Times New Roman" w:cs="Times New Roman"/>
          <w:sz w:val="22"/>
          <w:szCs w:val="22"/>
          <w:lang w:val="es-ES_tradnl"/>
        </w:rPr>
      </w:pPr>
      <w:r w:rsidRPr="00200D40">
        <w:rPr>
          <w:rFonts w:ascii="Times New Roman" w:hAnsi="Times New Roman" w:cs="Times New Roman"/>
          <w:sz w:val="22"/>
          <w:szCs w:val="22"/>
          <w:lang w:val="fr-FR"/>
        </w:rPr>
        <w:t xml:space="preserve">« Aucune disposition de cet Accord ne saurait être considéré comme une renonciation par les Nations Unies ou l'un de ses organismes ou </w:t>
      </w:r>
      <w:r w:rsidR="00200D40" w:rsidRPr="00200D40">
        <w:rPr>
          <w:rFonts w:ascii="Times New Roman" w:hAnsi="Times New Roman" w:cs="Times New Roman"/>
          <w:sz w:val="22"/>
          <w:szCs w:val="22"/>
          <w:lang w:val="fr-FR"/>
        </w:rPr>
        <w:t>organisations de</w:t>
      </w:r>
      <w:r w:rsidRPr="00200D40">
        <w:rPr>
          <w:rFonts w:ascii="Times New Roman" w:hAnsi="Times New Roman" w:cs="Times New Roman"/>
          <w:sz w:val="22"/>
          <w:szCs w:val="22"/>
          <w:lang w:val="fr-FR"/>
        </w:rPr>
        <w:t xml:space="preserve"> l’un des privilèges ou immunités quelconques dont ils bénéficient ou leur acceptation de la compétence des tribunaux d'un pays relativement à des litiges résultant du présent Accord ».</w:t>
      </w:r>
    </w:p>
    <w:p w14:paraId="1DBE9733" w14:textId="77777777" w:rsidR="00F66CEC" w:rsidRPr="00200D40" w:rsidRDefault="00F66CEC" w:rsidP="00F66CEC">
      <w:pPr>
        <w:pStyle w:val="BodyText"/>
        <w:kinsoku w:val="0"/>
        <w:overflowPunct w:val="0"/>
        <w:spacing w:before="0"/>
        <w:ind w:left="-19"/>
        <w:rPr>
          <w:rFonts w:ascii="Times New Roman" w:hAnsi="Times New Roman" w:cs="Times New Roman"/>
          <w:sz w:val="22"/>
          <w:szCs w:val="22"/>
          <w:lang w:val="es-ES_tradnl"/>
        </w:rPr>
      </w:pPr>
    </w:p>
    <w:p w14:paraId="6A64B964" w14:textId="33BB5146" w:rsidR="00034DFA" w:rsidRPr="00200D40" w:rsidRDefault="00F66CEC" w:rsidP="00F66CEC">
      <w:pPr>
        <w:jc w:val="both"/>
        <w:rPr>
          <w:rFonts w:ascii="Times New Roman" w:hAnsi="Times New Roman" w:cs="Times New Roman"/>
        </w:rPr>
      </w:pPr>
      <w:r w:rsidRPr="00200D40">
        <w:rPr>
          <w:rFonts w:ascii="Times New Roman" w:hAnsi="Times New Roman" w:cs="Times New Roman"/>
        </w:rPr>
        <w:t>Aucune disposition de ce document ou relative à ce dernier ne sera présumée être une renonciation, expresse ou tacite, à l'égard des privilèges et immunités des Nations Unies et de ses organes subsidiaires, y compris le Programme alimentaire mondial, que ce soit en vertu de la Convention sur les privilèges et immunités des Nations Unies du 13 février 1946, de la Convention sur les privilèges et immunités des organismes spécialisés du 21 novembre 1947, selon le cas, et aucune disposition de ce document ou d'un contrat institutionnel ou engagement quelconque ne sera interprétée ou appliquée d'une manière ou dans une mesure incompatible avec ces privilèges et immunités.</w:t>
      </w:r>
    </w:p>
    <w:sectPr w:rsidR="00034DFA" w:rsidRPr="00200D40" w:rsidSect="0089547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9B8930" w14:textId="77777777" w:rsidR="006A62C2" w:rsidRDefault="006A62C2">
      <w:pPr>
        <w:spacing w:after="0" w:line="240" w:lineRule="auto"/>
      </w:pPr>
      <w:r>
        <w:separator/>
      </w:r>
    </w:p>
  </w:endnote>
  <w:endnote w:type="continuationSeparator" w:id="0">
    <w:p w14:paraId="1B6A63C9" w14:textId="77777777" w:rsidR="006A62C2" w:rsidRDefault="006A6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5B97E" w14:textId="77777777" w:rsidR="00433F84" w:rsidRDefault="00433F84">
    <w:pPr>
      <w:pStyle w:val="Footer"/>
      <w:jc w:val="right"/>
    </w:pPr>
    <w:r>
      <w:fldChar w:fldCharType="begin"/>
    </w:r>
    <w:r>
      <w:instrText>PAGE   \* MERGEFORMAT</w:instrText>
    </w:r>
    <w:r>
      <w:fldChar w:fldCharType="separate"/>
    </w:r>
    <w:r w:rsidR="00991739">
      <w:t>4</w:t>
    </w:r>
    <w:r>
      <w:fldChar w:fldCharType="end"/>
    </w:r>
  </w:p>
  <w:p w14:paraId="01D9EE72" w14:textId="77777777" w:rsidR="00433F84" w:rsidRDefault="00433F8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FF0752" w14:textId="77777777" w:rsidR="006A62C2" w:rsidRDefault="006A62C2">
      <w:pPr>
        <w:spacing w:after="0" w:line="240" w:lineRule="auto"/>
      </w:pPr>
      <w:r>
        <w:separator/>
      </w:r>
    </w:p>
  </w:footnote>
  <w:footnote w:type="continuationSeparator" w:id="0">
    <w:p w14:paraId="351BD768" w14:textId="77777777" w:rsidR="006A62C2" w:rsidRDefault="006A62C2">
      <w:pPr>
        <w:spacing w:after="0" w:line="240" w:lineRule="auto"/>
      </w:pPr>
      <w:r>
        <w:continuationSeparator/>
      </w:r>
    </w:p>
  </w:footnote>
  <w:footnote w:id="1">
    <w:p w14:paraId="546AC5DD" w14:textId="77777777" w:rsidR="00433F84" w:rsidRPr="008074F4" w:rsidRDefault="00433F84" w:rsidP="00835A43">
      <w:pPr>
        <w:pStyle w:val="FootnoteText"/>
        <w:rPr>
          <w:rFonts w:ascii="Times New Roman" w:hAnsi="Times New Roman"/>
          <w:sz w:val="18"/>
          <w:lang w:eastAsia="pt-PT"/>
        </w:rPr>
      </w:pPr>
      <w:r w:rsidRPr="00603C89">
        <w:rPr>
          <w:rStyle w:val="FootnoteReference"/>
          <w:rFonts w:ascii="Times New Roman" w:hAnsi="Times New Roman"/>
          <w:sz w:val="18"/>
        </w:rPr>
        <w:footnoteRef/>
      </w:r>
      <w:r w:rsidRPr="00603C89">
        <w:rPr>
          <w:rFonts w:ascii="Times New Roman" w:hAnsi="Times New Roman"/>
          <w:sz w:val="18"/>
        </w:rPr>
        <w:t xml:space="preserve"> Enquête séroprévalence, … 2005.</w:t>
      </w:r>
    </w:p>
  </w:footnote>
  <w:footnote w:id="2">
    <w:p w14:paraId="0E9AB863" w14:textId="77777777" w:rsidR="00433F84" w:rsidRPr="00EE2BEA" w:rsidRDefault="00433F84" w:rsidP="006324E0">
      <w:pPr>
        <w:pStyle w:val="FootnoteText"/>
        <w:rPr>
          <w:rFonts w:ascii="Times New Roman" w:hAnsi="Times New Roman"/>
          <w:sz w:val="16"/>
          <w:szCs w:val="16"/>
        </w:rPr>
      </w:pPr>
      <w:r>
        <w:rPr>
          <w:rStyle w:val="FootnoteReference"/>
        </w:rPr>
        <w:footnoteRef/>
      </w:r>
      <w:r w:rsidRPr="00EE2BEA">
        <w:t xml:space="preserve"> </w:t>
      </w:r>
      <w:r w:rsidRPr="00EE2BEA">
        <w:rPr>
          <w:rFonts w:ascii="Times New Roman" w:hAnsi="Times New Roman"/>
          <w:sz w:val="16"/>
          <w:szCs w:val="16"/>
        </w:rPr>
        <w:t>CPIA 2013, Banque mondiale</w:t>
      </w:r>
    </w:p>
  </w:footnote>
  <w:footnote w:id="3">
    <w:p w14:paraId="60A06F13" w14:textId="77777777" w:rsidR="00433F84" w:rsidRPr="0042487B" w:rsidRDefault="00433F84" w:rsidP="006324E0">
      <w:pPr>
        <w:pStyle w:val="FootnoteText"/>
        <w:rPr>
          <w:rFonts w:ascii="Times New Roman" w:hAnsi="Times New Roman"/>
          <w:sz w:val="16"/>
          <w:szCs w:val="16"/>
        </w:rPr>
      </w:pPr>
      <w:r w:rsidRPr="0042487B">
        <w:rPr>
          <w:rStyle w:val="FootnoteReference"/>
          <w:rFonts w:ascii="Times New Roman" w:hAnsi="Times New Roman"/>
          <w:sz w:val="16"/>
          <w:szCs w:val="16"/>
        </w:rPr>
        <w:footnoteRef/>
      </w:r>
      <w:r w:rsidRPr="0042487B">
        <w:rPr>
          <w:rFonts w:ascii="Times New Roman" w:hAnsi="Times New Roman"/>
          <w:sz w:val="16"/>
          <w:szCs w:val="16"/>
        </w:rPr>
        <w:t xml:space="preserve"> Loi des finances, Ministère des Finances et du Budget, 2015.</w:t>
      </w:r>
    </w:p>
  </w:footnote>
  <w:footnote w:id="4">
    <w:p w14:paraId="05D22630" w14:textId="77777777" w:rsidR="00433F84" w:rsidRPr="00864FAF" w:rsidRDefault="00433F84" w:rsidP="006324E0">
      <w:pPr>
        <w:pStyle w:val="FootnoteText"/>
        <w:rPr>
          <w:rFonts w:ascii="Times New Roman" w:hAnsi="Times New Roman"/>
          <w:sz w:val="16"/>
          <w:szCs w:val="16"/>
        </w:rPr>
      </w:pPr>
      <w:r>
        <w:rPr>
          <w:rStyle w:val="FootnoteReference"/>
        </w:rPr>
        <w:footnoteRef/>
      </w:r>
      <w:r>
        <w:t xml:space="preserve"> </w:t>
      </w:r>
      <w:r w:rsidRPr="00864FAF">
        <w:rPr>
          <w:rFonts w:ascii="Times New Roman" w:hAnsi="Times New Roman"/>
          <w:sz w:val="16"/>
          <w:szCs w:val="16"/>
        </w:rPr>
        <w:t>Noter cependant que la gouvernance économique apparaît dans la vision comme un axe sur « Développer une économie compétitive et robuste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402"/>
    <w:multiLevelType w:val="multilevel"/>
    <w:tmpl w:val="00000885"/>
    <w:lvl w:ilvl="0">
      <w:start w:val="1"/>
      <w:numFmt w:val="decimal"/>
      <w:lvlText w:val="%1."/>
      <w:lvlJc w:val="left"/>
      <w:pPr>
        <w:ind w:left="360" w:hanging="360"/>
      </w:pPr>
      <w:rPr>
        <w:rFonts w:ascii="Calibri" w:hAnsi="Calibri" w:cs="Calibri"/>
        <w:b/>
        <w:bCs/>
        <w:w w:val="99"/>
        <w:sz w:val="24"/>
        <w:szCs w:val="24"/>
      </w:rPr>
    </w:lvl>
    <w:lvl w:ilvl="1">
      <w:numFmt w:val="bullet"/>
      <w:lvlText w:val="•"/>
      <w:lvlJc w:val="left"/>
      <w:pPr>
        <w:ind w:left="1266" w:hanging="360"/>
      </w:pPr>
    </w:lvl>
    <w:lvl w:ilvl="2">
      <w:numFmt w:val="bullet"/>
      <w:lvlText w:val="•"/>
      <w:lvlJc w:val="left"/>
      <w:pPr>
        <w:ind w:left="2172" w:hanging="360"/>
      </w:pPr>
    </w:lvl>
    <w:lvl w:ilvl="3">
      <w:numFmt w:val="bullet"/>
      <w:lvlText w:val="•"/>
      <w:lvlJc w:val="left"/>
      <w:pPr>
        <w:ind w:left="3078" w:hanging="360"/>
      </w:pPr>
    </w:lvl>
    <w:lvl w:ilvl="4">
      <w:numFmt w:val="bullet"/>
      <w:lvlText w:val="•"/>
      <w:lvlJc w:val="left"/>
      <w:pPr>
        <w:ind w:left="3984" w:hanging="360"/>
      </w:pPr>
    </w:lvl>
    <w:lvl w:ilvl="5">
      <w:numFmt w:val="bullet"/>
      <w:lvlText w:val="•"/>
      <w:lvlJc w:val="left"/>
      <w:pPr>
        <w:ind w:left="4890" w:hanging="360"/>
      </w:pPr>
    </w:lvl>
    <w:lvl w:ilvl="6">
      <w:numFmt w:val="bullet"/>
      <w:lvlText w:val="•"/>
      <w:lvlJc w:val="left"/>
      <w:pPr>
        <w:ind w:left="5796" w:hanging="360"/>
      </w:pPr>
    </w:lvl>
    <w:lvl w:ilvl="7">
      <w:numFmt w:val="bullet"/>
      <w:lvlText w:val="•"/>
      <w:lvlJc w:val="left"/>
      <w:pPr>
        <w:ind w:left="6702" w:hanging="360"/>
      </w:pPr>
    </w:lvl>
    <w:lvl w:ilvl="8">
      <w:numFmt w:val="bullet"/>
      <w:lvlText w:val="•"/>
      <w:lvlJc w:val="left"/>
      <w:pPr>
        <w:ind w:left="7608" w:hanging="360"/>
      </w:pPr>
    </w:lvl>
  </w:abstractNum>
  <w:abstractNum w:abstractNumId="1" w15:restartNumberingAfterBreak="0">
    <w:nsid w:val="00000404"/>
    <w:multiLevelType w:val="multilevel"/>
    <w:tmpl w:val="00000887"/>
    <w:lvl w:ilvl="0">
      <w:start w:val="1"/>
      <w:numFmt w:val="decimal"/>
      <w:lvlText w:val="%1."/>
      <w:lvlJc w:val="left"/>
      <w:pPr>
        <w:ind w:left="597" w:hanging="360"/>
      </w:pPr>
      <w:rPr>
        <w:rFonts w:ascii="Calibri" w:hAnsi="Calibri" w:cs="Calibri"/>
        <w:b w:val="0"/>
        <w:bCs w:val="0"/>
        <w:spacing w:val="-1"/>
        <w:w w:val="99"/>
        <w:sz w:val="20"/>
        <w:szCs w:val="20"/>
      </w:rPr>
    </w:lvl>
    <w:lvl w:ilvl="1">
      <w:start w:val="1"/>
      <w:numFmt w:val="lowerLetter"/>
      <w:lvlText w:val="%2."/>
      <w:lvlJc w:val="left"/>
      <w:pPr>
        <w:ind w:left="1317" w:hanging="360"/>
      </w:pPr>
      <w:rPr>
        <w:rFonts w:ascii="Calibri" w:hAnsi="Calibri" w:cs="Calibri"/>
        <w:b w:val="0"/>
        <w:bCs w:val="0"/>
        <w:w w:val="99"/>
        <w:sz w:val="20"/>
        <w:szCs w:val="20"/>
      </w:rPr>
    </w:lvl>
    <w:lvl w:ilvl="2">
      <w:numFmt w:val="bullet"/>
      <w:lvlText w:val="•"/>
      <w:lvlJc w:val="left"/>
      <w:pPr>
        <w:ind w:left="2279" w:hanging="360"/>
      </w:pPr>
    </w:lvl>
    <w:lvl w:ilvl="3">
      <w:numFmt w:val="bullet"/>
      <w:lvlText w:val="•"/>
      <w:lvlJc w:val="left"/>
      <w:pPr>
        <w:ind w:left="3242" w:hanging="360"/>
      </w:pPr>
    </w:lvl>
    <w:lvl w:ilvl="4">
      <w:numFmt w:val="bullet"/>
      <w:lvlText w:val="•"/>
      <w:lvlJc w:val="left"/>
      <w:pPr>
        <w:ind w:left="4204" w:hanging="360"/>
      </w:pPr>
    </w:lvl>
    <w:lvl w:ilvl="5">
      <w:numFmt w:val="bullet"/>
      <w:lvlText w:val="•"/>
      <w:lvlJc w:val="left"/>
      <w:pPr>
        <w:ind w:left="5167" w:hanging="360"/>
      </w:pPr>
    </w:lvl>
    <w:lvl w:ilvl="6">
      <w:numFmt w:val="bullet"/>
      <w:lvlText w:val="•"/>
      <w:lvlJc w:val="left"/>
      <w:pPr>
        <w:ind w:left="6129" w:hanging="360"/>
      </w:pPr>
    </w:lvl>
    <w:lvl w:ilvl="7">
      <w:numFmt w:val="bullet"/>
      <w:lvlText w:val="•"/>
      <w:lvlJc w:val="left"/>
      <w:pPr>
        <w:ind w:left="7092" w:hanging="360"/>
      </w:pPr>
    </w:lvl>
    <w:lvl w:ilvl="8">
      <w:numFmt w:val="bullet"/>
      <w:lvlText w:val="•"/>
      <w:lvlJc w:val="left"/>
      <w:pPr>
        <w:ind w:left="8054" w:hanging="360"/>
      </w:pPr>
    </w:lvl>
  </w:abstractNum>
  <w:abstractNum w:abstractNumId="2" w15:restartNumberingAfterBreak="0">
    <w:nsid w:val="00000405"/>
    <w:multiLevelType w:val="multilevel"/>
    <w:tmpl w:val="00000888"/>
    <w:lvl w:ilvl="0">
      <w:start w:val="1"/>
      <w:numFmt w:val="decimal"/>
      <w:lvlText w:val="%1."/>
      <w:lvlJc w:val="left"/>
      <w:pPr>
        <w:ind w:left="597" w:hanging="360"/>
      </w:pPr>
      <w:rPr>
        <w:rFonts w:ascii="Calibri" w:hAnsi="Calibri" w:cs="Calibri"/>
        <w:b w:val="0"/>
        <w:bCs w:val="0"/>
        <w:spacing w:val="-1"/>
        <w:w w:val="99"/>
        <w:sz w:val="20"/>
        <w:szCs w:val="20"/>
      </w:rPr>
    </w:lvl>
    <w:lvl w:ilvl="1">
      <w:start w:val="1"/>
      <w:numFmt w:val="lowerLetter"/>
      <w:lvlText w:val="%2."/>
      <w:lvlJc w:val="left"/>
      <w:pPr>
        <w:ind w:left="957" w:hanging="360"/>
      </w:pPr>
      <w:rPr>
        <w:rFonts w:ascii="Calibri" w:hAnsi="Calibri" w:cs="Calibri"/>
        <w:b w:val="0"/>
        <w:bCs w:val="0"/>
        <w:w w:val="99"/>
        <w:sz w:val="20"/>
        <w:szCs w:val="20"/>
      </w:rPr>
    </w:lvl>
    <w:lvl w:ilvl="2">
      <w:numFmt w:val="bullet"/>
      <w:lvlText w:val="•"/>
      <w:lvlJc w:val="left"/>
      <w:pPr>
        <w:ind w:left="1959" w:hanging="360"/>
      </w:pPr>
    </w:lvl>
    <w:lvl w:ilvl="3">
      <w:numFmt w:val="bullet"/>
      <w:lvlText w:val="•"/>
      <w:lvlJc w:val="left"/>
      <w:pPr>
        <w:ind w:left="2962" w:hanging="360"/>
      </w:pPr>
    </w:lvl>
    <w:lvl w:ilvl="4">
      <w:numFmt w:val="bullet"/>
      <w:lvlText w:val="•"/>
      <w:lvlJc w:val="left"/>
      <w:pPr>
        <w:ind w:left="3964" w:hanging="360"/>
      </w:pPr>
    </w:lvl>
    <w:lvl w:ilvl="5">
      <w:numFmt w:val="bullet"/>
      <w:lvlText w:val="•"/>
      <w:lvlJc w:val="left"/>
      <w:pPr>
        <w:ind w:left="4967" w:hanging="360"/>
      </w:pPr>
    </w:lvl>
    <w:lvl w:ilvl="6">
      <w:numFmt w:val="bullet"/>
      <w:lvlText w:val="•"/>
      <w:lvlJc w:val="left"/>
      <w:pPr>
        <w:ind w:left="5969" w:hanging="360"/>
      </w:pPr>
    </w:lvl>
    <w:lvl w:ilvl="7">
      <w:numFmt w:val="bullet"/>
      <w:lvlText w:val="•"/>
      <w:lvlJc w:val="left"/>
      <w:pPr>
        <w:ind w:left="6972" w:hanging="360"/>
      </w:pPr>
    </w:lvl>
    <w:lvl w:ilvl="8">
      <w:numFmt w:val="bullet"/>
      <w:lvlText w:val="•"/>
      <w:lvlJc w:val="left"/>
      <w:pPr>
        <w:ind w:left="7974" w:hanging="360"/>
      </w:pPr>
    </w:lvl>
  </w:abstractNum>
  <w:abstractNum w:abstractNumId="3" w15:restartNumberingAfterBreak="0">
    <w:nsid w:val="00000406"/>
    <w:multiLevelType w:val="multilevel"/>
    <w:tmpl w:val="5B949CA8"/>
    <w:lvl w:ilvl="0">
      <w:start w:val="5"/>
      <w:numFmt w:val="decimal"/>
      <w:lvlText w:val="%1."/>
      <w:lvlJc w:val="left"/>
      <w:pPr>
        <w:ind w:left="580" w:hanging="360"/>
      </w:pPr>
      <w:rPr>
        <w:rFonts w:ascii="Calibri" w:hAnsi="Calibri" w:cs="Calibri" w:hint="default"/>
        <w:b/>
        <w:bCs/>
        <w:sz w:val="22"/>
        <w:szCs w:val="22"/>
      </w:rPr>
    </w:lvl>
    <w:lvl w:ilvl="1">
      <w:numFmt w:val="bullet"/>
      <w:lvlText w:val="•"/>
      <w:lvlJc w:val="left"/>
      <w:pPr>
        <w:ind w:left="1556" w:hanging="360"/>
      </w:pPr>
      <w:rPr>
        <w:rFonts w:hint="default"/>
      </w:rPr>
    </w:lvl>
    <w:lvl w:ilvl="2">
      <w:numFmt w:val="bullet"/>
      <w:lvlText w:val="•"/>
      <w:lvlJc w:val="left"/>
      <w:pPr>
        <w:ind w:left="2532" w:hanging="360"/>
      </w:pPr>
      <w:rPr>
        <w:rFonts w:hint="default"/>
      </w:rPr>
    </w:lvl>
    <w:lvl w:ilvl="3">
      <w:numFmt w:val="bullet"/>
      <w:lvlText w:val="•"/>
      <w:lvlJc w:val="left"/>
      <w:pPr>
        <w:ind w:left="3508" w:hanging="360"/>
      </w:pPr>
      <w:rPr>
        <w:rFonts w:hint="default"/>
      </w:rPr>
    </w:lvl>
    <w:lvl w:ilvl="4">
      <w:numFmt w:val="bullet"/>
      <w:lvlText w:val="•"/>
      <w:lvlJc w:val="left"/>
      <w:pPr>
        <w:ind w:left="4484" w:hanging="360"/>
      </w:pPr>
      <w:rPr>
        <w:rFonts w:hint="default"/>
      </w:rPr>
    </w:lvl>
    <w:lvl w:ilvl="5">
      <w:numFmt w:val="bullet"/>
      <w:lvlText w:val="•"/>
      <w:lvlJc w:val="left"/>
      <w:pPr>
        <w:ind w:left="5460" w:hanging="360"/>
      </w:pPr>
      <w:rPr>
        <w:rFonts w:hint="default"/>
      </w:rPr>
    </w:lvl>
    <w:lvl w:ilvl="6">
      <w:numFmt w:val="bullet"/>
      <w:lvlText w:val="•"/>
      <w:lvlJc w:val="left"/>
      <w:pPr>
        <w:ind w:left="6436" w:hanging="360"/>
      </w:pPr>
      <w:rPr>
        <w:rFonts w:hint="default"/>
      </w:rPr>
    </w:lvl>
    <w:lvl w:ilvl="7">
      <w:numFmt w:val="bullet"/>
      <w:lvlText w:val="•"/>
      <w:lvlJc w:val="left"/>
      <w:pPr>
        <w:ind w:left="7412" w:hanging="360"/>
      </w:pPr>
      <w:rPr>
        <w:rFonts w:hint="default"/>
      </w:rPr>
    </w:lvl>
    <w:lvl w:ilvl="8">
      <w:numFmt w:val="bullet"/>
      <w:lvlText w:val="•"/>
      <w:lvlJc w:val="left"/>
      <w:pPr>
        <w:ind w:left="8388" w:hanging="360"/>
      </w:pPr>
      <w:rPr>
        <w:rFonts w:hint="default"/>
      </w:rPr>
    </w:lvl>
  </w:abstractNum>
  <w:abstractNum w:abstractNumId="4" w15:restartNumberingAfterBreak="0">
    <w:nsid w:val="00000407"/>
    <w:multiLevelType w:val="multilevel"/>
    <w:tmpl w:val="0000088A"/>
    <w:lvl w:ilvl="0">
      <w:start w:val="2"/>
      <w:numFmt w:val="decimal"/>
      <w:lvlText w:val="%1."/>
      <w:lvlJc w:val="left"/>
      <w:pPr>
        <w:ind w:left="359" w:hanging="360"/>
      </w:pPr>
      <w:rPr>
        <w:rFonts w:ascii="Calibri" w:hAnsi="Calibri" w:cs="Calibri"/>
        <w:b w:val="0"/>
        <w:bCs w:val="0"/>
        <w:spacing w:val="-1"/>
        <w:w w:val="99"/>
        <w:sz w:val="20"/>
        <w:szCs w:val="20"/>
      </w:rPr>
    </w:lvl>
    <w:lvl w:ilvl="1">
      <w:numFmt w:val="bullet"/>
      <w:lvlText w:val="•"/>
      <w:lvlJc w:val="left"/>
      <w:pPr>
        <w:ind w:left="1241" w:hanging="360"/>
      </w:pPr>
    </w:lvl>
    <w:lvl w:ilvl="2">
      <w:numFmt w:val="bullet"/>
      <w:lvlText w:val="•"/>
      <w:lvlJc w:val="left"/>
      <w:pPr>
        <w:ind w:left="2122" w:hanging="360"/>
      </w:pPr>
    </w:lvl>
    <w:lvl w:ilvl="3">
      <w:numFmt w:val="bullet"/>
      <w:lvlText w:val="•"/>
      <w:lvlJc w:val="left"/>
      <w:pPr>
        <w:ind w:left="3004" w:hanging="360"/>
      </w:pPr>
    </w:lvl>
    <w:lvl w:ilvl="4">
      <w:numFmt w:val="bullet"/>
      <w:lvlText w:val="•"/>
      <w:lvlJc w:val="left"/>
      <w:pPr>
        <w:ind w:left="3885" w:hanging="360"/>
      </w:pPr>
    </w:lvl>
    <w:lvl w:ilvl="5">
      <w:numFmt w:val="bullet"/>
      <w:lvlText w:val="•"/>
      <w:lvlJc w:val="left"/>
      <w:pPr>
        <w:ind w:left="4767" w:hanging="360"/>
      </w:pPr>
    </w:lvl>
    <w:lvl w:ilvl="6">
      <w:numFmt w:val="bullet"/>
      <w:lvlText w:val="•"/>
      <w:lvlJc w:val="left"/>
      <w:pPr>
        <w:ind w:left="5648" w:hanging="360"/>
      </w:pPr>
    </w:lvl>
    <w:lvl w:ilvl="7">
      <w:numFmt w:val="bullet"/>
      <w:lvlText w:val="•"/>
      <w:lvlJc w:val="left"/>
      <w:pPr>
        <w:ind w:left="6530" w:hanging="360"/>
      </w:pPr>
    </w:lvl>
    <w:lvl w:ilvl="8">
      <w:numFmt w:val="bullet"/>
      <w:lvlText w:val="•"/>
      <w:lvlJc w:val="left"/>
      <w:pPr>
        <w:ind w:left="7411" w:hanging="360"/>
      </w:pPr>
    </w:lvl>
  </w:abstractNum>
  <w:abstractNum w:abstractNumId="5" w15:restartNumberingAfterBreak="0">
    <w:nsid w:val="00000408"/>
    <w:multiLevelType w:val="multilevel"/>
    <w:tmpl w:val="0000088B"/>
    <w:lvl w:ilvl="0">
      <w:numFmt w:val="bullet"/>
      <w:lvlText w:val="•"/>
      <w:lvlJc w:val="left"/>
      <w:pPr>
        <w:ind w:left="108" w:hanging="147"/>
      </w:pPr>
      <w:rPr>
        <w:rFonts w:ascii="Calibri" w:hAnsi="Calibri"/>
        <w:b/>
        <w:w w:val="99"/>
        <w:sz w:val="20"/>
      </w:rPr>
    </w:lvl>
    <w:lvl w:ilvl="1">
      <w:numFmt w:val="bullet"/>
      <w:lvlText w:val="•"/>
      <w:lvlJc w:val="left"/>
      <w:pPr>
        <w:ind w:left="1072" w:hanging="147"/>
      </w:pPr>
    </w:lvl>
    <w:lvl w:ilvl="2">
      <w:numFmt w:val="bullet"/>
      <w:lvlText w:val="•"/>
      <w:lvlJc w:val="left"/>
      <w:pPr>
        <w:ind w:left="2037" w:hanging="147"/>
      </w:pPr>
    </w:lvl>
    <w:lvl w:ilvl="3">
      <w:numFmt w:val="bullet"/>
      <w:lvlText w:val="•"/>
      <w:lvlJc w:val="left"/>
      <w:pPr>
        <w:ind w:left="3002" w:hanging="147"/>
      </w:pPr>
    </w:lvl>
    <w:lvl w:ilvl="4">
      <w:numFmt w:val="bullet"/>
      <w:lvlText w:val="•"/>
      <w:lvlJc w:val="left"/>
      <w:pPr>
        <w:ind w:left="3967" w:hanging="147"/>
      </w:pPr>
    </w:lvl>
    <w:lvl w:ilvl="5">
      <w:numFmt w:val="bullet"/>
      <w:lvlText w:val="•"/>
      <w:lvlJc w:val="left"/>
      <w:pPr>
        <w:ind w:left="4932" w:hanging="147"/>
      </w:pPr>
    </w:lvl>
    <w:lvl w:ilvl="6">
      <w:numFmt w:val="bullet"/>
      <w:lvlText w:val="•"/>
      <w:lvlJc w:val="left"/>
      <w:pPr>
        <w:ind w:left="5897" w:hanging="147"/>
      </w:pPr>
    </w:lvl>
    <w:lvl w:ilvl="7">
      <w:numFmt w:val="bullet"/>
      <w:lvlText w:val="•"/>
      <w:lvlJc w:val="left"/>
      <w:pPr>
        <w:ind w:left="6862" w:hanging="147"/>
      </w:pPr>
    </w:lvl>
    <w:lvl w:ilvl="8">
      <w:numFmt w:val="bullet"/>
      <w:lvlText w:val="•"/>
      <w:lvlJc w:val="left"/>
      <w:pPr>
        <w:ind w:left="7827" w:hanging="147"/>
      </w:pPr>
    </w:lvl>
  </w:abstractNum>
  <w:abstractNum w:abstractNumId="6" w15:restartNumberingAfterBreak="0">
    <w:nsid w:val="00000409"/>
    <w:multiLevelType w:val="multilevel"/>
    <w:tmpl w:val="0000088C"/>
    <w:lvl w:ilvl="0">
      <w:start w:val="1"/>
      <w:numFmt w:val="lowerLetter"/>
      <w:lvlText w:val="(%1)"/>
      <w:lvlJc w:val="left"/>
      <w:pPr>
        <w:ind w:left="102" w:hanging="262"/>
      </w:pPr>
      <w:rPr>
        <w:rFonts w:ascii="Calibri" w:hAnsi="Calibri" w:cs="Calibri"/>
        <w:b w:val="0"/>
        <w:bCs w:val="0"/>
        <w:w w:val="99"/>
        <w:sz w:val="20"/>
        <w:szCs w:val="20"/>
      </w:rPr>
    </w:lvl>
    <w:lvl w:ilvl="1">
      <w:numFmt w:val="bullet"/>
      <w:lvlText w:val="•"/>
      <w:lvlJc w:val="left"/>
      <w:pPr>
        <w:ind w:left="1066" w:hanging="262"/>
      </w:pPr>
    </w:lvl>
    <w:lvl w:ilvl="2">
      <w:numFmt w:val="bullet"/>
      <w:lvlText w:val="•"/>
      <w:lvlJc w:val="left"/>
      <w:pPr>
        <w:ind w:left="2030" w:hanging="262"/>
      </w:pPr>
    </w:lvl>
    <w:lvl w:ilvl="3">
      <w:numFmt w:val="bullet"/>
      <w:lvlText w:val="•"/>
      <w:lvlJc w:val="left"/>
      <w:pPr>
        <w:ind w:left="2995" w:hanging="262"/>
      </w:pPr>
    </w:lvl>
    <w:lvl w:ilvl="4">
      <w:numFmt w:val="bullet"/>
      <w:lvlText w:val="•"/>
      <w:lvlJc w:val="left"/>
      <w:pPr>
        <w:ind w:left="3959" w:hanging="262"/>
      </w:pPr>
    </w:lvl>
    <w:lvl w:ilvl="5">
      <w:numFmt w:val="bullet"/>
      <w:lvlText w:val="•"/>
      <w:lvlJc w:val="left"/>
      <w:pPr>
        <w:ind w:left="4924" w:hanging="262"/>
      </w:pPr>
    </w:lvl>
    <w:lvl w:ilvl="6">
      <w:numFmt w:val="bullet"/>
      <w:lvlText w:val="•"/>
      <w:lvlJc w:val="left"/>
      <w:pPr>
        <w:ind w:left="5888" w:hanging="262"/>
      </w:pPr>
    </w:lvl>
    <w:lvl w:ilvl="7">
      <w:numFmt w:val="bullet"/>
      <w:lvlText w:val="•"/>
      <w:lvlJc w:val="left"/>
      <w:pPr>
        <w:ind w:left="6852" w:hanging="262"/>
      </w:pPr>
    </w:lvl>
    <w:lvl w:ilvl="8">
      <w:numFmt w:val="bullet"/>
      <w:lvlText w:val="•"/>
      <w:lvlJc w:val="left"/>
      <w:pPr>
        <w:ind w:left="7817" w:hanging="262"/>
      </w:pPr>
    </w:lvl>
  </w:abstractNum>
  <w:abstractNum w:abstractNumId="7" w15:restartNumberingAfterBreak="0">
    <w:nsid w:val="0000040A"/>
    <w:multiLevelType w:val="multilevel"/>
    <w:tmpl w:val="0000088D"/>
    <w:lvl w:ilvl="0">
      <w:numFmt w:val="bullet"/>
      <w:lvlText w:val="•"/>
      <w:lvlJc w:val="left"/>
      <w:pPr>
        <w:ind w:left="364" w:hanging="144"/>
      </w:pPr>
      <w:rPr>
        <w:rFonts w:ascii="Calibri" w:hAnsi="Calibri"/>
        <w:b/>
        <w:w w:val="99"/>
        <w:sz w:val="20"/>
      </w:rPr>
    </w:lvl>
    <w:lvl w:ilvl="1">
      <w:numFmt w:val="bullet"/>
      <w:lvlText w:val="•"/>
      <w:lvlJc w:val="left"/>
      <w:pPr>
        <w:ind w:left="940" w:hanging="360"/>
      </w:pPr>
      <w:rPr>
        <w:rFonts w:ascii="Calibri" w:hAnsi="Calibri"/>
        <w:b w:val="0"/>
        <w:w w:val="99"/>
        <w:sz w:val="20"/>
      </w:rPr>
    </w:lvl>
    <w:lvl w:ilvl="2">
      <w:numFmt w:val="bullet"/>
      <w:lvlText w:val="•"/>
      <w:lvlJc w:val="left"/>
      <w:pPr>
        <w:ind w:left="1944" w:hanging="360"/>
      </w:pPr>
    </w:lvl>
    <w:lvl w:ilvl="3">
      <w:numFmt w:val="bullet"/>
      <w:lvlText w:val="•"/>
      <w:lvlJc w:val="left"/>
      <w:pPr>
        <w:ind w:left="2949" w:hanging="360"/>
      </w:pPr>
    </w:lvl>
    <w:lvl w:ilvl="4">
      <w:numFmt w:val="bullet"/>
      <w:lvlText w:val="•"/>
      <w:lvlJc w:val="left"/>
      <w:pPr>
        <w:ind w:left="3953" w:hanging="360"/>
      </w:pPr>
    </w:lvl>
    <w:lvl w:ilvl="5">
      <w:numFmt w:val="bullet"/>
      <w:lvlText w:val="•"/>
      <w:lvlJc w:val="left"/>
      <w:pPr>
        <w:ind w:left="4958" w:hanging="360"/>
      </w:pPr>
    </w:lvl>
    <w:lvl w:ilvl="6">
      <w:numFmt w:val="bullet"/>
      <w:lvlText w:val="•"/>
      <w:lvlJc w:val="left"/>
      <w:pPr>
        <w:ind w:left="5962" w:hanging="360"/>
      </w:pPr>
    </w:lvl>
    <w:lvl w:ilvl="7">
      <w:numFmt w:val="bullet"/>
      <w:lvlText w:val="•"/>
      <w:lvlJc w:val="left"/>
      <w:pPr>
        <w:ind w:left="6966" w:hanging="360"/>
      </w:pPr>
    </w:lvl>
    <w:lvl w:ilvl="8">
      <w:numFmt w:val="bullet"/>
      <w:lvlText w:val="•"/>
      <w:lvlJc w:val="left"/>
      <w:pPr>
        <w:ind w:left="7971" w:hanging="360"/>
      </w:pPr>
    </w:lvl>
  </w:abstractNum>
  <w:abstractNum w:abstractNumId="8" w15:restartNumberingAfterBreak="0">
    <w:nsid w:val="0000040B"/>
    <w:multiLevelType w:val="multilevel"/>
    <w:tmpl w:val="0000088E"/>
    <w:lvl w:ilvl="0">
      <w:numFmt w:val="bullet"/>
      <w:lvlText w:val="•"/>
      <w:lvlJc w:val="left"/>
      <w:pPr>
        <w:ind w:left="827" w:hanging="360"/>
      </w:pPr>
      <w:rPr>
        <w:rFonts w:ascii="Calibri" w:hAnsi="Calibri"/>
        <w:b w:val="0"/>
        <w:w w:val="99"/>
        <w:sz w:val="20"/>
      </w:rPr>
    </w:lvl>
    <w:lvl w:ilvl="1">
      <w:numFmt w:val="bullet"/>
      <w:lvlText w:val="•"/>
      <w:lvlJc w:val="left"/>
      <w:pPr>
        <w:ind w:left="1720" w:hanging="360"/>
      </w:pPr>
    </w:lvl>
    <w:lvl w:ilvl="2">
      <w:numFmt w:val="bullet"/>
      <w:lvlText w:val="•"/>
      <w:lvlJc w:val="left"/>
      <w:pPr>
        <w:ind w:left="2613" w:hanging="360"/>
      </w:pPr>
    </w:lvl>
    <w:lvl w:ilvl="3">
      <w:numFmt w:val="bullet"/>
      <w:lvlText w:val="•"/>
      <w:lvlJc w:val="left"/>
      <w:pPr>
        <w:ind w:left="3506" w:hanging="360"/>
      </w:pPr>
    </w:lvl>
    <w:lvl w:ilvl="4">
      <w:numFmt w:val="bullet"/>
      <w:lvlText w:val="•"/>
      <w:lvlJc w:val="left"/>
      <w:pPr>
        <w:ind w:left="4399" w:hanging="360"/>
      </w:pPr>
    </w:lvl>
    <w:lvl w:ilvl="5">
      <w:numFmt w:val="bullet"/>
      <w:lvlText w:val="•"/>
      <w:lvlJc w:val="left"/>
      <w:pPr>
        <w:ind w:left="5292" w:hanging="360"/>
      </w:pPr>
    </w:lvl>
    <w:lvl w:ilvl="6">
      <w:numFmt w:val="bullet"/>
      <w:lvlText w:val="•"/>
      <w:lvlJc w:val="left"/>
      <w:pPr>
        <w:ind w:left="6185" w:hanging="360"/>
      </w:pPr>
    </w:lvl>
    <w:lvl w:ilvl="7">
      <w:numFmt w:val="bullet"/>
      <w:lvlText w:val="•"/>
      <w:lvlJc w:val="left"/>
      <w:pPr>
        <w:ind w:left="7078" w:hanging="360"/>
      </w:pPr>
    </w:lvl>
    <w:lvl w:ilvl="8">
      <w:numFmt w:val="bullet"/>
      <w:lvlText w:val="•"/>
      <w:lvlJc w:val="left"/>
      <w:pPr>
        <w:ind w:left="7971" w:hanging="360"/>
      </w:pPr>
    </w:lvl>
  </w:abstractNum>
  <w:abstractNum w:abstractNumId="9" w15:restartNumberingAfterBreak="0">
    <w:nsid w:val="021E73B1"/>
    <w:multiLevelType w:val="hybridMultilevel"/>
    <w:tmpl w:val="5A6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D7CA5"/>
    <w:multiLevelType w:val="hybridMultilevel"/>
    <w:tmpl w:val="1BC6BB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7540E2"/>
    <w:multiLevelType w:val="hybridMultilevel"/>
    <w:tmpl w:val="35A0C25C"/>
    <w:lvl w:ilvl="0" w:tplc="191C94FA">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15:restartNumberingAfterBreak="0">
    <w:nsid w:val="2C5E4021"/>
    <w:multiLevelType w:val="hybridMultilevel"/>
    <w:tmpl w:val="19D080CC"/>
    <w:lvl w:ilvl="0" w:tplc="9D96F91C">
      <w:start w:val="3"/>
      <w:numFmt w:val="decimal"/>
      <w:lvlText w:val="%1."/>
      <w:lvlJc w:val="left"/>
      <w:pPr>
        <w:ind w:left="108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2E425EDD"/>
    <w:multiLevelType w:val="hybridMultilevel"/>
    <w:tmpl w:val="4524D7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3115EE"/>
    <w:multiLevelType w:val="hybridMultilevel"/>
    <w:tmpl w:val="21CAC8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7F45C09"/>
    <w:multiLevelType w:val="hybridMultilevel"/>
    <w:tmpl w:val="1D8CE5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8EC6B0F"/>
    <w:multiLevelType w:val="hybridMultilevel"/>
    <w:tmpl w:val="ED58DF02"/>
    <w:lvl w:ilvl="0" w:tplc="191C94FA">
      <w:start w:val="1"/>
      <w:numFmt w:val="bullet"/>
      <w:lvlText w:val=""/>
      <w:lvlJc w:val="left"/>
      <w:pPr>
        <w:tabs>
          <w:tab w:val="num" w:pos="2302"/>
        </w:tabs>
        <w:ind w:left="312" w:hanging="17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D4FDA"/>
    <w:multiLevelType w:val="hybridMultilevel"/>
    <w:tmpl w:val="E854A5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4E53F85"/>
    <w:multiLevelType w:val="hybridMultilevel"/>
    <w:tmpl w:val="6A42E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F36B62"/>
    <w:multiLevelType w:val="hybridMultilevel"/>
    <w:tmpl w:val="ADB43F04"/>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01B6AC9"/>
    <w:multiLevelType w:val="hybridMultilevel"/>
    <w:tmpl w:val="701A2CD6"/>
    <w:lvl w:ilvl="0" w:tplc="F656E06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6E9604F"/>
    <w:multiLevelType w:val="hybridMultilevel"/>
    <w:tmpl w:val="1D8CE5CC"/>
    <w:lvl w:ilvl="0" w:tplc="040C0013">
      <w:start w:val="1"/>
      <w:numFmt w:val="upperRoman"/>
      <w:lvlText w:val="%1."/>
      <w:lvlJc w:val="righ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579D6D4D"/>
    <w:multiLevelType w:val="hybridMultilevel"/>
    <w:tmpl w:val="55422C44"/>
    <w:lvl w:ilvl="0" w:tplc="BC801D7A">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C16056"/>
    <w:multiLevelType w:val="hybridMultilevel"/>
    <w:tmpl w:val="8AF440E2"/>
    <w:lvl w:ilvl="0" w:tplc="F5F09AF0">
      <w:start w:val="7"/>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8783B55"/>
    <w:multiLevelType w:val="hybridMultilevel"/>
    <w:tmpl w:val="F3525C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606604FA"/>
    <w:multiLevelType w:val="hybridMultilevel"/>
    <w:tmpl w:val="3136341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2325A8C"/>
    <w:multiLevelType w:val="hybridMultilevel"/>
    <w:tmpl w:val="FEEC3ED8"/>
    <w:lvl w:ilvl="0" w:tplc="0409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64E60A0E"/>
    <w:multiLevelType w:val="hybridMultilevel"/>
    <w:tmpl w:val="B25C184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650A0BFC"/>
    <w:multiLevelType w:val="hybridMultilevel"/>
    <w:tmpl w:val="CAEA015C"/>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9" w15:restartNumberingAfterBreak="0">
    <w:nsid w:val="673643C9"/>
    <w:multiLevelType w:val="multilevel"/>
    <w:tmpl w:val="00000885"/>
    <w:lvl w:ilvl="0">
      <w:start w:val="1"/>
      <w:numFmt w:val="decimal"/>
      <w:lvlText w:val="%1."/>
      <w:lvlJc w:val="left"/>
      <w:pPr>
        <w:ind w:left="360" w:hanging="360"/>
      </w:pPr>
      <w:rPr>
        <w:rFonts w:ascii="Calibri" w:hAnsi="Calibri" w:cs="Calibri"/>
        <w:b/>
        <w:bCs/>
        <w:w w:val="99"/>
        <w:sz w:val="24"/>
        <w:szCs w:val="24"/>
      </w:rPr>
    </w:lvl>
    <w:lvl w:ilvl="1">
      <w:numFmt w:val="bullet"/>
      <w:lvlText w:val="•"/>
      <w:lvlJc w:val="left"/>
      <w:pPr>
        <w:ind w:left="1266" w:hanging="360"/>
      </w:pPr>
    </w:lvl>
    <w:lvl w:ilvl="2">
      <w:numFmt w:val="bullet"/>
      <w:lvlText w:val="•"/>
      <w:lvlJc w:val="left"/>
      <w:pPr>
        <w:ind w:left="2172" w:hanging="360"/>
      </w:pPr>
    </w:lvl>
    <w:lvl w:ilvl="3">
      <w:numFmt w:val="bullet"/>
      <w:lvlText w:val="•"/>
      <w:lvlJc w:val="left"/>
      <w:pPr>
        <w:ind w:left="3078" w:hanging="360"/>
      </w:pPr>
    </w:lvl>
    <w:lvl w:ilvl="4">
      <w:numFmt w:val="bullet"/>
      <w:lvlText w:val="•"/>
      <w:lvlJc w:val="left"/>
      <w:pPr>
        <w:ind w:left="3984" w:hanging="360"/>
      </w:pPr>
    </w:lvl>
    <w:lvl w:ilvl="5">
      <w:numFmt w:val="bullet"/>
      <w:lvlText w:val="•"/>
      <w:lvlJc w:val="left"/>
      <w:pPr>
        <w:ind w:left="4890" w:hanging="360"/>
      </w:pPr>
    </w:lvl>
    <w:lvl w:ilvl="6">
      <w:numFmt w:val="bullet"/>
      <w:lvlText w:val="•"/>
      <w:lvlJc w:val="left"/>
      <w:pPr>
        <w:ind w:left="5796" w:hanging="360"/>
      </w:pPr>
    </w:lvl>
    <w:lvl w:ilvl="7">
      <w:numFmt w:val="bullet"/>
      <w:lvlText w:val="•"/>
      <w:lvlJc w:val="left"/>
      <w:pPr>
        <w:ind w:left="6702" w:hanging="360"/>
      </w:pPr>
    </w:lvl>
    <w:lvl w:ilvl="8">
      <w:numFmt w:val="bullet"/>
      <w:lvlText w:val="•"/>
      <w:lvlJc w:val="left"/>
      <w:pPr>
        <w:ind w:left="7608" w:hanging="360"/>
      </w:pPr>
    </w:lvl>
  </w:abstractNum>
  <w:abstractNum w:abstractNumId="30" w15:restartNumberingAfterBreak="0">
    <w:nsid w:val="6DF64DDF"/>
    <w:multiLevelType w:val="hybridMultilevel"/>
    <w:tmpl w:val="F89C2F2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F98477D"/>
    <w:multiLevelType w:val="multilevel"/>
    <w:tmpl w:val="00000885"/>
    <w:lvl w:ilvl="0">
      <w:start w:val="1"/>
      <w:numFmt w:val="decimal"/>
      <w:lvlText w:val="%1."/>
      <w:lvlJc w:val="left"/>
      <w:pPr>
        <w:ind w:left="360" w:hanging="360"/>
      </w:pPr>
      <w:rPr>
        <w:rFonts w:ascii="Calibri" w:hAnsi="Calibri" w:cs="Calibri"/>
        <w:b/>
        <w:bCs/>
        <w:w w:val="99"/>
        <w:sz w:val="24"/>
        <w:szCs w:val="24"/>
      </w:rPr>
    </w:lvl>
    <w:lvl w:ilvl="1">
      <w:numFmt w:val="bullet"/>
      <w:lvlText w:val="•"/>
      <w:lvlJc w:val="left"/>
      <w:pPr>
        <w:ind w:left="1266" w:hanging="360"/>
      </w:pPr>
    </w:lvl>
    <w:lvl w:ilvl="2">
      <w:numFmt w:val="bullet"/>
      <w:lvlText w:val="•"/>
      <w:lvlJc w:val="left"/>
      <w:pPr>
        <w:ind w:left="2172" w:hanging="360"/>
      </w:pPr>
    </w:lvl>
    <w:lvl w:ilvl="3">
      <w:numFmt w:val="bullet"/>
      <w:lvlText w:val="•"/>
      <w:lvlJc w:val="left"/>
      <w:pPr>
        <w:ind w:left="3078" w:hanging="360"/>
      </w:pPr>
    </w:lvl>
    <w:lvl w:ilvl="4">
      <w:numFmt w:val="bullet"/>
      <w:lvlText w:val="•"/>
      <w:lvlJc w:val="left"/>
      <w:pPr>
        <w:ind w:left="3984" w:hanging="360"/>
      </w:pPr>
    </w:lvl>
    <w:lvl w:ilvl="5">
      <w:numFmt w:val="bullet"/>
      <w:lvlText w:val="•"/>
      <w:lvlJc w:val="left"/>
      <w:pPr>
        <w:ind w:left="4890" w:hanging="360"/>
      </w:pPr>
    </w:lvl>
    <w:lvl w:ilvl="6">
      <w:numFmt w:val="bullet"/>
      <w:lvlText w:val="•"/>
      <w:lvlJc w:val="left"/>
      <w:pPr>
        <w:ind w:left="5796" w:hanging="360"/>
      </w:pPr>
    </w:lvl>
    <w:lvl w:ilvl="7">
      <w:numFmt w:val="bullet"/>
      <w:lvlText w:val="•"/>
      <w:lvlJc w:val="left"/>
      <w:pPr>
        <w:ind w:left="6702" w:hanging="360"/>
      </w:pPr>
    </w:lvl>
    <w:lvl w:ilvl="8">
      <w:numFmt w:val="bullet"/>
      <w:lvlText w:val="•"/>
      <w:lvlJc w:val="left"/>
      <w:pPr>
        <w:ind w:left="7608" w:hanging="360"/>
      </w:pPr>
    </w:lvl>
  </w:abstractNum>
  <w:num w:numId="1">
    <w:abstractNumId w:val="27"/>
  </w:num>
  <w:num w:numId="2">
    <w:abstractNumId w:val="20"/>
  </w:num>
  <w:num w:numId="3">
    <w:abstractNumId w:val="13"/>
  </w:num>
  <w:num w:numId="4">
    <w:abstractNumId w:val="25"/>
  </w:num>
  <w:num w:numId="5">
    <w:abstractNumId w:val="26"/>
  </w:num>
  <w:num w:numId="6">
    <w:abstractNumId w:val="24"/>
  </w:num>
  <w:num w:numId="7">
    <w:abstractNumId w:val="28"/>
  </w:num>
  <w:num w:numId="8">
    <w:abstractNumId w:val="30"/>
  </w:num>
  <w:num w:numId="9">
    <w:abstractNumId w:val="17"/>
  </w:num>
  <w:num w:numId="10">
    <w:abstractNumId w:val="18"/>
  </w:num>
  <w:num w:numId="11">
    <w:abstractNumId w:val="16"/>
  </w:num>
  <w:num w:numId="12">
    <w:abstractNumId w:val="11"/>
  </w:num>
  <w:num w:numId="13">
    <w:abstractNumId w:val="10"/>
  </w:num>
  <w:num w:numId="14">
    <w:abstractNumId w:val="0"/>
  </w:num>
  <w:num w:numId="15">
    <w:abstractNumId w:val="29"/>
  </w:num>
  <w:num w:numId="16">
    <w:abstractNumId w:val="31"/>
  </w:num>
  <w:num w:numId="17">
    <w:abstractNumId w:val="19"/>
  </w:num>
  <w:num w:numId="18">
    <w:abstractNumId w:val="12"/>
  </w:num>
  <w:num w:numId="19">
    <w:abstractNumId w:val="4"/>
  </w:num>
  <w:num w:numId="20">
    <w:abstractNumId w:val="5"/>
  </w:num>
  <w:num w:numId="21">
    <w:abstractNumId w:val="3"/>
  </w:num>
  <w:num w:numId="22">
    <w:abstractNumId w:val="6"/>
  </w:num>
  <w:num w:numId="23">
    <w:abstractNumId w:val="1"/>
  </w:num>
  <w:num w:numId="24">
    <w:abstractNumId w:val="2"/>
  </w:num>
  <w:num w:numId="25">
    <w:abstractNumId w:val="7"/>
  </w:num>
  <w:num w:numId="26">
    <w:abstractNumId w:val="8"/>
  </w:num>
  <w:num w:numId="27">
    <w:abstractNumId w:val="15"/>
  </w:num>
  <w:num w:numId="28">
    <w:abstractNumId w:val="21"/>
  </w:num>
  <w:num w:numId="29">
    <w:abstractNumId w:val="22"/>
  </w:num>
  <w:num w:numId="30">
    <w:abstractNumId w:val="23"/>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CH" w:vendorID="64" w:dllVersion="131078" w:nlCheck="1" w:checkStyle="1"/>
  <w:activeWritingStyle w:appName="MSWord" w:lang="es-CO" w:vendorID="64" w:dllVersion="131078" w:nlCheck="1" w:checkStyle="1"/>
  <w:activeWritingStyle w:appName="MSWord" w:lang="es-ES_tradnl" w:vendorID="64" w:dllVersion="131078" w:nlCheck="1" w:checkStyle="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6568"/>
    <w:rsid w:val="00001A46"/>
    <w:rsid w:val="00001EF8"/>
    <w:rsid w:val="00006FB1"/>
    <w:rsid w:val="00007399"/>
    <w:rsid w:val="0000782E"/>
    <w:rsid w:val="00011519"/>
    <w:rsid w:val="00013B07"/>
    <w:rsid w:val="0003088F"/>
    <w:rsid w:val="00034DFA"/>
    <w:rsid w:val="000429FF"/>
    <w:rsid w:val="000447EA"/>
    <w:rsid w:val="00044E1F"/>
    <w:rsid w:val="00050C08"/>
    <w:rsid w:val="0005380E"/>
    <w:rsid w:val="00054648"/>
    <w:rsid w:val="00054EE7"/>
    <w:rsid w:val="000609DB"/>
    <w:rsid w:val="00082B39"/>
    <w:rsid w:val="000875C2"/>
    <w:rsid w:val="000956CC"/>
    <w:rsid w:val="00095F8C"/>
    <w:rsid w:val="000A4EFE"/>
    <w:rsid w:val="000A597D"/>
    <w:rsid w:val="000B759E"/>
    <w:rsid w:val="000D12A0"/>
    <w:rsid w:val="000D3BB6"/>
    <w:rsid w:val="000D6E3E"/>
    <w:rsid w:val="000E0192"/>
    <w:rsid w:val="000E09D3"/>
    <w:rsid w:val="000E0AC5"/>
    <w:rsid w:val="000E72F1"/>
    <w:rsid w:val="0010136F"/>
    <w:rsid w:val="00101C6B"/>
    <w:rsid w:val="00112963"/>
    <w:rsid w:val="00117691"/>
    <w:rsid w:val="00125D08"/>
    <w:rsid w:val="001300FA"/>
    <w:rsid w:val="00161A7A"/>
    <w:rsid w:val="001621FE"/>
    <w:rsid w:val="001659AE"/>
    <w:rsid w:val="0018038D"/>
    <w:rsid w:val="001844B5"/>
    <w:rsid w:val="00190012"/>
    <w:rsid w:val="00190EF9"/>
    <w:rsid w:val="001A2133"/>
    <w:rsid w:val="001B4A4C"/>
    <w:rsid w:val="001B4D87"/>
    <w:rsid w:val="001C43B8"/>
    <w:rsid w:val="001C4C84"/>
    <w:rsid w:val="001C52F5"/>
    <w:rsid w:val="001D7C50"/>
    <w:rsid w:val="001E7518"/>
    <w:rsid w:val="001F13EE"/>
    <w:rsid w:val="001F7D49"/>
    <w:rsid w:val="00200CFE"/>
    <w:rsid w:val="00200D40"/>
    <w:rsid w:val="00205F24"/>
    <w:rsid w:val="002155EC"/>
    <w:rsid w:val="002202EF"/>
    <w:rsid w:val="00222EC3"/>
    <w:rsid w:val="002233D4"/>
    <w:rsid w:val="002241CD"/>
    <w:rsid w:val="002269DC"/>
    <w:rsid w:val="00226C27"/>
    <w:rsid w:val="002314CE"/>
    <w:rsid w:val="00231764"/>
    <w:rsid w:val="002408B1"/>
    <w:rsid w:val="0024127E"/>
    <w:rsid w:val="002538CB"/>
    <w:rsid w:val="002643A5"/>
    <w:rsid w:val="00272171"/>
    <w:rsid w:val="002721FA"/>
    <w:rsid w:val="00286DD6"/>
    <w:rsid w:val="002A3A8A"/>
    <w:rsid w:val="002B27AF"/>
    <w:rsid w:val="002B2C94"/>
    <w:rsid w:val="002B5C63"/>
    <w:rsid w:val="002F564B"/>
    <w:rsid w:val="002F6937"/>
    <w:rsid w:val="002F6FF9"/>
    <w:rsid w:val="003031A2"/>
    <w:rsid w:val="0030364D"/>
    <w:rsid w:val="00321704"/>
    <w:rsid w:val="00325E21"/>
    <w:rsid w:val="00341E3B"/>
    <w:rsid w:val="00345135"/>
    <w:rsid w:val="00346E94"/>
    <w:rsid w:val="0035290F"/>
    <w:rsid w:val="00357076"/>
    <w:rsid w:val="00363233"/>
    <w:rsid w:val="00363E0F"/>
    <w:rsid w:val="003729C1"/>
    <w:rsid w:val="003740A3"/>
    <w:rsid w:val="003860AE"/>
    <w:rsid w:val="0038618D"/>
    <w:rsid w:val="00390FA8"/>
    <w:rsid w:val="00395744"/>
    <w:rsid w:val="00395E3E"/>
    <w:rsid w:val="003A59FA"/>
    <w:rsid w:val="003B0949"/>
    <w:rsid w:val="003B2D8C"/>
    <w:rsid w:val="003D1722"/>
    <w:rsid w:val="003D4515"/>
    <w:rsid w:val="003E2D69"/>
    <w:rsid w:val="003F2A7A"/>
    <w:rsid w:val="003F4E29"/>
    <w:rsid w:val="003F62EB"/>
    <w:rsid w:val="003F6E63"/>
    <w:rsid w:val="00403DE7"/>
    <w:rsid w:val="004067F1"/>
    <w:rsid w:val="0041349D"/>
    <w:rsid w:val="00415FDE"/>
    <w:rsid w:val="00421417"/>
    <w:rsid w:val="00425A2F"/>
    <w:rsid w:val="00431B94"/>
    <w:rsid w:val="0043311B"/>
    <w:rsid w:val="00433206"/>
    <w:rsid w:val="00433F84"/>
    <w:rsid w:val="00440448"/>
    <w:rsid w:val="004414B2"/>
    <w:rsid w:val="00444C91"/>
    <w:rsid w:val="00453393"/>
    <w:rsid w:val="00457ED2"/>
    <w:rsid w:val="00461AB9"/>
    <w:rsid w:val="00465009"/>
    <w:rsid w:val="00466363"/>
    <w:rsid w:val="004771CF"/>
    <w:rsid w:val="00484FBC"/>
    <w:rsid w:val="00485317"/>
    <w:rsid w:val="004859E1"/>
    <w:rsid w:val="00487707"/>
    <w:rsid w:val="004929F0"/>
    <w:rsid w:val="004A20FE"/>
    <w:rsid w:val="004A276A"/>
    <w:rsid w:val="004A77F5"/>
    <w:rsid w:val="004B2F67"/>
    <w:rsid w:val="004B4C4D"/>
    <w:rsid w:val="004B5938"/>
    <w:rsid w:val="004C4437"/>
    <w:rsid w:val="004D0851"/>
    <w:rsid w:val="004D18D9"/>
    <w:rsid w:val="004E2479"/>
    <w:rsid w:val="004E3410"/>
    <w:rsid w:val="004E7453"/>
    <w:rsid w:val="0050582C"/>
    <w:rsid w:val="0050784A"/>
    <w:rsid w:val="00511AA7"/>
    <w:rsid w:val="00514A01"/>
    <w:rsid w:val="00520C99"/>
    <w:rsid w:val="00522AE9"/>
    <w:rsid w:val="00523B18"/>
    <w:rsid w:val="00524B79"/>
    <w:rsid w:val="00532418"/>
    <w:rsid w:val="005410C8"/>
    <w:rsid w:val="00541501"/>
    <w:rsid w:val="0055192B"/>
    <w:rsid w:val="00555C4F"/>
    <w:rsid w:val="005612DF"/>
    <w:rsid w:val="00562612"/>
    <w:rsid w:val="005773EB"/>
    <w:rsid w:val="005776C0"/>
    <w:rsid w:val="005A22CD"/>
    <w:rsid w:val="005B3B30"/>
    <w:rsid w:val="005B52F7"/>
    <w:rsid w:val="005C0D19"/>
    <w:rsid w:val="005D3A9C"/>
    <w:rsid w:val="005D77A0"/>
    <w:rsid w:val="005E24AC"/>
    <w:rsid w:val="005E7682"/>
    <w:rsid w:val="005F384E"/>
    <w:rsid w:val="00603C89"/>
    <w:rsid w:val="00607D5C"/>
    <w:rsid w:val="0061006C"/>
    <w:rsid w:val="00612E9A"/>
    <w:rsid w:val="006142A0"/>
    <w:rsid w:val="00616968"/>
    <w:rsid w:val="0062217F"/>
    <w:rsid w:val="00623D65"/>
    <w:rsid w:val="00627534"/>
    <w:rsid w:val="00631B25"/>
    <w:rsid w:val="006324E0"/>
    <w:rsid w:val="00636A54"/>
    <w:rsid w:val="006411FF"/>
    <w:rsid w:val="00642757"/>
    <w:rsid w:val="00643369"/>
    <w:rsid w:val="00650F47"/>
    <w:rsid w:val="00654691"/>
    <w:rsid w:val="0066349E"/>
    <w:rsid w:val="0066386E"/>
    <w:rsid w:val="00671D5D"/>
    <w:rsid w:val="00684A32"/>
    <w:rsid w:val="006873B1"/>
    <w:rsid w:val="00694CE4"/>
    <w:rsid w:val="00695721"/>
    <w:rsid w:val="00696F86"/>
    <w:rsid w:val="006A0BBC"/>
    <w:rsid w:val="006A328A"/>
    <w:rsid w:val="006A5E2E"/>
    <w:rsid w:val="006A62C2"/>
    <w:rsid w:val="006A7BAF"/>
    <w:rsid w:val="006B3B1C"/>
    <w:rsid w:val="006C55A0"/>
    <w:rsid w:val="006D1C4D"/>
    <w:rsid w:val="006D5C34"/>
    <w:rsid w:val="006E4852"/>
    <w:rsid w:val="006E49A3"/>
    <w:rsid w:val="006E547B"/>
    <w:rsid w:val="006F0789"/>
    <w:rsid w:val="006F5700"/>
    <w:rsid w:val="00716B62"/>
    <w:rsid w:val="00716E02"/>
    <w:rsid w:val="007221F1"/>
    <w:rsid w:val="0073025E"/>
    <w:rsid w:val="0074216B"/>
    <w:rsid w:val="0074525C"/>
    <w:rsid w:val="00755EA5"/>
    <w:rsid w:val="00764685"/>
    <w:rsid w:val="00770B00"/>
    <w:rsid w:val="00776169"/>
    <w:rsid w:val="00784BB1"/>
    <w:rsid w:val="00785B8C"/>
    <w:rsid w:val="007914DE"/>
    <w:rsid w:val="00793045"/>
    <w:rsid w:val="00796F75"/>
    <w:rsid w:val="007971EA"/>
    <w:rsid w:val="007A0DDA"/>
    <w:rsid w:val="007A2C9B"/>
    <w:rsid w:val="007A4ED6"/>
    <w:rsid w:val="007B20B3"/>
    <w:rsid w:val="007C725D"/>
    <w:rsid w:val="007D3E8F"/>
    <w:rsid w:val="007D4F4C"/>
    <w:rsid w:val="007D5B53"/>
    <w:rsid w:val="007F7113"/>
    <w:rsid w:val="0081079A"/>
    <w:rsid w:val="00811F90"/>
    <w:rsid w:val="008167F5"/>
    <w:rsid w:val="00816E40"/>
    <w:rsid w:val="00822715"/>
    <w:rsid w:val="00825DB5"/>
    <w:rsid w:val="00827497"/>
    <w:rsid w:val="00827E82"/>
    <w:rsid w:val="00835A43"/>
    <w:rsid w:val="0085567B"/>
    <w:rsid w:val="008623EF"/>
    <w:rsid w:val="00866EEF"/>
    <w:rsid w:val="0087227B"/>
    <w:rsid w:val="008769D1"/>
    <w:rsid w:val="00876C27"/>
    <w:rsid w:val="008818B1"/>
    <w:rsid w:val="008850F3"/>
    <w:rsid w:val="00890150"/>
    <w:rsid w:val="00894180"/>
    <w:rsid w:val="00895470"/>
    <w:rsid w:val="008A2CDA"/>
    <w:rsid w:val="008B5D3D"/>
    <w:rsid w:val="008B749D"/>
    <w:rsid w:val="008C4FA3"/>
    <w:rsid w:val="008D4A83"/>
    <w:rsid w:val="008D6841"/>
    <w:rsid w:val="008D72EC"/>
    <w:rsid w:val="008E7585"/>
    <w:rsid w:val="008F16D5"/>
    <w:rsid w:val="008F34E9"/>
    <w:rsid w:val="008F4083"/>
    <w:rsid w:val="00902DD3"/>
    <w:rsid w:val="00907C65"/>
    <w:rsid w:val="009119BC"/>
    <w:rsid w:val="009149E3"/>
    <w:rsid w:val="009316C8"/>
    <w:rsid w:val="00932187"/>
    <w:rsid w:val="00935522"/>
    <w:rsid w:val="009360E7"/>
    <w:rsid w:val="00944274"/>
    <w:rsid w:val="009659D3"/>
    <w:rsid w:val="00976797"/>
    <w:rsid w:val="0097722B"/>
    <w:rsid w:val="00991739"/>
    <w:rsid w:val="00993327"/>
    <w:rsid w:val="009951F3"/>
    <w:rsid w:val="00995420"/>
    <w:rsid w:val="009A19EB"/>
    <w:rsid w:val="009C38EA"/>
    <w:rsid w:val="009C450C"/>
    <w:rsid w:val="009D5FCF"/>
    <w:rsid w:val="009D663A"/>
    <w:rsid w:val="009D783B"/>
    <w:rsid w:val="009E468C"/>
    <w:rsid w:val="009F5F47"/>
    <w:rsid w:val="00A00A4D"/>
    <w:rsid w:val="00A02E03"/>
    <w:rsid w:val="00A03DA5"/>
    <w:rsid w:val="00A207EF"/>
    <w:rsid w:val="00A2171C"/>
    <w:rsid w:val="00A22AEA"/>
    <w:rsid w:val="00A249CD"/>
    <w:rsid w:val="00A2673E"/>
    <w:rsid w:val="00A3113C"/>
    <w:rsid w:val="00A34230"/>
    <w:rsid w:val="00A408F0"/>
    <w:rsid w:val="00A42E5E"/>
    <w:rsid w:val="00A434EC"/>
    <w:rsid w:val="00A54203"/>
    <w:rsid w:val="00A60539"/>
    <w:rsid w:val="00A71706"/>
    <w:rsid w:val="00A744C4"/>
    <w:rsid w:val="00A8037E"/>
    <w:rsid w:val="00A82805"/>
    <w:rsid w:val="00A82D6D"/>
    <w:rsid w:val="00A84BA4"/>
    <w:rsid w:val="00A86062"/>
    <w:rsid w:val="00A863DE"/>
    <w:rsid w:val="00A9008D"/>
    <w:rsid w:val="00A91360"/>
    <w:rsid w:val="00A97469"/>
    <w:rsid w:val="00AA6568"/>
    <w:rsid w:val="00AA66C9"/>
    <w:rsid w:val="00AB1CC5"/>
    <w:rsid w:val="00AB2812"/>
    <w:rsid w:val="00AB291F"/>
    <w:rsid w:val="00AB2DF6"/>
    <w:rsid w:val="00AD2A44"/>
    <w:rsid w:val="00AE107D"/>
    <w:rsid w:val="00AF0A7D"/>
    <w:rsid w:val="00B115E3"/>
    <w:rsid w:val="00B13637"/>
    <w:rsid w:val="00B141A1"/>
    <w:rsid w:val="00B17826"/>
    <w:rsid w:val="00B20455"/>
    <w:rsid w:val="00B311F3"/>
    <w:rsid w:val="00B357DE"/>
    <w:rsid w:val="00B43345"/>
    <w:rsid w:val="00B56BD8"/>
    <w:rsid w:val="00B6646D"/>
    <w:rsid w:val="00B670F9"/>
    <w:rsid w:val="00B77A50"/>
    <w:rsid w:val="00B77C80"/>
    <w:rsid w:val="00B9205E"/>
    <w:rsid w:val="00B954DA"/>
    <w:rsid w:val="00B9779C"/>
    <w:rsid w:val="00BA0D1C"/>
    <w:rsid w:val="00BA206B"/>
    <w:rsid w:val="00BA43F3"/>
    <w:rsid w:val="00BA60F3"/>
    <w:rsid w:val="00BB0C48"/>
    <w:rsid w:val="00BB2E87"/>
    <w:rsid w:val="00BB6D26"/>
    <w:rsid w:val="00BC0099"/>
    <w:rsid w:val="00BC2BFD"/>
    <w:rsid w:val="00BD0351"/>
    <w:rsid w:val="00BD321A"/>
    <w:rsid w:val="00BD3749"/>
    <w:rsid w:val="00BE2393"/>
    <w:rsid w:val="00BE2E97"/>
    <w:rsid w:val="00BE3BD3"/>
    <w:rsid w:val="00BE4AB5"/>
    <w:rsid w:val="00BF346B"/>
    <w:rsid w:val="00BF5E83"/>
    <w:rsid w:val="00BF6812"/>
    <w:rsid w:val="00BF74B6"/>
    <w:rsid w:val="00C16BE8"/>
    <w:rsid w:val="00C24781"/>
    <w:rsid w:val="00C26762"/>
    <w:rsid w:val="00C274DC"/>
    <w:rsid w:val="00C34556"/>
    <w:rsid w:val="00C40A91"/>
    <w:rsid w:val="00C41A2D"/>
    <w:rsid w:val="00C50AFD"/>
    <w:rsid w:val="00C656EA"/>
    <w:rsid w:val="00C66C1C"/>
    <w:rsid w:val="00C67451"/>
    <w:rsid w:val="00C7001F"/>
    <w:rsid w:val="00C72A4D"/>
    <w:rsid w:val="00C7323C"/>
    <w:rsid w:val="00C734D0"/>
    <w:rsid w:val="00C803DB"/>
    <w:rsid w:val="00C962A8"/>
    <w:rsid w:val="00CA1429"/>
    <w:rsid w:val="00CB3401"/>
    <w:rsid w:val="00CD416A"/>
    <w:rsid w:val="00CE2EEF"/>
    <w:rsid w:val="00D045D8"/>
    <w:rsid w:val="00D0544F"/>
    <w:rsid w:val="00D07B92"/>
    <w:rsid w:val="00D271E4"/>
    <w:rsid w:val="00D30EAE"/>
    <w:rsid w:val="00D33A13"/>
    <w:rsid w:val="00D428D2"/>
    <w:rsid w:val="00D45143"/>
    <w:rsid w:val="00D55D19"/>
    <w:rsid w:val="00D576BF"/>
    <w:rsid w:val="00D6038E"/>
    <w:rsid w:val="00D800E5"/>
    <w:rsid w:val="00D85C9B"/>
    <w:rsid w:val="00D877DE"/>
    <w:rsid w:val="00D92D9B"/>
    <w:rsid w:val="00D96648"/>
    <w:rsid w:val="00DA042C"/>
    <w:rsid w:val="00DA1C68"/>
    <w:rsid w:val="00DA3512"/>
    <w:rsid w:val="00DA3F1B"/>
    <w:rsid w:val="00DB2925"/>
    <w:rsid w:val="00DB5704"/>
    <w:rsid w:val="00DB78A8"/>
    <w:rsid w:val="00DC1E60"/>
    <w:rsid w:val="00DC4C61"/>
    <w:rsid w:val="00DD0C46"/>
    <w:rsid w:val="00DD3A3A"/>
    <w:rsid w:val="00DE2144"/>
    <w:rsid w:val="00DF5B95"/>
    <w:rsid w:val="00DF7288"/>
    <w:rsid w:val="00E03411"/>
    <w:rsid w:val="00E05B68"/>
    <w:rsid w:val="00E060B2"/>
    <w:rsid w:val="00E219FA"/>
    <w:rsid w:val="00E35B49"/>
    <w:rsid w:val="00E41ECA"/>
    <w:rsid w:val="00E478AE"/>
    <w:rsid w:val="00E52110"/>
    <w:rsid w:val="00E606D4"/>
    <w:rsid w:val="00E637DC"/>
    <w:rsid w:val="00E639AC"/>
    <w:rsid w:val="00E63A2D"/>
    <w:rsid w:val="00E7440F"/>
    <w:rsid w:val="00E77DD3"/>
    <w:rsid w:val="00E8170E"/>
    <w:rsid w:val="00E9167A"/>
    <w:rsid w:val="00E941B9"/>
    <w:rsid w:val="00E95812"/>
    <w:rsid w:val="00E95E24"/>
    <w:rsid w:val="00EA45D1"/>
    <w:rsid w:val="00EA47EE"/>
    <w:rsid w:val="00EA6FC5"/>
    <w:rsid w:val="00EB2191"/>
    <w:rsid w:val="00EB6A86"/>
    <w:rsid w:val="00ED79B3"/>
    <w:rsid w:val="00EE3C99"/>
    <w:rsid w:val="00EF03A1"/>
    <w:rsid w:val="00EF2741"/>
    <w:rsid w:val="00F134BD"/>
    <w:rsid w:val="00F156AB"/>
    <w:rsid w:val="00F35103"/>
    <w:rsid w:val="00F43217"/>
    <w:rsid w:val="00F44BFE"/>
    <w:rsid w:val="00F4632E"/>
    <w:rsid w:val="00F475A9"/>
    <w:rsid w:val="00F62FB9"/>
    <w:rsid w:val="00F66CEC"/>
    <w:rsid w:val="00F724B3"/>
    <w:rsid w:val="00F74AF7"/>
    <w:rsid w:val="00F8075E"/>
    <w:rsid w:val="00F86967"/>
    <w:rsid w:val="00F94DCE"/>
    <w:rsid w:val="00F94EB0"/>
    <w:rsid w:val="00FA68F7"/>
    <w:rsid w:val="00FA695C"/>
    <w:rsid w:val="00FA73BA"/>
    <w:rsid w:val="00FA7935"/>
    <w:rsid w:val="00FB229B"/>
    <w:rsid w:val="00FB6608"/>
    <w:rsid w:val="00FB7766"/>
    <w:rsid w:val="00FD2847"/>
    <w:rsid w:val="00FE0691"/>
    <w:rsid w:val="00FE377B"/>
    <w:rsid w:val="00FF79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F8873"/>
  <w15:chartTrackingRefBased/>
  <w15:docId w15:val="{67324496-979E-4178-8523-FD229C608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Heading1">
    <w:name w:val="heading 1"/>
    <w:basedOn w:val="Normal"/>
    <w:next w:val="Normal"/>
    <w:link w:val="Heading1Char"/>
    <w:uiPriority w:val="9"/>
    <w:qFormat/>
    <w:rsid w:val="001F7D4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6568"/>
    <w:pPr>
      <w:keepNext/>
      <w:keepLines/>
      <w:spacing w:before="160" w:after="40" w:line="240" w:lineRule="auto"/>
      <w:jc w:val="center"/>
      <w:outlineLvl w:val="1"/>
    </w:pPr>
    <w:rPr>
      <w:rFonts w:ascii="Calibri Light" w:eastAsia="Times New Roman" w:hAnsi="Calibri Light" w:cs="Times New Roman"/>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6568"/>
    <w:rPr>
      <w:rFonts w:ascii="Calibri Light" w:eastAsia="Times New Roman" w:hAnsi="Calibri Light" w:cs="Times New Roman"/>
      <w:noProof/>
      <w:sz w:val="32"/>
      <w:szCs w:val="32"/>
    </w:rPr>
  </w:style>
  <w:style w:type="paragraph" w:styleId="Footer">
    <w:name w:val="footer"/>
    <w:basedOn w:val="Normal"/>
    <w:link w:val="FooterChar"/>
    <w:uiPriority w:val="99"/>
    <w:unhideWhenUsed/>
    <w:rsid w:val="00AA6568"/>
    <w:pPr>
      <w:tabs>
        <w:tab w:val="center" w:pos="4536"/>
        <w:tab w:val="right" w:pos="9072"/>
      </w:tabs>
      <w:spacing w:after="0" w:line="240" w:lineRule="auto"/>
    </w:pPr>
    <w:rPr>
      <w:rFonts w:ascii="Calibri" w:eastAsia="Calibri" w:hAnsi="Calibri" w:cs="Times New Roman"/>
      <w:sz w:val="21"/>
      <w:szCs w:val="21"/>
    </w:rPr>
  </w:style>
  <w:style w:type="character" w:customStyle="1" w:styleId="FooterChar">
    <w:name w:val="Footer Char"/>
    <w:basedOn w:val="DefaultParagraphFont"/>
    <w:link w:val="Footer"/>
    <w:uiPriority w:val="99"/>
    <w:rsid w:val="00AA6568"/>
    <w:rPr>
      <w:rFonts w:ascii="Calibri" w:eastAsia="Calibri" w:hAnsi="Calibri" w:cs="Times New Roman"/>
      <w:noProof/>
      <w:sz w:val="21"/>
      <w:szCs w:val="21"/>
    </w:rPr>
  </w:style>
  <w:style w:type="character" w:styleId="CommentReference">
    <w:name w:val="annotation reference"/>
    <w:uiPriority w:val="99"/>
    <w:semiHidden/>
    <w:unhideWhenUsed/>
    <w:rsid w:val="00AA6568"/>
    <w:rPr>
      <w:sz w:val="16"/>
      <w:szCs w:val="16"/>
    </w:rPr>
  </w:style>
  <w:style w:type="paragraph" w:styleId="CommentText">
    <w:name w:val="annotation text"/>
    <w:basedOn w:val="Normal"/>
    <w:link w:val="CommentTextChar"/>
    <w:uiPriority w:val="99"/>
    <w:unhideWhenUsed/>
    <w:rsid w:val="00AA6568"/>
    <w:pPr>
      <w:spacing w:line="240"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rsid w:val="00AA6568"/>
    <w:rPr>
      <w:rFonts w:ascii="Calibri" w:eastAsia="Calibri" w:hAnsi="Calibri" w:cs="Times New Roman"/>
      <w:noProof/>
      <w:sz w:val="20"/>
      <w:szCs w:val="20"/>
    </w:rPr>
  </w:style>
  <w:style w:type="paragraph" w:styleId="BalloonText">
    <w:name w:val="Balloon Text"/>
    <w:basedOn w:val="Normal"/>
    <w:link w:val="BalloonTextChar"/>
    <w:uiPriority w:val="99"/>
    <w:semiHidden/>
    <w:unhideWhenUsed/>
    <w:rsid w:val="00AA65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6568"/>
    <w:rPr>
      <w:rFonts w:ascii="Segoe UI" w:hAnsi="Segoe UI" w:cs="Segoe UI"/>
      <w:noProof/>
      <w:sz w:val="18"/>
      <w:szCs w:val="18"/>
    </w:rPr>
  </w:style>
  <w:style w:type="paragraph" w:styleId="Title">
    <w:name w:val="Title"/>
    <w:basedOn w:val="Normal"/>
    <w:next w:val="Normal"/>
    <w:link w:val="TitleChar"/>
    <w:uiPriority w:val="10"/>
    <w:qFormat/>
    <w:rsid w:val="008F4083"/>
    <w:pPr>
      <w:pBdr>
        <w:top w:val="single" w:sz="6" w:space="8" w:color="A5A5A5"/>
        <w:bottom w:val="single" w:sz="6" w:space="8" w:color="A5A5A5"/>
      </w:pBdr>
      <w:spacing w:after="400" w:line="240" w:lineRule="auto"/>
      <w:contextualSpacing/>
      <w:jc w:val="center"/>
    </w:pPr>
    <w:rPr>
      <w:rFonts w:ascii="Calibri Light" w:eastAsia="Times New Roman" w:hAnsi="Calibri Light" w:cs="Times New Roman"/>
      <w:caps/>
      <w:color w:val="44546A"/>
      <w:spacing w:val="30"/>
      <w:sz w:val="72"/>
      <w:szCs w:val="72"/>
    </w:rPr>
  </w:style>
  <w:style w:type="character" w:customStyle="1" w:styleId="TitleChar">
    <w:name w:val="Title Char"/>
    <w:basedOn w:val="DefaultParagraphFont"/>
    <w:link w:val="Title"/>
    <w:uiPriority w:val="10"/>
    <w:rsid w:val="008F4083"/>
    <w:rPr>
      <w:rFonts w:ascii="Calibri Light" w:eastAsia="Times New Roman" w:hAnsi="Calibri Light" w:cs="Times New Roman"/>
      <w:caps/>
      <w:noProof/>
      <w:color w:val="44546A"/>
      <w:spacing w:val="30"/>
      <w:sz w:val="72"/>
      <w:szCs w:val="72"/>
    </w:rPr>
  </w:style>
  <w:style w:type="character" w:customStyle="1" w:styleId="Heading1Char">
    <w:name w:val="Heading 1 Char"/>
    <w:basedOn w:val="DefaultParagraphFont"/>
    <w:link w:val="Heading1"/>
    <w:uiPriority w:val="9"/>
    <w:rsid w:val="001F7D49"/>
    <w:rPr>
      <w:rFonts w:asciiTheme="majorHAnsi" w:eastAsiaTheme="majorEastAsia" w:hAnsiTheme="majorHAnsi" w:cstheme="majorBidi"/>
      <w:noProof/>
      <w:color w:val="2E74B5" w:themeColor="accent1" w:themeShade="BF"/>
      <w:sz w:val="32"/>
      <w:szCs w:val="32"/>
    </w:rPr>
  </w:style>
  <w:style w:type="paragraph" w:styleId="Header">
    <w:name w:val="header"/>
    <w:basedOn w:val="Normal"/>
    <w:link w:val="HeaderChar"/>
    <w:uiPriority w:val="99"/>
    <w:unhideWhenUsed/>
    <w:rsid w:val="00D045D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045D8"/>
    <w:rPr>
      <w:noProof/>
    </w:rPr>
  </w:style>
  <w:style w:type="paragraph" w:styleId="ListParagraph">
    <w:name w:val="List Paragraph"/>
    <w:aliases w:val="Lapis Bulleted List,List Paragraph (numbered (a)),References"/>
    <w:basedOn w:val="Normal"/>
    <w:link w:val="ListParagraphChar"/>
    <w:uiPriority w:val="34"/>
    <w:qFormat/>
    <w:rsid w:val="00205F24"/>
    <w:pPr>
      <w:spacing w:line="300" w:lineRule="auto"/>
      <w:ind w:left="720"/>
      <w:contextualSpacing/>
    </w:pPr>
    <w:rPr>
      <w:rFonts w:ascii="Calibri" w:eastAsia="Calibri" w:hAnsi="Calibri" w:cs="Times New Roman"/>
      <w:sz w:val="21"/>
      <w:szCs w:val="21"/>
    </w:rPr>
  </w:style>
  <w:style w:type="character" w:customStyle="1" w:styleId="ListParagraphChar">
    <w:name w:val="List Paragraph Char"/>
    <w:aliases w:val="Lapis Bulleted List Char,List Paragraph (numbered (a)) Char,References Char"/>
    <w:link w:val="ListParagraph"/>
    <w:uiPriority w:val="34"/>
    <w:locked/>
    <w:rsid w:val="00205F24"/>
    <w:rPr>
      <w:rFonts w:ascii="Calibri" w:eastAsia="Calibri" w:hAnsi="Calibri" w:cs="Times New Roman"/>
      <w:noProof/>
      <w:sz w:val="21"/>
      <w:szCs w:val="21"/>
    </w:rPr>
  </w:style>
  <w:style w:type="paragraph" w:styleId="FootnoteText">
    <w:name w:val="footnote text"/>
    <w:aliases w:val="Footnote Text Char1 Char,Footnote Text Char Char Char1,Footnote Text Char1 Char Char Char1,Footnote Text Char1 Char1 Char,Footnote Text Char Char Char Char,Footnote Text Char1 Char Char Char Char,footnote text Car,Footnote Text Char"/>
    <w:basedOn w:val="Normal"/>
    <w:link w:val="FootnoteTextChar1"/>
    <w:uiPriority w:val="99"/>
    <w:unhideWhenUsed/>
    <w:qFormat/>
    <w:rsid w:val="006324E0"/>
    <w:pPr>
      <w:spacing w:after="0" w:line="240" w:lineRule="auto"/>
    </w:pPr>
    <w:rPr>
      <w:rFonts w:ascii="Calibri" w:eastAsia="Calibri" w:hAnsi="Calibri" w:cs="Times New Roman"/>
      <w:sz w:val="20"/>
      <w:szCs w:val="20"/>
    </w:rPr>
  </w:style>
  <w:style w:type="character" w:customStyle="1" w:styleId="FootnoteTextChar1">
    <w:name w:val="Footnote Text Char1"/>
    <w:aliases w:val="Footnote Text Char1 Char Char,Footnote Text Char Char Char1 Char,Footnote Text Char1 Char Char Char1 Char,Footnote Text Char1 Char1 Char Char,Footnote Text Char Char Char Char Char,Footnote Text Char1 Char Char Char Char Char"/>
    <w:basedOn w:val="DefaultParagraphFont"/>
    <w:link w:val="FootnoteText"/>
    <w:uiPriority w:val="99"/>
    <w:rsid w:val="006324E0"/>
    <w:rPr>
      <w:rFonts w:ascii="Calibri" w:eastAsia="Calibri" w:hAnsi="Calibri" w:cs="Times New Roman"/>
      <w:noProof/>
      <w:sz w:val="20"/>
      <w:szCs w:val="20"/>
    </w:rPr>
  </w:style>
  <w:style w:type="character" w:styleId="FootnoteReference">
    <w:name w:val="footnote reference"/>
    <w:aliases w:val="ftref,16 Point,Superscript 6 Point,Car Car Char Car Char Car Car Char Car Char Char,Car Car Car Car Car Car Car Car Char Car Car Char Car Car Car Char Car Char Char Char,SUPERS,Footnote,Error-Fußnotenzeichen5,Ref,de nota al pie"/>
    <w:link w:val="BVIfnr"/>
    <w:uiPriority w:val="99"/>
    <w:unhideWhenUsed/>
    <w:rsid w:val="006324E0"/>
    <w:rPr>
      <w:vertAlign w:val="superscript"/>
    </w:rPr>
  </w:style>
  <w:style w:type="character" w:customStyle="1" w:styleId="Stylerapi01">
    <w:name w:val="Style rapi01"/>
    <w:basedOn w:val="DefaultParagraphFont"/>
    <w:rsid w:val="006324E0"/>
  </w:style>
  <w:style w:type="paragraph" w:customStyle="1" w:styleId="BVIfnr">
    <w:name w:val="BVI fnr"/>
    <w:aliases w:val=" BVI fnr Car Car, BVI fnr Car Car Car Car, BVI fnr Car Car Car Car Char Car, BVI fnr Char,BVI fnr Char, BVI fnr Car Car Char,BVI fnr Car Char"/>
    <w:basedOn w:val="Normal"/>
    <w:link w:val="FootnoteReference"/>
    <w:uiPriority w:val="99"/>
    <w:rsid w:val="006324E0"/>
    <w:pPr>
      <w:spacing w:line="240" w:lineRule="exact"/>
    </w:pPr>
    <w:rPr>
      <w:noProof w:val="0"/>
      <w:vertAlign w:val="superscript"/>
    </w:rPr>
  </w:style>
  <w:style w:type="paragraph" w:styleId="NoSpacing">
    <w:name w:val="No Spacing"/>
    <w:uiPriority w:val="1"/>
    <w:qFormat/>
    <w:rsid w:val="00811F90"/>
    <w:pPr>
      <w:spacing w:after="0" w:line="240" w:lineRule="auto"/>
    </w:pPr>
    <w:rPr>
      <w:noProof/>
    </w:rPr>
  </w:style>
  <w:style w:type="paragraph" w:styleId="BodyText">
    <w:name w:val="Body Text"/>
    <w:basedOn w:val="Normal"/>
    <w:link w:val="BodyTextChar"/>
    <w:uiPriority w:val="1"/>
    <w:qFormat/>
    <w:rsid w:val="005776C0"/>
    <w:pPr>
      <w:widowControl w:val="0"/>
      <w:autoSpaceDE w:val="0"/>
      <w:autoSpaceDN w:val="0"/>
      <w:adjustRightInd w:val="0"/>
      <w:spacing w:before="59" w:after="0" w:line="240" w:lineRule="auto"/>
      <w:ind w:left="220"/>
    </w:pPr>
    <w:rPr>
      <w:rFonts w:ascii="Calibri" w:eastAsia="Times New Roman" w:hAnsi="Calibri" w:cs="Calibri"/>
      <w:noProof w:val="0"/>
      <w:sz w:val="20"/>
      <w:szCs w:val="20"/>
      <w:lang w:val="en-AU" w:eastAsia="en-AU"/>
    </w:rPr>
  </w:style>
  <w:style w:type="character" w:customStyle="1" w:styleId="BodyTextChar">
    <w:name w:val="Body Text Char"/>
    <w:basedOn w:val="DefaultParagraphFont"/>
    <w:link w:val="BodyText"/>
    <w:uiPriority w:val="1"/>
    <w:rsid w:val="005776C0"/>
    <w:rPr>
      <w:rFonts w:ascii="Calibri" w:eastAsia="Times New Roman" w:hAnsi="Calibri" w:cs="Calibri"/>
      <w:sz w:val="20"/>
      <w:szCs w:val="20"/>
      <w:lang w:val="en-AU" w:eastAsia="en-AU"/>
    </w:rPr>
  </w:style>
  <w:style w:type="paragraph" w:styleId="EndnoteText">
    <w:name w:val="endnote text"/>
    <w:basedOn w:val="Normal"/>
    <w:link w:val="EndnoteTextChar"/>
    <w:uiPriority w:val="99"/>
    <w:semiHidden/>
    <w:unhideWhenUsed/>
    <w:rsid w:val="009149E3"/>
    <w:pPr>
      <w:widowControl w:val="0"/>
      <w:autoSpaceDE w:val="0"/>
      <w:autoSpaceDN w:val="0"/>
      <w:adjustRightInd w:val="0"/>
      <w:spacing w:after="0" w:line="240" w:lineRule="auto"/>
    </w:pPr>
    <w:rPr>
      <w:rFonts w:ascii="Times New Roman" w:eastAsia="Times New Roman" w:hAnsi="Times New Roman" w:cs="Times New Roman"/>
      <w:noProof w:val="0"/>
      <w:sz w:val="20"/>
      <w:szCs w:val="20"/>
      <w:lang w:val="en-AU" w:eastAsia="en-AU"/>
    </w:rPr>
  </w:style>
  <w:style w:type="character" w:customStyle="1" w:styleId="EndnoteTextChar">
    <w:name w:val="Endnote Text Char"/>
    <w:basedOn w:val="DefaultParagraphFont"/>
    <w:link w:val="EndnoteText"/>
    <w:uiPriority w:val="99"/>
    <w:semiHidden/>
    <w:rsid w:val="009149E3"/>
    <w:rPr>
      <w:rFonts w:ascii="Times New Roman" w:eastAsia="Times New Roman" w:hAnsi="Times New Roman" w:cs="Times New Roman"/>
      <w:sz w:val="20"/>
      <w:szCs w:val="20"/>
      <w:lang w:val="en-AU" w:eastAsia="en-AU"/>
    </w:rPr>
  </w:style>
  <w:style w:type="character" w:styleId="EndnoteReference">
    <w:name w:val="endnote reference"/>
    <w:uiPriority w:val="99"/>
    <w:semiHidden/>
    <w:unhideWhenUsed/>
    <w:rsid w:val="009149E3"/>
    <w:rPr>
      <w:rFonts w:cs="Times New Roman"/>
      <w:vertAlign w:val="superscript"/>
    </w:rPr>
  </w:style>
  <w:style w:type="paragraph" w:styleId="TOCHeading">
    <w:name w:val="TOC Heading"/>
    <w:basedOn w:val="Heading1"/>
    <w:next w:val="Normal"/>
    <w:uiPriority w:val="39"/>
    <w:unhideWhenUsed/>
    <w:qFormat/>
    <w:rsid w:val="00993327"/>
    <w:pPr>
      <w:outlineLvl w:val="9"/>
    </w:pPr>
    <w:rPr>
      <w:noProof w:val="0"/>
      <w:lang w:eastAsia="fr-FR"/>
    </w:rPr>
  </w:style>
  <w:style w:type="paragraph" w:styleId="TOC2">
    <w:name w:val="toc 2"/>
    <w:basedOn w:val="Normal"/>
    <w:next w:val="Normal"/>
    <w:autoRedefine/>
    <w:uiPriority w:val="39"/>
    <w:unhideWhenUsed/>
    <w:rsid w:val="00993327"/>
    <w:pPr>
      <w:spacing w:after="100"/>
      <w:ind w:left="220"/>
    </w:pPr>
  </w:style>
  <w:style w:type="paragraph" w:styleId="TOC1">
    <w:name w:val="toc 1"/>
    <w:basedOn w:val="Normal"/>
    <w:next w:val="Normal"/>
    <w:autoRedefine/>
    <w:uiPriority w:val="39"/>
    <w:unhideWhenUsed/>
    <w:rsid w:val="00993327"/>
    <w:pPr>
      <w:spacing w:after="100"/>
    </w:pPr>
  </w:style>
  <w:style w:type="character" w:styleId="Hyperlink">
    <w:name w:val="Hyperlink"/>
    <w:basedOn w:val="DefaultParagraphFont"/>
    <w:uiPriority w:val="99"/>
    <w:unhideWhenUsed/>
    <w:rsid w:val="0099332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4999">
      <w:bodyDiv w:val="1"/>
      <w:marLeft w:val="0"/>
      <w:marRight w:val="0"/>
      <w:marTop w:val="0"/>
      <w:marBottom w:val="0"/>
      <w:divBdr>
        <w:top w:val="none" w:sz="0" w:space="0" w:color="auto"/>
        <w:left w:val="none" w:sz="0" w:space="0" w:color="auto"/>
        <w:bottom w:val="none" w:sz="0" w:space="0" w:color="auto"/>
        <w:right w:val="none" w:sz="0" w:space="0" w:color="auto"/>
      </w:divBdr>
    </w:div>
    <w:div w:id="204878897">
      <w:bodyDiv w:val="1"/>
      <w:marLeft w:val="0"/>
      <w:marRight w:val="0"/>
      <w:marTop w:val="0"/>
      <w:marBottom w:val="0"/>
      <w:divBdr>
        <w:top w:val="none" w:sz="0" w:space="0" w:color="auto"/>
        <w:left w:val="none" w:sz="0" w:space="0" w:color="auto"/>
        <w:bottom w:val="none" w:sz="0" w:space="0" w:color="auto"/>
        <w:right w:val="none" w:sz="0" w:space="0" w:color="auto"/>
      </w:divBdr>
    </w:div>
    <w:div w:id="238096295">
      <w:bodyDiv w:val="1"/>
      <w:marLeft w:val="0"/>
      <w:marRight w:val="0"/>
      <w:marTop w:val="0"/>
      <w:marBottom w:val="0"/>
      <w:divBdr>
        <w:top w:val="none" w:sz="0" w:space="0" w:color="auto"/>
        <w:left w:val="none" w:sz="0" w:space="0" w:color="auto"/>
        <w:bottom w:val="none" w:sz="0" w:space="0" w:color="auto"/>
        <w:right w:val="none" w:sz="0" w:space="0" w:color="auto"/>
      </w:divBdr>
    </w:div>
    <w:div w:id="252907100">
      <w:bodyDiv w:val="1"/>
      <w:marLeft w:val="0"/>
      <w:marRight w:val="0"/>
      <w:marTop w:val="0"/>
      <w:marBottom w:val="0"/>
      <w:divBdr>
        <w:top w:val="none" w:sz="0" w:space="0" w:color="auto"/>
        <w:left w:val="none" w:sz="0" w:space="0" w:color="auto"/>
        <w:bottom w:val="none" w:sz="0" w:space="0" w:color="auto"/>
        <w:right w:val="none" w:sz="0" w:space="0" w:color="auto"/>
      </w:divBdr>
    </w:div>
    <w:div w:id="272057793">
      <w:bodyDiv w:val="1"/>
      <w:marLeft w:val="0"/>
      <w:marRight w:val="0"/>
      <w:marTop w:val="0"/>
      <w:marBottom w:val="0"/>
      <w:divBdr>
        <w:top w:val="none" w:sz="0" w:space="0" w:color="auto"/>
        <w:left w:val="none" w:sz="0" w:space="0" w:color="auto"/>
        <w:bottom w:val="none" w:sz="0" w:space="0" w:color="auto"/>
        <w:right w:val="none" w:sz="0" w:space="0" w:color="auto"/>
      </w:divBdr>
    </w:div>
    <w:div w:id="286937475">
      <w:bodyDiv w:val="1"/>
      <w:marLeft w:val="0"/>
      <w:marRight w:val="0"/>
      <w:marTop w:val="0"/>
      <w:marBottom w:val="0"/>
      <w:divBdr>
        <w:top w:val="none" w:sz="0" w:space="0" w:color="auto"/>
        <w:left w:val="none" w:sz="0" w:space="0" w:color="auto"/>
        <w:bottom w:val="none" w:sz="0" w:space="0" w:color="auto"/>
        <w:right w:val="none" w:sz="0" w:space="0" w:color="auto"/>
      </w:divBdr>
    </w:div>
    <w:div w:id="315036042">
      <w:bodyDiv w:val="1"/>
      <w:marLeft w:val="0"/>
      <w:marRight w:val="0"/>
      <w:marTop w:val="0"/>
      <w:marBottom w:val="0"/>
      <w:divBdr>
        <w:top w:val="none" w:sz="0" w:space="0" w:color="auto"/>
        <w:left w:val="none" w:sz="0" w:space="0" w:color="auto"/>
        <w:bottom w:val="none" w:sz="0" w:space="0" w:color="auto"/>
        <w:right w:val="none" w:sz="0" w:space="0" w:color="auto"/>
      </w:divBdr>
    </w:div>
    <w:div w:id="439953337">
      <w:bodyDiv w:val="1"/>
      <w:marLeft w:val="0"/>
      <w:marRight w:val="0"/>
      <w:marTop w:val="0"/>
      <w:marBottom w:val="0"/>
      <w:divBdr>
        <w:top w:val="none" w:sz="0" w:space="0" w:color="auto"/>
        <w:left w:val="none" w:sz="0" w:space="0" w:color="auto"/>
        <w:bottom w:val="none" w:sz="0" w:space="0" w:color="auto"/>
        <w:right w:val="none" w:sz="0" w:space="0" w:color="auto"/>
      </w:divBdr>
    </w:div>
    <w:div w:id="475345346">
      <w:bodyDiv w:val="1"/>
      <w:marLeft w:val="0"/>
      <w:marRight w:val="0"/>
      <w:marTop w:val="0"/>
      <w:marBottom w:val="0"/>
      <w:divBdr>
        <w:top w:val="none" w:sz="0" w:space="0" w:color="auto"/>
        <w:left w:val="none" w:sz="0" w:space="0" w:color="auto"/>
        <w:bottom w:val="none" w:sz="0" w:space="0" w:color="auto"/>
        <w:right w:val="none" w:sz="0" w:space="0" w:color="auto"/>
      </w:divBdr>
    </w:div>
    <w:div w:id="558395926">
      <w:bodyDiv w:val="1"/>
      <w:marLeft w:val="0"/>
      <w:marRight w:val="0"/>
      <w:marTop w:val="0"/>
      <w:marBottom w:val="0"/>
      <w:divBdr>
        <w:top w:val="none" w:sz="0" w:space="0" w:color="auto"/>
        <w:left w:val="none" w:sz="0" w:space="0" w:color="auto"/>
        <w:bottom w:val="none" w:sz="0" w:space="0" w:color="auto"/>
        <w:right w:val="none" w:sz="0" w:space="0" w:color="auto"/>
      </w:divBdr>
    </w:div>
    <w:div w:id="569317437">
      <w:bodyDiv w:val="1"/>
      <w:marLeft w:val="0"/>
      <w:marRight w:val="0"/>
      <w:marTop w:val="0"/>
      <w:marBottom w:val="0"/>
      <w:divBdr>
        <w:top w:val="none" w:sz="0" w:space="0" w:color="auto"/>
        <w:left w:val="none" w:sz="0" w:space="0" w:color="auto"/>
        <w:bottom w:val="none" w:sz="0" w:space="0" w:color="auto"/>
        <w:right w:val="none" w:sz="0" w:space="0" w:color="auto"/>
      </w:divBdr>
    </w:div>
    <w:div w:id="775639710">
      <w:bodyDiv w:val="1"/>
      <w:marLeft w:val="0"/>
      <w:marRight w:val="0"/>
      <w:marTop w:val="0"/>
      <w:marBottom w:val="0"/>
      <w:divBdr>
        <w:top w:val="none" w:sz="0" w:space="0" w:color="auto"/>
        <w:left w:val="none" w:sz="0" w:space="0" w:color="auto"/>
        <w:bottom w:val="none" w:sz="0" w:space="0" w:color="auto"/>
        <w:right w:val="none" w:sz="0" w:space="0" w:color="auto"/>
      </w:divBdr>
    </w:div>
    <w:div w:id="846676410">
      <w:bodyDiv w:val="1"/>
      <w:marLeft w:val="0"/>
      <w:marRight w:val="0"/>
      <w:marTop w:val="0"/>
      <w:marBottom w:val="0"/>
      <w:divBdr>
        <w:top w:val="none" w:sz="0" w:space="0" w:color="auto"/>
        <w:left w:val="none" w:sz="0" w:space="0" w:color="auto"/>
        <w:bottom w:val="none" w:sz="0" w:space="0" w:color="auto"/>
        <w:right w:val="none" w:sz="0" w:space="0" w:color="auto"/>
      </w:divBdr>
    </w:div>
    <w:div w:id="990060839">
      <w:bodyDiv w:val="1"/>
      <w:marLeft w:val="0"/>
      <w:marRight w:val="0"/>
      <w:marTop w:val="0"/>
      <w:marBottom w:val="0"/>
      <w:divBdr>
        <w:top w:val="none" w:sz="0" w:space="0" w:color="auto"/>
        <w:left w:val="none" w:sz="0" w:space="0" w:color="auto"/>
        <w:bottom w:val="none" w:sz="0" w:space="0" w:color="auto"/>
        <w:right w:val="none" w:sz="0" w:space="0" w:color="auto"/>
      </w:divBdr>
    </w:div>
    <w:div w:id="1050227195">
      <w:bodyDiv w:val="1"/>
      <w:marLeft w:val="0"/>
      <w:marRight w:val="0"/>
      <w:marTop w:val="0"/>
      <w:marBottom w:val="0"/>
      <w:divBdr>
        <w:top w:val="none" w:sz="0" w:space="0" w:color="auto"/>
        <w:left w:val="none" w:sz="0" w:space="0" w:color="auto"/>
        <w:bottom w:val="none" w:sz="0" w:space="0" w:color="auto"/>
        <w:right w:val="none" w:sz="0" w:space="0" w:color="auto"/>
      </w:divBdr>
    </w:div>
    <w:div w:id="1202018185">
      <w:bodyDiv w:val="1"/>
      <w:marLeft w:val="0"/>
      <w:marRight w:val="0"/>
      <w:marTop w:val="0"/>
      <w:marBottom w:val="0"/>
      <w:divBdr>
        <w:top w:val="none" w:sz="0" w:space="0" w:color="auto"/>
        <w:left w:val="none" w:sz="0" w:space="0" w:color="auto"/>
        <w:bottom w:val="none" w:sz="0" w:space="0" w:color="auto"/>
        <w:right w:val="none" w:sz="0" w:space="0" w:color="auto"/>
      </w:divBdr>
    </w:div>
    <w:div w:id="1225872391">
      <w:bodyDiv w:val="1"/>
      <w:marLeft w:val="0"/>
      <w:marRight w:val="0"/>
      <w:marTop w:val="0"/>
      <w:marBottom w:val="0"/>
      <w:divBdr>
        <w:top w:val="none" w:sz="0" w:space="0" w:color="auto"/>
        <w:left w:val="none" w:sz="0" w:space="0" w:color="auto"/>
        <w:bottom w:val="none" w:sz="0" w:space="0" w:color="auto"/>
        <w:right w:val="none" w:sz="0" w:space="0" w:color="auto"/>
      </w:divBdr>
    </w:div>
    <w:div w:id="1491096725">
      <w:bodyDiv w:val="1"/>
      <w:marLeft w:val="0"/>
      <w:marRight w:val="0"/>
      <w:marTop w:val="0"/>
      <w:marBottom w:val="0"/>
      <w:divBdr>
        <w:top w:val="none" w:sz="0" w:space="0" w:color="auto"/>
        <w:left w:val="none" w:sz="0" w:space="0" w:color="auto"/>
        <w:bottom w:val="none" w:sz="0" w:space="0" w:color="auto"/>
        <w:right w:val="none" w:sz="0" w:space="0" w:color="auto"/>
      </w:divBdr>
    </w:div>
    <w:div w:id="1496069386">
      <w:bodyDiv w:val="1"/>
      <w:marLeft w:val="0"/>
      <w:marRight w:val="0"/>
      <w:marTop w:val="0"/>
      <w:marBottom w:val="0"/>
      <w:divBdr>
        <w:top w:val="none" w:sz="0" w:space="0" w:color="auto"/>
        <w:left w:val="none" w:sz="0" w:space="0" w:color="auto"/>
        <w:bottom w:val="none" w:sz="0" w:space="0" w:color="auto"/>
        <w:right w:val="none" w:sz="0" w:space="0" w:color="auto"/>
      </w:divBdr>
    </w:div>
    <w:div w:id="1534415388">
      <w:bodyDiv w:val="1"/>
      <w:marLeft w:val="0"/>
      <w:marRight w:val="0"/>
      <w:marTop w:val="0"/>
      <w:marBottom w:val="0"/>
      <w:divBdr>
        <w:top w:val="none" w:sz="0" w:space="0" w:color="auto"/>
        <w:left w:val="none" w:sz="0" w:space="0" w:color="auto"/>
        <w:bottom w:val="none" w:sz="0" w:space="0" w:color="auto"/>
        <w:right w:val="none" w:sz="0" w:space="0" w:color="auto"/>
      </w:divBdr>
    </w:div>
    <w:div w:id="1692805172">
      <w:bodyDiv w:val="1"/>
      <w:marLeft w:val="0"/>
      <w:marRight w:val="0"/>
      <w:marTop w:val="0"/>
      <w:marBottom w:val="0"/>
      <w:divBdr>
        <w:top w:val="none" w:sz="0" w:space="0" w:color="auto"/>
        <w:left w:val="none" w:sz="0" w:space="0" w:color="auto"/>
        <w:bottom w:val="none" w:sz="0" w:space="0" w:color="auto"/>
        <w:right w:val="none" w:sz="0" w:space="0" w:color="auto"/>
      </w:divBdr>
    </w:div>
    <w:div w:id="1733389075">
      <w:bodyDiv w:val="1"/>
      <w:marLeft w:val="0"/>
      <w:marRight w:val="0"/>
      <w:marTop w:val="0"/>
      <w:marBottom w:val="0"/>
      <w:divBdr>
        <w:top w:val="none" w:sz="0" w:space="0" w:color="auto"/>
        <w:left w:val="none" w:sz="0" w:space="0" w:color="auto"/>
        <w:bottom w:val="none" w:sz="0" w:space="0" w:color="auto"/>
        <w:right w:val="none" w:sz="0" w:space="0" w:color="auto"/>
      </w:divBdr>
    </w:div>
    <w:div w:id="1743796614">
      <w:bodyDiv w:val="1"/>
      <w:marLeft w:val="0"/>
      <w:marRight w:val="0"/>
      <w:marTop w:val="0"/>
      <w:marBottom w:val="0"/>
      <w:divBdr>
        <w:top w:val="none" w:sz="0" w:space="0" w:color="auto"/>
        <w:left w:val="none" w:sz="0" w:space="0" w:color="auto"/>
        <w:bottom w:val="none" w:sz="0" w:space="0" w:color="auto"/>
        <w:right w:val="none" w:sz="0" w:space="0" w:color="auto"/>
      </w:divBdr>
    </w:div>
    <w:div w:id="1858229745">
      <w:bodyDiv w:val="1"/>
      <w:marLeft w:val="0"/>
      <w:marRight w:val="0"/>
      <w:marTop w:val="0"/>
      <w:marBottom w:val="0"/>
      <w:divBdr>
        <w:top w:val="none" w:sz="0" w:space="0" w:color="auto"/>
        <w:left w:val="none" w:sz="0" w:space="0" w:color="auto"/>
        <w:bottom w:val="none" w:sz="0" w:space="0" w:color="auto"/>
        <w:right w:val="none" w:sz="0" w:space="0" w:color="auto"/>
      </w:divBdr>
    </w:div>
    <w:div w:id="1900364286">
      <w:bodyDiv w:val="1"/>
      <w:marLeft w:val="0"/>
      <w:marRight w:val="0"/>
      <w:marTop w:val="0"/>
      <w:marBottom w:val="0"/>
      <w:divBdr>
        <w:top w:val="none" w:sz="0" w:space="0" w:color="auto"/>
        <w:left w:val="none" w:sz="0" w:space="0" w:color="auto"/>
        <w:bottom w:val="none" w:sz="0" w:space="0" w:color="auto"/>
        <w:right w:val="none" w:sz="0" w:space="0" w:color="auto"/>
      </w:divBdr>
    </w:div>
    <w:div w:id="2027098871">
      <w:bodyDiv w:val="1"/>
      <w:marLeft w:val="0"/>
      <w:marRight w:val="0"/>
      <w:marTop w:val="0"/>
      <w:marBottom w:val="0"/>
      <w:divBdr>
        <w:top w:val="none" w:sz="0" w:space="0" w:color="auto"/>
        <w:left w:val="none" w:sz="0" w:space="0" w:color="auto"/>
        <w:bottom w:val="none" w:sz="0" w:space="0" w:color="auto"/>
        <w:right w:val="none" w:sz="0" w:space="0" w:color="auto"/>
      </w:divBdr>
    </w:div>
    <w:div w:id="2041473749">
      <w:bodyDiv w:val="1"/>
      <w:marLeft w:val="0"/>
      <w:marRight w:val="0"/>
      <w:marTop w:val="0"/>
      <w:marBottom w:val="0"/>
      <w:divBdr>
        <w:top w:val="none" w:sz="0" w:space="0" w:color="auto"/>
        <w:left w:val="none" w:sz="0" w:space="0" w:color="auto"/>
        <w:bottom w:val="none" w:sz="0" w:space="0" w:color="auto"/>
        <w:right w:val="none" w:sz="0" w:space="0" w:color="auto"/>
      </w:divBdr>
    </w:div>
    <w:div w:id="2122843444">
      <w:bodyDiv w:val="1"/>
      <w:marLeft w:val="0"/>
      <w:marRight w:val="0"/>
      <w:marTop w:val="0"/>
      <w:marBottom w:val="0"/>
      <w:divBdr>
        <w:top w:val="none" w:sz="0" w:space="0" w:color="auto"/>
        <w:left w:val="none" w:sz="0" w:space="0" w:color="auto"/>
        <w:bottom w:val="none" w:sz="0" w:space="0" w:color="auto"/>
        <w:right w:val="none" w:sz="0" w:space="0" w:color="auto"/>
      </w:divBdr>
    </w:div>
    <w:div w:id="2134060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E91E56-9FA6-44C0-8884-2D070C269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21270</Words>
  <Characters>121242</Characters>
  <Application>Microsoft Office Word</Application>
  <DocSecurity>0</DocSecurity>
  <Lines>1010</Lines>
  <Paragraphs>284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Hewlett-Packard Company</Company>
  <LinksUpToDate>false</LinksUpToDate>
  <CharactersWithSpaces>142228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Kadidiatou Alkaly</dc:creator>
  <cp:keywords/>
  <dc:description/>
  <cp:lastModifiedBy>Svetlana Iazykova</cp:lastModifiedBy>
  <cp:revision>3</cp:revision>
  <dcterms:created xsi:type="dcterms:W3CDTF">2016-10-20T21:38:00Z</dcterms:created>
  <dcterms:modified xsi:type="dcterms:W3CDTF">2016-10-20T21:39:00Z</dcterms:modified>
</cp:coreProperties>
</file>