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26BD2" w14:textId="77777777" w:rsidR="00CA41C4" w:rsidRPr="004D376B" w:rsidRDefault="00CA41C4" w:rsidP="00CA41C4">
      <w:pPr>
        <w:spacing w:before="24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4D376B">
        <w:rPr>
          <w:rFonts w:ascii="Times New Roman" w:hAnsi="Times New Roman"/>
          <w:b/>
          <w:sz w:val="20"/>
          <w:szCs w:val="20"/>
        </w:rPr>
        <w:t>Key areas for improvement identified in audit reports</w:t>
      </w:r>
    </w:p>
    <w:p w14:paraId="32CF16C1" w14:textId="77777777" w:rsidR="00FC231E" w:rsidRPr="004D376B" w:rsidRDefault="00FC231E" w:rsidP="00FC231E">
      <w:pPr>
        <w:tabs>
          <w:tab w:val="left" w:pos="2820"/>
        </w:tabs>
        <w:spacing w:before="240"/>
        <w:rPr>
          <w:rFonts w:ascii="Times New Roman" w:hAnsi="Times New Roman"/>
          <w:sz w:val="20"/>
          <w:szCs w:val="20"/>
        </w:rPr>
      </w:pPr>
      <w:r w:rsidRPr="004D376B">
        <w:rPr>
          <w:rFonts w:ascii="Times New Roman" w:hAnsi="Times New Roman"/>
          <w:sz w:val="20"/>
          <w:szCs w:val="20"/>
        </w:rPr>
        <w:t>Key areas for improvement identified in IAIG internal audit reports in 2017 include:</w:t>
      </w:r>
    </w:p>
    <w:p w14:paraId="4DA8BE2F" w14:textId="7FA1C213" w:rsidR="00FC231E" w:rsidRPr="00981DA5" w:rsidRDefault="00FC231E" w:rsidP="00FC231E">
      <w:pPr>
        <w:pStyle w:val="SingleTxt"/>
        <w:numPr>
          <w:ilvl w:val="0"/>
          <w:numId w:val="1"/>
        </w:numPr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left" w:pos="-426"/>
          <w:tab w:val="left" w:pos="-284"/>
          <w:tab w:val="left" w:pos="1800"/>
        </w:tabs>
        <w:spacing w:after="60"/>
        <w:ind w:right="0"/>
        <w:rPr>
          <w:bCs/>
        </w:rPr>
      </w:pPr>
      <w:r w:rsidRPr="003311C0">
        <w:rPr>
          <w:bCs/>
          <w:i/>
        </w:rPr>
        <w:t>Finance,</w:t>
      </w:r>
      <w:r w:rsidRPr="003311C0">
        <w:rPr>
          <w:bCs/>
        </w:rPr>
        <w:t xml:space="preserve"> with</w:t>
      </w:r>
      <w:r>
        <w:rPr>
          <w:bCs/>
        </w:rPr>
        <w:t xml:space="preserve"> </w:t>
      </w:r>
      <w:r w:rsidRPr="003311C0">
        <w:rPr>
          <w:bCs/>
        </w:rPr>
        <w:t xml:space="preserve">recommendations made concerning: </w:t>
      </w:r>
      <w:r>
        <w:rPr>
          <w:bCs/>
        </w:rPr>
        <w:t xml:space="preserve">authorization of project expenditure; management of operational advances and cash suppliers; compliance with the receipting process; implementing controls to prevent, detect and mitigate fraud in the </w:t>
      </w:r>
      <w:r w:rsidR="00AD42C6">
        <w:rPr>
          <w:bCs/>
        </w:rPr>
        <w:t xml:space="preserve">enterprise resource planning </w:t>
      </w:r>
      <w:r>
        <w:rPr>
          <w:bCs/>
        </w:rPr>
        <w:t xml:space="preserve">system; segregation of duties; </w:t>
      </w:r>
      <w:r w:rsidRPr="00981DA5">
        <w:rPr>
          <w:bCs/>
        </w:rPr>
        <w:t xml:space="preserve">and </w:t>
      </w:r>
      <w:r>
        <w:rPr>
          <w:bCs/>
        </w:rPr>
        <w:t>compliance with the UNOPS F</w:t>
      </w:r>
      <w:r w:rsidR="004D376B">
        <w:rPr>
          <w:bCs/>
        </w:rPr>
        <w:t>inancial Regulations and Rule</w:t>
      </w:r>
      <w:r>
        <w:rPr>
          <w:bCs/>
        </w:rPr>
        <w:t>s</w:t>
      </w:r>
      <w:r w:rsidRPr="00981DA5">
        <w:rPr>
          <w:bCs/>
        </w:rPr>
        <w:t>;</w:t>
      </w:r>
    </w:p>
    <w:p w14:paraId="5D94E345" w14:textId="7B9F61DD" w:rsidR="00FC231E" w:rsidRDefault="00FC231E" w:rsidP="00FC231E">
      <w:pPr>
        <w:pStyle w:val="SingleTxt"/>
        <w:numPr>
          <w:ilvl w:val="0"/>
          <w:numId w:val="1"/>
        </w:numPr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left" w:pos="-426"/>
          <w:tab w:val="left" w:pos="-284"/>
          <w:tab w:val="left" w:pos="1800"/>
        </w:tabs>
        <w:spacing w:after="60"/>
        <w:ind w:right="0"/>
        <w:rPr>
          <w:bCs/>
        </w:rPr>
      </w:pPr>
      <w:r w:rsidRPr="003311C0">
        <w:rPr>
          <w:bCs/>
          <w:i/>
        </w:rPr>
        <w:t>Procurement,</w:t>
      </w:r>
      <w:r w:rsidRPr="003311C0">
        <w:rPr>
          <w:bCs/>
        </w:rPr>
        <w:t xml:space="preserve"> with recommendations made concerning:</w:t>
      </w:r>
      <w:r>
        <w:rPr>
          <w:bCs/>
        </w:rPr>
        <w:t xml:space="preserve"> development of a well-documented office procurement strategy; performance of supplier due diligence; strengthening of corporate level guidance; compliance with delegation of authority requirements; monitoring for red flags of collusion and corruption in the procurement process; contract management; segregation of duties; and duplicated suppliers in the </w:t>
      </w:r>
      <w:r w:rsidR="00AD42C6">
        <w:rPr>
          <w:bCs/>
        </w:rPr>
        <w:t xml:space="preserve">enterprise resource planning </w:t>
      </w:r>
      <w:r>
        <w:rPr>
          <w:bCs/>
        </w:rPr>
        <w:t xml:space="preserve">system; </w:t>
      </w:r>
    </w:p>
    <w:p w14:paraId="33DFB1DF" w14:textId="77777777" w:rsidR="00FC231E" w:rsidRDefault="00FC231E" w:rsidP="00FC231E">
      <w:pPr>
        <w:pStyle w:val="SingleTxt"/>
        <w:numPr>
          <w:ilvl w:val="0"/>
          <w:numId w:val="1"/>
        </w:numPr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left" w:pos="-426"/>
          <w:tab w:val="left" w:pos="-284"/>
          <w:tab w:val="left" w:pos="1800"/>
        </w:tabs>
        <w:spacing w:after="60"/>
        <w:ind w:right="0"/>
        <w:rPr>
          <w:bCs/>
        </w:rPr>
      </w:pPr>
      <w:r w:rsidRPr="003311C0">
        <w:rPr>
          <w:bCs/>
          <w:i/>
        </w:rPr>
        <w:t>Human resources,</w:t>
      </w:r>
      <w:r w:rsidRPr="003311C0">
        <w:rPr>
          <w:bCs/>
        </w:rPr>
        <w:t xml:space="preserve"> with recommendations made concerning:</w:t>
      </w:r>
      <w:r>
        <w:rPr>
          <w:bCs/>
        </w:rPr>
        <w:t xml:space="preserve"> utilization of desk reviews and 100 day contracts; interview panel set-up; review of office organizational structure; review and clean-up of vendor database; guidance on hiring personnel of retirement age; and monitoring for red flags of contracts being issued to retirees or pension recipients;</w:t>
      </w:r>
    </w:p>
    <w:p w14:paraId="27B78FC1" w14:textId="6A9C389B" w:rsidR="00FC231E" w:rsidRPr="003311C0" w:rsidRDefault="00FC231E" w:rsidP="00FC231E">
      <w:pPr>
        <w:pStyle w:val="SingleTxt"/>
        <w:numPr>
          <w:ilvl w:val="0"/>
          <w:numId w:val="1"/>
        </w:numPr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left" w:pos="-426"/>
          <w:tab w:val="left" w:pos="-284"/>
          <w:tab w:val="left" w:pos="1800"/>
        </w:tabs>
        <w:spacing w:after="60"/>
        <w:ind w:right="0"/>
        <w:rPr>
          <w:bCs/>
        </w:rPr>
      </w:pPr>
      <w:r w:rsidRPr="003311C0">
        <w:rPr>
          <w:bCs/>
          <w:i/>
        </w:rPr>
        <w:t>Project management,</w:t>
      </w:r>
      <w:r w:rsidRPr="003311C0">
        <w:rPr>
          <w:bCs/>
        </w:rPr>
        <w:t xml:space="preserve"> with</w:t>
      </w:r>
      <w:r>
        <w:rPr>
          <w:bCs/>
        </w:rPr>
        <w:t xml:space="preserve"> </w:t>
      </w:r>
      <w:r w:rsidRPr="003311C0">
        <w:rPr>
          <w:bCs/>
        </w:rPr>
        <w:t>recommendations made concerning:</w:t>
      </w:r>
      <w:r>
        <w:rPr>
          <w:bCs/>
        </w:rPr>
        <w:t xml:space="preserve"> adherence to established </w:t>
      </w:r>
      <w:r w:rsidR="00AD42C6">
        <w:rPr>
          <w:bCs/>
        </w:rPr>
        <w:t>“e</w:t>
      </w:r>
      <w:r>
        <w:rPr>
          <w:bCs/>
        </w:rPr>
        <w:t xml:space="preserve">ngagement </w:t>
      </w:r>
      <w:r w:rsidR="00AD42C6">
        <w:rPr>
          <w:bCs/>
        </w:rPr>
        <w:t>a</w:t>
      </w:r>
      <w:r>
        <w:rPr>
          <w:bCs/>
        </w:rPr>
        <w:t>cceptance</w:t>
      </w:r>
      <w:r w:rsidR="00AD42C6">
        <w:rPr>
          <w:bCs/>
        </w:rPr>
        <w:t>”</w:t>
      </w:r>
      <w:r>
        <w:rPr>
          <w:bCs/>
        </w:rPr>
        <w:t xml:space="preserve"> process; segregation of duties; formal authorization for budget reallocations; consistent integration of risk management in all projects; discrepancies between scope of works and actual works completed; timely closure of projects; and adherence to UNOPS environmental management and health and safety policies;</w:t>
      </w:r>
    </w:p>
    <w:p w14:paraId="4812AD7D" w14:textId="77777777" w:rsidR="00FC231E" w:rsidRPr="003311C0" w:rsidRDefault="00FC231E" w:rsidP="00FC231E">
      <w:pPr>
        <w:pStyle w:val="SingleTxt"/>
        <w:numPr>
          <w:ilvl w:val="0"/>
          <w:numId w:val="1"/>
        </w:numPr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left" w:pos="-426"/>
          <w:tab w:val="left" w:pos="-284"/>
          <w:tab w:val="left" w:pos="1800"/>
        </w:tabs>
        <w:spacing w:after="60"/>
        <w:ind w:right="0"/>
        <w:rPr>
          <w:bCs/>
        </w:rPr>
      </w:pPr>
      <w:r w:rsidRPr="003311C0">
        <w:rPr>
          <w:bCs/>
          <w:i/>
        </w:rPr>
        <w:t>Information technology,</w:t>
      </w:r>
      <w:r w:rsidRPr="003311C0">
        <w:rPr>
          <w:bCs/>
        </w:rPr>
        <w:t xml:space="preserve"> with recommendations made concerning:</w:t>
      </w:r>
      <w:r>
        <w:rPr>
          <w:bCs/>
        </w:rPr>
        <w:t xml:space="preserve"> transition to eSourcing; vulnerability of critical applications and infrastructure; and cyber security of UNOPS procurement systems</w:t>
      </w:r>
      <w:r w:rsidR="00D11257">
        <w:rPr>
          <w:bCs/>
        </w:rPr>
        <w:t xml:space="preserve">; </w:t>
      </w:r>
    </w:p>
    <w:p w14:paraId="0F966E1A" w14:textId="06348AF2" w:rsidR="00FC231E" w:rsidRPr="003311C0" w:rsidRDefault="00FC231E" w:rsidP="00FC231E">
      <w:pPr>
        <w:pStyle w:val="SingleTxt"/>
        <w:numPr>
          <w:ilvl w:val="0"/>
          <w:numId w:val="1"/>
        </w:numPr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left" w:pos="-426"/>
          <w:tab w:val="left" w:pos="-284"/>
          <w:tab w:val="left" w:pos="1800"/>
        </w:tabs>
        <w:spacing w:after="60"/>
        <w:ind w:right="0"/>
        <w:rPr>
          <w:bCs/>
        </w:rPr>
      </w:pPr>
      <w:r w:rsidRPr="003311C0">
        <w:rPr>
          <w:bCs/>
          <w:i/>
        </w:rPr>
        <w:t>General administration,</w:t>
      </w:r>
      <w:r w:rsidRPr="003311C0">
        <w:rPr>
          <w:bCs/>
        </w:rPr>
        <w:t xml:space="preserve"> with recommendations made concerning:</w:t>
      </w:r>
      <w:r>
        <w:rPr>
          <w:bCs/>
        </w:rPr>
        <w:t xml:space="preserve"> proper asset management; inventory and records of assets; guidance on the treatment of small value assets</w:t>
      </w:r>
      <w:r w:rsidRPr="003311C0">
        <w:rPr>
          <w:bCs/>
        </w:rPr>
        <w:t xml:space="preserve">; </w:t>
      </w:r>
      <w:r>
        <w:rPr>
          <w:bCs/>
        </w:rPr>
        <w:t xml:space="preserve">and proper utilization and upgrade of </w:t>
      </w:r>
      <w:r w:rsidR="00AD42C6">
        <w:rPr>
          <w:bCs/>
        </w:rPr>
        <w:t xml:space="preserve">enterprise resource planning </w:t>
      </w:r>
      <w:r>
        <w:rPr>
          <w:bCs/>
        </w:rPr>
        <w:t>asset module</w:t>
      </w:r>
      <w:r w:rsidR="00D11257">
        <w:rPr>
          <w:bCs/>
        </w:rPr>
        <w:t>;</w:t>
      </w:r>
    </w:p>
    <w:p w14:paraId="190A9F2F" w14:textId="77777777" w:rsidR="00FC231E" w:rsidRDefault="00FC231E" w:rsidP="00FC231E">
      <w:pPr>
        <w:pStyle w:val="SingleTxt"/>
        <w:numPr>
          <w:ilvl w:val="0"/>
          <w:numId w:val="1"/>
        </w:numPr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left" w:pos="-426"/>
          <w:tab w:val="left" w:pos="-284"/>
          <w:tab w:val="left" w:pos="1800"/>
        </w:tabs>
        <w:spacing w:after="60"/>
        <w:ind w:right="0"/>
        <w:rPr>
          <w:bCs/>
        </w:rPr>
      </w:pPr>
      <w:r w:rsidRPr="00981DA5">
        <w:rPr>
          <w:bCs/>
          <w:i/>
        </w:rPr>
        <w:t>Partnerships,</w:t>
      </w:r>
      <w:r w:rsidRPr="00981DA5">
        <w:rPr>
          <w:bCs/>
        </w:rPr>
        <w:t xml:space="preserve"> with recommendations made concerning: portfolio diversification planning; business acquisition strategic planning; and </w:t>
      </w:r>
      <w:r>
        <w:rPr>
          <w:bCs/>
        </w:rPr>
        <w:t>strategic alignment between UNOPS, specific office and client priorities; and</w:t>
      </w:r>
    </w:p>
    <w:p w14:paraId="47898958" w14:textId="77777777" w:rsidR="00FC231E" w:rsidRPr="00981DA5" w:rsidRDefault="00FC231E" w:rsidP="00FC231E">
      <w:pPr>
        <w:pStyle w:val="SingleTxt"/>
        <w:numPr>
          <w:ilvl w:val="0"/>
          <w:numId w:val="1"/>
        </w:numPr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left" w:pos="-426"/>
          <w:tab w:val="left" w:pos="-284"/>
          <w:tab w:val="left" w:pos="1800"/>
        </w:tabs>
        <w:spacing w:after="60"/>
        <w:ind w:right="0"/>
        <w:rPr>
          <w:bCs/>
        </w:rPr>
      </w:pPr>
      <w:r w:rsidRPr="00981DA5">
        <w:rPr>
          <w:bCs/>
          <w:i/>
        </w:rPr>
        <w:t>Security,</w:t>
      </w:r>
      <w:r w:rsidRPr="00981DA5">
        <w:rPr>
          <w:bCs/>
        </w:rPr>
        <w:t xml:space="preserve"> with recommendations made concerning: business continuity and disaster recovery plans</w:t>
      </w:r>
      <w:r>
        <w:rPr>
          <w:bCs/>
        </w:rPr>
        <w:t>.</w:t>
      </w:r>
      <w:r w:rsidRPr="00981DA5">
        <w:rPr>
          <w:bCs/>
        </w:rPr>
        <w:t xml:space="preserve"> </w:t>
      </w:r>
    </w:p>
    <w:p w14:paraId="0266C273" w14:textId="77777777" w:rsidR="00FC231E" w:rsidRPr="004D376B" w:rsidRDefault="00FC231E" w:rsidP="00FC231E">
      <w:pPr>
        <w:tabs>
          <w:tab w:val="left" w:pos="2820"/>
        </w:tabs>
        <w:spacing w:before="240"/>
        <w:rPr>
          <w:sz w:val="20"/>
          <w:szCs w:val="20"/>
        </w:rPr>
      </w:pPr>
      <w:r w:rsidRPr="004D376B">
        <w:rPr>
          <w:rFonts w:ascii="Times New Roman" w:hAnsi="Times New Roman"/>
          <w:sz w:val="20"/>
          <w:szCs w:val="20"/>
        </w:rPr>
        <w:t>Key areas for improvement identified in IAIG project audit reports in 2017 include:</w:t>
      </w:r>
    </w:p>
    <w:p w14:paraId="3B3E6236" w14:textId="77777777" w:rsidR="00BF07FD" w:rsidRPr="005B58DA" w:rsidRDefault="00BF07FD" w:rsidP="00BF07FD">
      <w:pPr>
        <w:pStyle w:val="SingleTxt"/>
        <w:numPr>
          <w:ilvl w:val="0"/>
          <w:numId w:val="2"/>
        </w:numPr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left" w:pos="-426"/>
          <w:tab w:val="left" w:pos="-284"/>
          <w:tab w:val="left" w:pos="1800"/>
        </w:tabs>
        <w:spacing w:after="60"/>
        <w:ind w:right="0"/>
        <w:rPr>
          <w:bCs/>
          <w:i/>
        </w:rPr>
      </w:pPr>
      <w:r w:rsidRPr="005B58DA">
        <w:rPr>
          <w:bCs/>
          <w:i/>
        </w:rPr>
        <w:t>Project/grant management,</w:t>
      </w:r>
      <w:r w:rsidRPr="005B58DA">
        <w:rPr>
          <w:bCs/>
        </w:rPr>
        <w:t xml:space="preserve"> with recommendations made concerning: compliance with reporting requirements</w:t>
      </w:r>
      <w:r>
        <w:rPr>
          <w:bCs/>
        </w:rPr>
        <w:t>;</w:t>
      </w:r>
      <w:r w:rsidRPr="005B58DA">
        <w:rPr>
          <w:bCs/>
        </w:rPr>
        <w:t xml:space="preserve"> </w:t>
      </w:r>
      <w:r>
        <w:rPr>
          <w:bCs/>
        </w:rPr>
        <w:t>the adequacy of</w:t>
      </w:r>
      <w:r w:rsidRPr="005B58DA">
        <w:rPr>
          <w:bCs/>
        </w:rPr>
        <w:t xml:space="preserve"> project oversight by project steering committees</w:t>
      </w:r>
      <w:r>
        <w:rPr>
          <w:bCs/>
        </w:rPr>
        <w:t>;</w:t>
      </w:r>
      <w:r w:rsidRPr="005B58DA">
        <w:rPr>
          <w:bCs/>
        </w:rPr>
        <w:t xml:space="preserve"> </w:t>
      </w:r>
      <w:r>
        <w:rPr>
          <w:bCs/>
        </w:rPr>
        <w:t xml:space="preserve">the appointment of project steering committees; the declaring of </w:t>
      </w:r>
      <w:r w:rsidRPr="005B58DA">
        <w:rPr>
          <w:bCs/>
        </w:rPr>
        <w:t>conflict of interest</w:t>
      </w:r>
      <w:r>
        <w:rPr>
          <w:bCs/>
        </w:rPr>
        <w:t>;</w:t>
      </w:r>
      <w:r w:rsidRPr="005B58DA">
        <w:rPr>
          <w:bCs/>
        </w:rPr>
        <w:t xml:space="preserve"> and </w:t>
      </w:r>
      <w:r>
        <w:rPr>
          <w:bCs/>
        </w:rPr>
        <w:t>the</w:t>
      </w:r>
      <w:r w:rsidRPr="005B58DA">
        <w:rPr>
          <w:bCs/>
        </w:rPr>
        <w:t xml:space="preserve"> </w:t>
      </w:r>
      <w:r>
        <w:rPr>
          <w:bCs/>
        </w:rPr>
        <w:t>publicizing</w:t>
      </w:r>
      <w:r w:rsidRPr="005B58DA">
        <w:rPr>
          <w:bCs/>
        </w:rPr>
        <w:t xml:space="preserve"> of grant opportunities;</w:t>
      </w:r>
    </w:p>
    <w:p w14:paraId="634A8071" w14:textId="77777777" w:rsidR="00BF07FD" w:rsidRPr="00975B95" w:rsidRDefault="00BF07FD" w:rsidP="00BF07FD">
      <w:pPr>
        <w:pStyle w:val="SingleTxt"/>
        <w:numPr>
          <w:ilvl w:val="0"/>
          <w:numId w:val="2"/>
        </w:numPr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left" w:pos="-426"/>
          <w:tab w:val="left" w:pos="-284"/>
          <w:tab w:val="left" w:pos="1800"/>
        </w:tabs>
        <w:spacing w:after="60"/>
        <w:ind w:right="0"/>
        <w:rPr>
          <w:bCs/>
        </w:rPr>
      </w:pPr>
      <w:r w:rsidRPr="005B58DA">
        <w:rPr>
          <w:bCs/>
          <w:i/>
        </w:rPr>
        <w:t>Finance and enterprise resource planning processes,</w:t>
      </w:r>
      <w:r w:rsidRPr="005B58DA">
        <w:rPr>
          <w:bCs/>
        </w:rPr>
        <w:t xml:space="preserve"> with recommendations made concerning:</w:t>
      </w:r>
      <w:r>
        <w:rPr>
          <w:bCs/>
        </w:rPr>
        <w:t xml:space="preserve"> correction of transactions causing duplicated expenditure</w:t>
      </w:r>
      <w:r w:rsidRPr="00975B95">
        <w:rPr>
          <w:bCs/>
        </w:rPr>
        <w:t>; maintenance of supporting documents with regards to expenditures; reporting to stakeholders</w:t>
      </w:r>
      <w:r w:rsidR="00D11257">
        <w:rPr>
          <w:bCs/>
        </w:rPr>
        <w:t>;</w:t>
      </w:r>
      <w:r w:rsidRPr="00975B95">
        <w:rPr>
          <w:bCs/>
        </w:rPr>
        <w:t xml:space="preserve"> and payments made outside of contract periods;</w:t>
      </w:r>
    </w:p>
    <w:p w14:paraId="3C2E6331" w14:textId="77777777" w:rsidR="00BF07FD" w:rsidRPr="003311C0" w:rsidRDefault="00BF07FD" w:rsidP="00BF07FD">
      <w:pPr>
        <w:pStyle w:val="SingleTxt"/>
        <w:numPr>
          <w:ilvl w:val="0"/>
          <w:numId w:val="2"/>
        </w:numPr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left" w:pos="-426"/>
          <w:tab w:val="left" w:pos="-284"/>
          <w:tab w:val="left" w:pos="1800"/>
        </w:tabs>
        <w:spacing w:after="60"/>
        <w:ind w:right="0"/>
        <w:rPr>
          <w:bCs/>
        </w:rPr>
      </w:pPr>
      <w:r w:rsidRPr="003311C0">
        <w:rPr>
          <w:bCs/>
          <w:i/>
        </w:rPr>
        <w:t>Procurement,</w:t>
      </w:r>
      <w:r w:rsidRPr="003311C0">
        <w:rPr>
          <w:bCs/>
        </w:rPr>
        <w:t xml:space="preserve"> </w:t>
      </w:r>
      <w:r w:rsidRPr="00BF103B">
        <w:rPr>
          <w:bCs/>
        </w:rPr>
        <w:t>with recommendations made concerning:</w:t>
      </w:r>
      <w:r w:rsidRPr="00BF103B">
        <w:t xml:space="preserve"> </w:t>
      </w:r>
      <w:r>
        <w:t>compliance with procurement procedures; definition of roles and responsibilities in the procurement team</w:t>
      </w:r>
      <w:r w:rsidR="00D11257">
        <w:t>;</w:t>
      </w:r>
      <w:r>
        <w:t xml:space="preserve"> and procurement planning;</w:t>
      </w:r>
    </w:p>
    <w:p w14:paraId="5AA0171B" w14:textId="77777777" w:rsidR="00BF07FD" w:rsidRPr="003311C0" w:rsidRDefault="00BF07FD" w:rsidP="00BF07FD">
      <w:pPr>
        <w:pStyle w:val="SingleTxt"/>
        <w:numPr>
          <w:ilvl w:val="0"/>
          <w:numId w:val="2"/>
        </w:numPr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left" w:pos="-426"/>
          <w:tab w:val="left" w:pos="-284"/>
          <w:tab w:val="left" w:pos="1800"/>
        </w:tabs>
        <w:spacing w:after="60"/>
        <w:ind w:right="0"/>
        <w:rPr>
          <w:bCs/>
        </w:rPr>
      </w:pPr>
      <w:r w:rsidRPr="003311C0">
        <w:rPr>
          <w:bCs/>
          <w:i/>
        </w:rPr>
        <w:t>Human resources,</w:t>
      </w:r>
      <w:r w:rsidRPr="003311C0">
        <w:rPr>
          <w:bCs/>
        </w:rPr>
        <w:t xml:space="preserve"> </w:t>
      </w:r>
      <w:r>
        <w:rPr>
          <w:bCs/>
        </w:rPr>
        <w:t>with recommendations</w:t>
      </w:r>
      <w:r w:rsidRPr="00BF103B">
        <w:rPr>
          <w:bCs/>
        </w:rPr>
        <w:t xml:space="preserve"> made</w:t>
      </w:r>
      <w:r>
        <w:rPr>
          <w:bCs/>
        </w:rPr>
        <w:t xml:space="preserve"> </w:t>
      </w:r>
      <w:r w:rsidR="00D11257" w:rsidRPr="00BF103B">
        <w:rPr>
          <w:bCs/>
        </w:rPr>
        <w:t>concerning:</w:t>
      </w:r>
      <w:r>
        <w:rPr>
          <w:bCs/>
        </w:rPr>
        <w:t xml:space="preserve"> compliance with recruitment procedures; </w:t>
      </w:r>
      <w:r w:rsidR="00D11257">
        <w:rPr>
          <w:bCs/>
        </w:rPr>
        <w:t xml:space="preserve">and the </w:t>
      </w:r>
      <w:r>
        <w:rPr>
          <w:bCs/>
        </w:rPr>
        <w:t>maintenance of personnel files;</w:t>
      </w:r>
    </w:p>
    <w:p w14:paraId="4AA34B83" w14:textId="77777777" w:rsidR="00BF07FD" w:rsidRPr="003311C0" w:rsidRDefault="00BF07FD" w:rsidP="00BF07FD">
      <w:pPr>
        <w:pStyle w:val="SingleTxt"/>
        <w:numPr>
          <w:ilvl w:val="0"/>
          <w:numId w:val="2"/>
        </w:numPr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left" w:pos="-426"/>
          <w:tab w:val="left" w:pos="-284"/>
          <w:tab w:val="left" w:pos="1800"/>
        </w:tabs>
        <w:spacing w:after="60"/>
        <w:ind w:right="0"/>
        <w:rPr>
          <w:bCs/>
        </w:rPr>
      </w:pPr>
      <w:r w:rsidRPr="003311C0">
        <w:rPr>
          <w:bCs/>
          <w:i/>
        </w:rPr>
        <w:t>General administration (asset management),</w:t>
      </w:r>
      <w:r w:rsidRPr="003311C0">
        <w:rPr>
          <w:bCs/>
        </w:rPr>
        <w:t xml:space="preserve"> </w:t>
      </w:r>
      <w:r w:rsidRPr="00BF103B">
        <w:rPr>
          <w:bCs/>
        </w:rPr>
        <w:t xml:space="preserve">with recommendations made </w:t>
      </w:r>
      <w:r w:rsidR="00D11257" w:rsidRPr="00BF103B">
        <w:rPr>
          <w:bCs/>
        </w:rPr>
        <w:t>concerning</w:t>
      </w:r>
      <w:r w:rsidR="00D11257">
        <w:rPr>
          <w:bCs/>
        </w:rPr>
        <w:t xml:space="preserve"> </w:t>
      </w:r>
      <w:r>
        <w:rPr>
          <w:bCs/>
        </w:rPr>
        <w:t>the maintenance of a detailed inventory list; and</w:t>
      </w:r>
    </w:p>
    <w:p w14:paraId="7594BF39" w14:textId="77777777" w:rsidR="00BF07FD" w:rsidRPr="003311C0" w:rsidRDefault="00BF07FD" w:rsidP="00BF07FD">
      <w:pPr>
        <w:pStyle w:val="SingleTxt"/>
        <w:numPr>
          <w:ilvl w:val="0"/>
          <w:numId w:val="2"/>
        </w:numPr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clear" w:pos="4622"/>
          <w:tab w:val="clear" w:pos="5098"/>
          <w:tab w:val="clear" w:pos="5573"/>
          <w:tab w:val="clear" w:pos="6048"/>
          <w:tab w:val="left" w:pos="-426"/>
          <w:tab w:val="left" w:pos="-284"/>
          <w:tab w:val="left" w:pos="1800"/>
        </w:tabs>
        <w:spacing w:after="60"/>
        <w:ind w:right="0"/>
        <w:rPr>
          <w:bCs/>
        </w:rPr>
      </w:pPr>
      <w:r w:rsidRPr="003311C0">
        <w:rPr>
          <w:bCs/>
          <w:i/>
        </w:rPr>
        <w:lastRenderedPageBreak/>
        <w:t>General administration (information management),</w:t>
      </w:r>
      <w:r w:rsidRPr="003311C0">
        <w:rPr>
          <w:bCs/>
        </w:rPr>
        <w:t xml:space="preserve"> </w:t>
      </w:r>
      <w:r w:rsidRPr="00BF103B">
        <w:rPr>
          <w:bCs/>
        </w:rPr>
        <w:t xml:space="preserve">with recommendations made concerning </w:t>
      </w:r>
      <w:r w:rsidRPr="00BF103B">
        <w:t>the maintenance of documentation</w:t>
      </w:r>
      <w:r>
        <w:rPr>
          <w:bCs/>
        </w:rPr>
        <w:t xml:space="preserve"> and the preparation of field visit reports.</w:t>
      </w:r>
    </w:p>
    <w:sectPr w:rsidR="00BF07FD" w:rsidRPr="003311C0" w:rsidSect="00882905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D9B5A" w14:textId="77777777" w:rsidR="009D6048" w:rsidRDefault="009D6048" w:rsidP="00FC231E">
      <w:pPr>
        <w:spacing w:after="0" w:line="240" w:lineRule="auto"/>
      </w:pPr>
      <w:r>
        <w:separator/>
      </w:r>
    </w:p>
  </w:endnote>
  <w:endnote w:type="continuationSeparator" w:id="0">
    <w:p w14:paraId="3183D437" w14:textId="77777777" w:rsidR="009D6048" w:rsidRDefault="009D6048" w:rsidP="00FC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5EFBB" w14:textId="77777777" w:rsidR="009D6048" w:rsidRDefault="009D6048" w:rsidP="00FC231E">
      <w:pPr>
        <w:spacing w:after="0" w:line="240" w:lineRule="auto"/>
      </w:pPr>
      <w:r>
        <w:separator/>
      </w:r>
    </w:p>
  </w:footnote>
  <w:footnote w:type="continuationSeparator" w:id="0">
    <w:p w14:paraId="70C58922" w14:textId="77777777" w:rsidR="009D6048" w:rsidRDefault="009D6048" w:rsidP="00FC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FC2D" w14:textId="77777777" w:rsidR="00E77D4E" w:rsidRDefault="00FC231E" w:rsidP="00E77D4E">
    <w:r>
      <w:rPr>
        <w:rFonts w:ascii="Arial" w:hAnsi="Arial" w:cs="Arial"/>
        <w:noProof/>
        <w:color w:val="000000"/>
        <w:sz w:val="20"/>
        <w:szCs w:val="20"/>
        <w:lang w:val="en-US"/>
      </w:rPr>
      <w:drawing>
        <wp:inline distT="0" distB="0" distL="0" distR="0" wp14:anchorId="6CA2B54A" wp14:editId="3911BA57">
          <wp:extent cx="2981325" cy="638175"/>
          <wp:effectExtent l="0" t="0" r="9525" b="952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E63A97" w14:textId="77777777" w:rsidR="00E77D4E" w:rsidRDefault="00FC231E" w:rsidP="00E77D4E">
    <w:pPr>
      <w:spacing w:after="0" w:line="240" w:lineRule="auto"/>
      <w:rPr>
        <w:rFonts w:ascii="Times New Roman" w:hAnsi="Times New Roman"/>
        <w:sz w:val="20"/>
        <w:szCs w:val="20"/>
      </w:rPr>
    </w:pPr>
    <w:r w:rsidRPr="00487431">
      <w:rPr>
        <w:rFonts w:ascii="Times New Roman" w:hAnsi="Times New Roman"/>
        <w:sz w:val="20"/>
        <w:szCs w:val="20"/>
      </w:rPr>
      <w:t>Internal Audit and Investigation</w:t>
    </w:r>
    <w:r>
      <w:rPr>
        <w:rFonts w:ascii="Times New Roman" w:hAnsi="Times New Roman"/>
        <w:sz w:val="20"/>
        <w:szCs w:val="20"/>
      </w:rPr>
      <w:t>s</w:t>
    </w:r>
    <w:r w:rsidRPr="00487431">
      <w:rPr>
        <w:rFonts w:ascii="Times New Roman" w:hAnsi="Times New Roman"/>
        <w:sz w:val="20"/>
        <w:szCs w:val="20"/>
      </w:rPr>
      <w:t xml:space="preserve"> Group</w:t>
    </w:r>
  </w:p>
  <w:p w14:paraId="07629072" w14:textId="77777777" w:rsidR="00CF0B73" w:rsidRPr="00E77D4E" w:rsidRDefault="00FC231E" w:rsidP="00E77D4E">
    <w:pPr>
      <w:tabs>
        <w:tab w:val="right" w:pos="8505"/>
      </w:tabs>
      <w:spacing w:after="0" w:line="240" w:lineRule="auto"/>
      <w:rPr>
        <w:rFonts w:ascii="Times New Roman" w:hAnsi="Times New Roman"/>
        <w:b/>
        <w:sz w:val="20"/>
        <w:szCs w:val="20"/>
      </w:rPr>
    </w:pPr>
    <w:r w:rsidRPr="004D376B">
      <w:rPr>
        <w:rFonts w:ascii="Times New Roman" w:hAnsi="Times New Roman"/>
        <w:b/>
        <w:sz w:val="20"/>
        <w:szCs w:val="20"/>
      </w:rPr>
      <w:t>IAIG Activity Report for 2017</w:t>
    </w:r>
    <w:r>
      <w:rPr>
        <w:rFonts w:ascii="Times New Roman" w:hAnsi="Times New Roman"/>
        <w:b/>
        <w:sz w:val="20"/>
        <w:szCs w:val="20"/>
      </w:rPr>
      <w:tab/>
      <w:t>Annex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3053C"/>
    <w:multiLevelType w:val="hybridMultilevel"/>
    <w:tmpl w:val="0DBAF1A6"/>
    <w:lvl w:ilvl="0" w:tplc="0846E376">
      <w:start w:val="1"/>
      <w:numFmt w:val="lowerLetter"/>
      <w:lvlText w:val="%1)"/>
      <w:lvlJc w:val="left"/>
      <w:pPr>
        <w:ind w:left="346" w:hanging="346"/>
      </w:pPr>
      <w:rPr>
        <w:rFonts w:ascii="Times New Roman" w:eastAsia="Times New Roman" w:hAnsi="Times New Roman" w:cs="Times New Roman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1" w15:restartNumberingAfterBreak="0">
    <w:nsid w:val="3C9565B8"/>
    <w:multiLevelType w:val="hybridMultilevel"/>
    <w:tmpl w:val="4AC0FAE0"/>
    <w:lvl w:ilvl="0" w:tplc="EC343DD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C4"/>
    <w:rsid w:val="00012BA0"/>
    <w:rsid w:val="0043065D"/>
    <w:rsid w:val="00454E05"/>
    <w:rsid w:val="00472D80"/>
    <w:rsid w:val="004D376B"/>
    <w:rsid w:val="005B6782"/>
    <w:rsid w:val="00650164"/>
    <w:rsid w:val="006A5CA5"/>
    <w:rsid w:val="007F023D"/>
    <w:rsid w:val="009142A2"/>
    <w:rsid w:val="00954EBC"/>
    <w:rsid w:val="009C0873"/>
    <w:rsid w:val="009D6048"/>
    <w:rsid w:val="00AD42C6"/>
    <w:rsid w:val="00B410A6"/>
    <w:rsid w:val="00B550BA"/>
    <w:rsid w:val="00BF07FD"/>
    <w:rsid w:val="00C67960"/>
    <w:rsid w:val="00CA41C4"/>
    <w:rsid w:val="00D11257"/>
    <w:rsid w:val="00D245DB"/>
    <w:rsid w:val="00EF0682"/>
    <w:rsid w:val="00F039D5"/>
    <w:rsid w:val="00F04C29"/>
    <w:rsid w:val="00F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CFD4B"/>
  <w15:docId w15:val="{8799D26D-48A8-458B-8B7A-48B2B89F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1C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">
    <w:name w:val="__Single Txt"/>
    <w:basedOn w:val="Normal"/>
    <w:rsid w:val="00CA41C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1C4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31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2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31E"/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D42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2C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2C6"/>
    <w:rPr>
      <w:rFonts w:ascii="Calibri" w:eastAsia="Calibri" w:hAnsi="Calibri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2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2C6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SCHNALL</dc:creator>
  <cp:lastModifiedBy>Svetlana Iazykova</cp:lastModifiedBy>
  <cp:revision>2</cp:revision>
  <dcterms:created xsi:type="dcterms:W3CDTF">2018-04-23T16:05:00Z</dcterms:created>
  <dcterms:modified xsi:type="dcterms:W3CDTF">2018-04-23T16:05:00Z</dcterms:modified>
</cp:coreProperties>
</file>