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722" w:rsidRPr="00795722" w:rsidRDefault="00450F4D" w:rsidP="00795722">
      <w:pPr>
        <w:jc w:val="center"/>
        <w:rPr>
          <w:rFonts w:ascii="Times New Roman" w:hAnsi="Times New Roman" w:cs="Times New Roman"/>
          <w:b/>
          <w:u w:val="single"/>
        </w:rPr>
      </w:pPr>
      <w:bookmarkStart w:id="0" w:name="_Hlk517867586"/>
      <w:r>
        <w:rPr>
          <w:rFonts w:ascii="Times New Roman" w:hAnsi="Times New Roman" w:cs="Times New Roman"/>
          <w:b/>
          <w:u w:val="single"/>
        </w:rPr>
        <w:t>July 10,</w:t>
      </w:r>
      <w:r w:rsidR="00795722" w:rsidRPr="00795722">
        <w:rPr>
          <w:rFonts w:ascii="Times New Roman" w:hAnsi="Times New Roman" w:cs="Times New Roman"/>
          <w:b/>
          <w:u w:val="single"/>
        </w:rPr>
        <w:t xml:space="preserve"> 2018</w:t>
      </w:r>
    </w:p>
    <w:p w:rsidR="00795722" w:rsidRPr="00795722" w:rsidRDefault="00795722">
      <w:pPr>
        <w:rPr>
          <w:rFonts w:ascii="Times New Roman" w:hAnsi="Times New Roman" w:cs="Times New Roman"/>
          <w:b/>
          <w:u w:val="single"/>
        </w:rPr>
      </w:pPr>
    </w:p>
    <w:p w:rsidR="00734D88" w:rsidRPr="00EB707C" w:rsidRDefault="0052794C">
      <w:pPr>
        <w:rPr>
          <w:rFonts w:ascii="Times New Roman" w:hAnsi="Times New Roman" w:cs="Times New Roman"/>
        </w:rPr>
      </w:pPr>
      <w:r w:rsidRPr="00EB707C">
        <w:rPr>
          <w:rFonts w:ascii="Times New Roman" w:hAnsi="Times New Roman" w:cs="Times New Roman"/>
        </w:rPr>
        <w:t xml:space="preserve">Annex. </w:t>
      </w:r>
      <w:r w:rsidR="00AB066F">
        <w:rPr>
          <w:rFonts w:ascii="Times New Roman" w:hAnsi="Times New Roman" w:cs="Times New Roman"/>
        </w:rPr>
        <w:t xml:space="preserve"> </w:t>
      </w:r>
      <w:r w:rsidRPr="00EB707C">
        <w:rPr>
          <w:rFonts w:ascii="Times New Roman" w:hAnsi="Times New Roman" w:cs="Times New Roman"/>
        </w:rPr>
        <w:t xml:space="preserve">Lessons Learned from Implementation of UNDP </w:t>
      </w:r>
      <w:r w:rsidR="00462986">
        <w:rPr>
          <w:rFonts w:ascii="Times New Roman" w:hAnsi="Times New Roman" w:cs="Times New Roman"/>
        </w:rPr>
        <w:t>G</w:t>
      </w:r>
      <w:r w:rsidRPr="00EB707C">
        <w:rPr>
          <w:rFonts w:ascii="Times New Roman" w:hAnsi="Times New Roman" w:cs="Times New Roman"/>
        </w:rPr>
        <w:t xml:space="preserve">ender </w:t>
      </w:r>
      <w:r w:rsidR="00462986">
        <w:rPr>
          <w:rFonts w:ascii="Times New Roman" w:hAnsi="Times New Roman" w:cs="Times New Roman"/>
        </w:rPr>
        <w:t>E</w:t>
      </w:r>
      <w:r w:rsidRPr="00EB707C">
        <w:rPr>
          <w:rFonts w:ascii="Times New Roman" w:hAnsi="Times New Roman" w:cs="Times New Roman"/>
        </w:rPr>
        <w:t xml:space="preserve">quality </w:t>
      </w:r>
      <w:r w:rsidR="00462986">
        <w:rPr>
          <w:rFonts w:ascii="Times New Roman" w:hAnsi="Times New Roman" w:cs="Times New Roman"/>
        </w:rPr>
        <w:t>S</w:t>
      </w:r>
      <w:r w:rsidRPr="00EB707C">
        <w:rPr>
          <w:rFonts w:ascii="Times New Roman" w:hAnsi="Times New Roman" w:cs="Times New Roman"/>
        </w:rPr>
        <w:t>trategy 2014-2017</w:t>
      </w:r>
      <w:bookmarkStart w:id="1" w:name="_GoBack"/>
      <w:bookmarkEnd w:id="1"/>
    </w:p>
    <w:p w:rsidR="0052794C" w:rsidRDefault="0052794C"/>
    <w:p w:rsidR="00AB066F" w:rsidRPr="00B62979" w:rsidRDefault="00AB066F">
      <w:pPr>
        <w:rPr>
          <w:rFonts w:ascii="Times New Roman" w:hAnsi="Times New Roman" w:cs="Times New Roman"/>
          <w:b/>
          <w:sz w:val="22"/>
          <w:szCs w:val="22"/>
          <w:u w:val="single"/>
        </w:rPr>
      </w:pPr>
      <w:r w:rsidRPr="00B62979">
        <w:rPr>
          <w:rFonts w:ascii="Times New Roman" w:hAnsi="Times New Roman" w:cs="Times New Roman"/>
          <w:b/>
          <w:sz w:val="22"/>
          <w:szCs w:val="22"/>
          <w:u w:val="single"/>
        </w:rPr>
        <w:t>Programmatic Lessons Learned</w:t>
      </w:r>
    </w:p>
    <w:p w:rsidR="00DA3593" w:rsidRDefault="00DA3593" w:rsidP="00DA3593"/>
    <w:p w:rsidR="00DA3593" w:rsidRDefault="00DA3593" w:rsidP="008E6A14">
      <w:pPr>
        <w:pStyle w:val="ListParagraph"/>
        <w:numPr>
          <w:ilvl w:val="0"/>
          <w:numId w:val="9"/>
        </w:numPr>
        <w:jc w:val="both"/>
        <w:rPr>
          <w:rFonts w:ascii="Times New Roman" w:eastAsia="Times New Roman" w:hAnsi="Times New Roman" w:cs="Times New Roman"/>
          <w:sz w:val="22"/>
          <w:szCs w:val="22"/>
        </w:rPr>
      </w:pPr>
      <w:r w:rsidRPr="004D4CB2">
        <w:rPr>
          <w:rFonts w:ascii="Times New Roman" w:hAnsi="Times New Roman" w:cs="Times New Roman"/>
          <w:sz w:val="22"/>
          <w:szCs w:val="22"/>
        </w:rPr>
        <w:t xml:space="preserve">The implementation of </w:t>
      </w:r>
      <w:r w:rsidR="0031320C">
        <w:rPr>
          <w:rFonts w:ascii="Times New Roman" w:hAnsi="Times New Roman" w:cs="Times New Roman"/>
          <w:sz w:val="22"/>
          <w:szCs w:val="22"/>
        </w:rPr>
        <w:t>the UNDP Gender Equality S</w:t>
      </w:r>
      <w:r w:rsidRPr="004D4CB2">
        <w:rPr>
          <w:rFonts w:ascii="Times New Roman" w:hAnsi="Times New Roman" w:cs="Times New Roman"/>
          <w:sz w:val="22"/>
          <w:szCs w:val="22"/>
        </w:rPr>
        <w:t>trategy 2014-2017 revealed k</w:t>
      </w:r>
      <w:r w:rsidR="008E6A14">
        <w:rPr>
          <w:rFonts w:ascii="Times New Roman" w:hAnsi="Times New Roman" w:cs="Times New Roman"/>
          <w:sz w:val="22"/>
          <w:szCs w:val="22"/>
        </w:rPr>
        <w:t>ey lessons learned that inform</w:t>
      </w:r>
      <w:r w:rsidR="00DE154B">
        <w:rPr>
          <w:rFonts w:ascii="Times New Roman" w:hAnsi="Times New Roman" w:cs="Times New Roman"/>
          <w:sz w:val="22"/>
          <w:szCs w:val="22"/>
        </w:rPr>
        <w:t>ed</w:t>
      </w:r>
      <w:r w:rsidR="008E6A14">
        <w:rPr>
          <w:rFonts w:ascii="Times New Roman" w:hAnsi="Times New Roman" w:cs="Times New Roman"/>
          <w:sz w:val="22"/>
          <w:szCs w:val="22"/>
        </w:rPr>
        <w:t xml:space="preserve"> the development of the Gender Equality S</w:t>
      </w:r>
      <w:r w:rsidRPr="004D4CB2">
        <w:rPr>
          <w:rFonts w:ascii="Times New Roman" w:hAnsi="Times New Roman" w:cs="Times New Roman"/>
          <w:sz w:val="22"/>
          <w:szCs w:val="22"/>
        </w:rPr>
        <w:t xml:space="preserve">trategy 2018-2021. Those lessons learned include </w:t>
      </w:r>
      <w:r w:rsidRPr="004D4CB2">
        <w:rPr>
          <w:rFonts w:ascii="Times New Roman" w:eastAsia="Times New Roman" w:hAnsi="Times New Roman" w:cs="Times New Roman"/>
          <w:sz w:val="22"/>
          <w:szCs w:val="22"/>
        </w:rPr>
        <w:t>the findings, conclusions and recommendations of the</w:t>
      </w:r>
      <w:r w:rsidR="00B62979">
        <w:rPr>
          <w:rFonts w:ascii="Times New Roman" w:eastAsia="Times New Roman" w:hAnsi="Times New Roman" w:cs="Times New Roman"/>
          <w:sz w:val="22"/>
          <w:szCs w:val="22"/>
        </w:rPr>
        <w:t xml:space="preserve"> 2017</w:t>
      </w:r>
      <w:r w:rsidRPr="004D4CB2">
        <w:rPr>
          <w:rFonts w:ascii="Times New Roman" w:eastAsia="Times New Roman" w:hAnsi="Times New Roman" w:cs="Times New Roman"/>
          <w:sz w:val="22"/>
          <w:szCs w:val="22"/>
        </w:rPr>
        <w:t xml:space="preserve"> independent evaluation of the UNDP Strategic Plan</w:t>
      </w:r>
      <w:r w:rsidR="00B62979">
        <w:rPr>
          <w:rFonts w:ascii="Times New Roman" w:eastAsia="Times New Roman" w:hAnsi="Times New Roman" w:cs="Times New Roman"/>
          <w:sz w:val="22"/>
          <w:szCs w:val="22"/>
        </w:rPr>
        <w:t xml:space="preserve"> and global and regional programmes (2014-2017)</w:t>
      </w:r>
      <w:r w:rsidRPr="004D4CB2">
        <w:rPr>
          <w:rFonts w:ascii="Times New Roman" w:eastAsia="Times New Roman" w:hAnsi="Times New Roman" w:cs="Times New Roman"/>
          <w:sz w:val="22"/>
          <w:szCs w:val="22"/>
        </w:rPr>
        <w:t xml:space="preserve"> and </w:t>
      </w:r>
      <w:r w:rsidR="00DE154B">
        <w:rPr>
          <w:rFonts w:ascii="Times New Roman" w:eastAsia="Times New Roman" w:hAnsi="Times New Roman" w:cs="Times New Roman"/>
          <w:sz w:val="22"/>
          <w:szCs w:val="22"/>
        </w:rPr>
        <w:t xml:space="preserve">the </w:t>
      </w:r>
      <w:r w:rsidR="008E6A14">
        <w:rPr>
          <w:rFonts w:ascii="Times New Roman" w:eastAsia="Times New Roman" w:hAnsi="Times New Roman" w:cs="Times New Roman"/>
          <w:sz w:val="22"/>
          <w:szCs w:val="22"/>
        </w:rPr>
        <w:t>2015 independent evaluation of UNDP c</w:t>
      </w:r>
      <w:r w:rsidRPr="004D4CB2">
        <w:rPr>
          <w:rFonts w:ascii="Times New Roman" w:eastAsia="Times New Roman" w:hAnsi="Times New Roman" w:cs="Times New Roman"/>
          <w:sz w:val="22"/>
          <w:szCs w:val="22"/>
        </w:rPr>
        <w:t xml:space="preserve">ontribution to gender equality and women’s empowerment. </w:t>
      </w:r>
    </w:p>
    <w:p w:rsidR="00DA3593" w:rsidRPr="004D4CB2" w:rsidRDefault="00DA3593" w:rsidP="00DA3593">
      <w:pPr>
        <w:pStyle w:val="ListParagraph"/>
        <w:rPr>
          <w:rFonts w:ascii="Times New Roman" w:eastAsia="Times New Roman" w:hAnsi="Times New Roman" w:cs="Times New Roman"/>
          <w:sz w:val="22"/>
          <w:szCs w:val="22"/>
        </w:rPr>
      </w:pPr>
    </w:p>
    <w:p w:rsidR="00DA3593" w:rsidRPr="007F1465" w:rsidRDefault="00DA3593" w:rsidP="00DA3593">
      <w:pPr>
        <w:pStyle w:val="ListParagraph"/>
        <w:numPr>
          <w:ilvl w:val="0"/>
          <w:numId w:val="9"/>
        </w:numPr>
        <w:jc w:val="both"/>
        <w:rPr>
          <w:rFonts w:ascii="Times New Roman" w:hAnsi="Times New Roman"/>
          <w:sz w:val="22"/>
          <w:szCs w:val="22"/>
        </w:rPr>
      </w:pPr>
      <w:r>
        <w:rPr>
          <w:rFonts w:ascii="Times New Roman" w:hAnsi="Times New Roman" w:cs="Times New Roman"/>
          <w:sz w:val="22"/>
          <w:szCs w:val="22"/>
        </w:rPr>
        <w:t xml:space="preserve">Over the Strategic Plan period 2014-2017, </w:t>
      </w:r>
      <w:r w:rsidRPr="00EB707C">
        <w:rPr>
          <w:rFonts w:ascii="Times New Roman" w:hAnsi="Times New Roman" w:cs="Times New Roman"/>
          <w:sz w:val="22"/>
          <w:szCs w:val="22"/>
        </w:rPr>
        <w:t>the majority of UNDP</w:t>
      </w:r>
      <w:r w:rsidR="008E6A14">
        <w:rPr>
          <w:rFonts w:ascii="Times New Roman" w:hAnsi="Times New Roman" w:cs="Times New Roman"/>
          <w:sz w:val="22"/>
          <w:szCs w:val="22"/>
        </w:rPr>
        <w:t>’s</w:t>
      </w:r>
      <w:r w:rsidRPr="00EB707C">
        <w:rPr>
          <w:rFonts w:ascii="Times New Roman" w:hAnsi="Times New Roman" w:cs="Times New Roman"/>
          <w:sz w:val="22"/>
          <w:szCs w:val="22"/>
        </w:rPr>
        <w:t xml:space="preserve"> gender equality results were reported under Strategic Plan outcomes 1 (Growth and development are inclusive and sustainable, incorporating productive capacities that create employment and livelihoods for the poor and excluded) and 2 (Citizens’ expectations for voice, development, the rule of law and accountability are met by stronger systems of democratic governance). </w:t>
      </w:r>
    </w:p>
    <w:p w:rsidR="00DA3593" w:rsidRPr="00216C18" w:rsidRDefault="00DA3593" w:rsidP="00DA3593">
      <w:pPr>
        <w:pStyle w:val="ListParagraph"/>
        <w:rPr>
          <w:rFonts w:ascii="Times New Roman" w:hAnsi="Times New Roman" w:cs="Times New Roman"/>
          <w:sz w:val="22"/>
          <w:szCs w:val="22"/>
        </w:rPr>
      </w:pPr>
    </w:p>
    <w:p w:rsidR="00DA3593" w:rsidRPr="00D55819" w:rsidRDefault="00DE154B" w:rsidP="00860C4D">
      <w:pPr>
        <w:pStyle w:val="ListParagraph"/>
        <w:numPr>
          <w:ilvl w:val="0"/>
          <w:numId w:val="9"/>
        </w:numPr>
        <w:jc w:val="both"/>
        <w:rPr>
          <w:rFonts w:ascii="Times New Roman" w:hAnsi="Times New Roman" w:cs="Times New Roman"/>
          <w:sz w:val="22"/>
          <w:szCs w:val="22"/>
        </w:rPr>
      </w:pPr>
      <w:r>
        <w:rPr>
          <w:rFonts w:ascii="Times New Roman" w:hAnsi="Times New Roman" w:cs="Times New Roman"/>
          <w:sz w:val="22"/>
          <w:szCs w:val="22"/>
        </w:rPr>
        <w:t>Many of the results reported</w:t>
      </w:r>
      <w:r w:rsidR="00DA3593" w:rsidRPr="00D55819">
        <w:rPr>
          <w:rFonts w:ascii="Times New Roman" w:hAnsi="Times New Roman" w:cs="Times New Roman"/>
          <w:sz w:val="22"/>
          <w:szCs w:val="22"/>
        </w:rPr>
        <w:t xml:space="preserve"> under Outcome 1 related to efforts to promote women’s economic empowerment through livelihood</w:t>
      </w:r>
      <w:r w:rsidR="00087BF1">
        <w:rPr>
          <w:rFonts w:ascii="Times New Roman" w:hAnsi="Times New Roman" w:cs="Times New Roman"/>
          <w:sz w:val="22"/>
          <w:szCs w:val="22"/>
        </w:rPr>
        <w:t xml:space="preserve"> programming</w:t>
      </w:r>
      <w:r w:rsidR="00DA3593" w:rsidRPr="00D55819">
        <w:rPr>
          <w:rFonts w:ascii="Times New Roman" w:hAnsi="Times New Roman" w:cs="Times New Roman"/>
          <w:sz w:val="22"/>
          <w:szCs w:val="22"/>
        </w:rPr>
        <w:t>. Overall, during 2014-2017, women accounted for 51 percent of 37.3 million people who benefited from improved livelihoods initiatives in 120 countries.</w:t>
      </w:r>
      <w:r w:rsidR="00B62979">
        <w:rPr>
          <w:rStyle w:val="FootnoteReference"/>
          <w:rFonts w:ascii="Times New Roman" w:hAnsi="Times New Roman" w:cs="Times New Roman"/>
          <w:sz w:val="22"/>
          <w:szCs w:val="22"/>
        </w:rPr>
        <w:footnoteReference w:id="1"/>
      </w:r>
      <w:r w:rsidR="00DA3593" w:rsidRPr="00D55819">
        <w:rPr>
          <w:rFonts w:ascii="Times New Roman" w:hAnsi="Times New Roman" w:cs="Times New Roman"/>
          <w:sz w:val="22"/>
          <w:szCs w:val="22"/>
        </w:rPr>
        <w:t xml:space="preserve"> Of nearly 3 million new jobs created in 101 countries, 41 per cent </w:t>
      </w:r>
      <w:r w:rsidR="008E6A14">
        <w:rPr>
          <w:rFonts w:ascii="Times New Roman" w:hAnsi="Times New Roman" w:cs="Times New Roman"/>
          <w:sz w:val="22"/>
          <w:szCs w:val="22"/>
        </w:rPr>
        <w:t xml:space="preserve">went to </w:t>
      </w:r>
      <w:r w:rsidR="00DA3593" w:rsidRPr="00D55819">
        <w:rPr>
          <w:rFonts w:ascii="Times New Roman" w:hAnsi="Times New Roman" w:cs="Times New Roman"/>
          <w:sz w:val="22"/>
          <w:szCs w:val="22"/>
        </w:rPr>
        <w:t>women.</w:t>
      </w:r>
      <w:r w:rsidR="00B62979">
        <w:rPr>
          <w:rStyle w:val="FootnoteReference"/>
          <w:rFonts w:ascii="Times New Roman" w:hAnsi="Times New Roman" w:cs="Times New Roman"/>
          <w:sz w:val="22"/>
          <w:szCs w:val="22"/>
        </w:rPr>
        <w:footnoteReference w:id="2"/>
      </w:r>
      <w:r w:rsidR="00DA3593" w:rsidRPr="00D55819">
        <w:rPr>
          <w:rFonts w:ascii="Times New Roman" w:hAnsi="Times New Roman" w:cs="Times New Roman"/>
          <w:sz w:val="22"/>
          <w:szCs w:val="22"/>
        </w:rPr>
        <w:t xml:space="preserve"> </w:t>
      </w:r>
      <w:r w:rsidR="00D55819">
        <w:rPr>
          <w:rFonts w:ascii="Times New Roman" w:hAnsi="Times New Roman" w:cs="Times New Roman"/>
          <w:sz w:val="22"/>
          <w:szCs w:val="22"/>
        </w:rPr>
        <w:t xml:space="preserve"> </w:t>
      </w:r>
      <w:r w:rsidR="00DA3593" w:rsidRPr="00D55819">
        <w:rPr>
          <w:rFonts w:ascii="Times New Roman" w:hAnsi="Times New Roman" w:cs="Times New Roman"/>
          <w:sz w:val="22"/>
          <w:szCs w:val="22"/>
        </w:rPr>
        <w:t>For example, i</w:t>
      </w:r>
      <w:r w:rsidR="00DA3593" w:rsidRPr="00D55819">
        <w:rPr>
          <w:rFonts w:ascii="Times New Roman" w:eastAsia="Times New Roman" w:hAnsi="Times New Roman" w:cs="Times New Roman"/>
          <w:sz w:val="22"/>
          <w:szCs w:val="22"/>
        </w:rPr>
        <w:t>n India</w:t>
      </w:r>
      <w:r w:rsidR="008E6A14">
        <w:rPr>
          <w:rFonts w:ascii="Times New Roman" w:eastAsia="Times New Roman" w:hAnsi="Times New Roman" w:cs="Times New Roman"/>
          <w:sz w:val="22"/>
          <w:szCs w:val="22"/>
        </w:rPr>
        <w:t>,</w:t>
      </w:r>
      <w:r w:rsidR="00DA3593" w:rsidRPr="00D55819">
        <w:rPr>
          <w:rFonts w:ascii="Times New Roman" w:eastAsia="Times New Roman" w:hAnsi="Times New Roman" w:cs="Times New Roman"/>
          <w:sz w:val="22"/>
          <w:szCs w:val="22"/>
        </w:rPr>
        <w:t xml:space="preserve"> </w:t>
      </w:r>
      <w:r w:rsidR="00DA3593" w:rsidRPr="00D55819">
        <w:rPr>
          <w:rFonts w:ascii="Times New Roman" w:hAnsi="Times New Roman" w:cs="Times New Roman"/>
          <w:sz w:val="22"/>
          <w:szCs w:val="22"/>
        </w:rPr>
        <w:t xml:space="preserve">UNDP’s </w:t>
      </w:r>
      <w:r w:rsidR="00DA3593" w:rsidRPr="00D55819">
        <w:rPr>
          <w:rFonts w:ascii="Times New Roman" w:eastAsia="Times New Roman" w:hAnsi="Times New Roman" w:cs="Times New Roman"/>
          <w:sz w:val="22"/>
          <w:szCs w:val="22"/>
        </w:rPr>
        <w:t>skill</w:t>
      </w:r>
      <w:r w:rsidR="008E6A14">
        <w:rPr>
          <w:rFonts w:ascii="Times New Roman" w:eastAsia="Times New Roman" w:hAnsi="Times New Roman" w:cs="Times New Roman"/>
          <w:sz w:val="22"/>
          <w:szCs w:val="22"/>
        </w:rPr>
        <w:t>s</w:t>
      </w:r>
      <w:r w:rsidR="00DA3593" w:rsidRPr="00D55819">
        <w:rPr>
          <w:rFonts w:ascii="Times New Roman" w:eastAsia="Times New Roman" w:hAnsi="Times New Roman" w:cs="Times New Roman"/>
          <w:sz w:val="22"/>
          <w:szCs w:val="22"/>
        </w:rPr>
        <w:t xml:space="preserve"> and entrepreneurship support to women and girls under a public-private partnership model led to over 200,000</w:t>
      </w:r>
      <w:r w:rsidR="008E6A14">
        <w:rPr>
          <w:rFonts w:ascii="Times New Roman" w:eastAsia="Times New Roman" w:hAnsi="Times New Roman" w:cs="Times New Roman"/>
          <w:sz w:val="22"/>
          <w:szCs w:val="22"/>
        </w:rPr>
        <w:t xml:space="preserve"> women and girls</w:t>
      </w:r>
      <w:r w:rsidR="00DA3593" w:rsidRPr="00D55819">
        <w:rPr>
          <w:rFonts w:ascii="Times New Roman" w:eastAsia="Times New Roman" w:hAnsi="Times New Roman" w:cs="Times New Roman"/>
          <w:sz w:val="22"/>
          <w:szCs w:val="22"/>
        </w:rPr>
        <w:t xml:space="preserve"> </w:t>
      </w:r>
      <w:r w:rsidR="00130B4C">
        <w:rPr>
          <w:rFonts w:ascii="Times New Roman" w:eastAsia="Times New Roman" w:hAnsi="Times New Roman" w:cs="Times New Roman"/>
          <w:sz w:val="22"/>
          <w:szCs w:val="22"/>
        </w:rPr>
        <w:t xml:space="preserve">becoming </w:t>
      </w:r>
      <w:r w:rsidR="00DA3593" w:rsidRPr="00D55819">
        <w:rPr>
          <w:rFonts w:ascii="Times New Roman" w:eastAsia="Times New Roman" w:hAnsi="Times New Roman" w:cs="Times New Roman"/>
          <w:sz w:val="22"/>
          <w:szCs w:val="22"/>
        </w:rPr>
        <w:t>equipped for</w:t>
      </w:r>
      <w:r w:rsidR="008E6A14">
        <w:rPr>
          <w:rFonts w:ascii="Times New Roman" w:eastAsia="Times New Roman" w:hAnsi="Times New Roman" w:cs="Times New Roman"/>
          <w:sz w:val="22"/>
          <w:szCs w:val="22"/>
        </w:rPr>
        <w:t xml:space="preserve"> accessing the labour</w:t>
      </w:r>
      <w:r w:rsidR="00DA3593" w:rsidRPr="00D55819">
        <w:rPr>
          <w:rFonts w:ascii="Times New Roman" w:eastAsia="Times New Roman" w:hAnsi="Times New Roman" w:cs="Times New Roman"/>
          <w:sz w:val="22"/>
          <w:szCs w:val="22"/>
        </w:rPr>
        <w:t xml:space="preserve"> market and contributed to reducing structural barriers that </w:t>
      </w:r>
      <w:r w:rsidR="008E6A14">
        <w:rPr>
          <w:rFonts w:ascii="Times New Roman" w:eastAsia="Times New Roman" w:hAnsi="Times New Roman" w:cs="Times New Roman"/>
          <w:sz w:val="22"/>
          <w:szCs w:val="22"/>
        </w:rPr>
        <w:t>they</w:t>
      </w:r>
      <w:r w:rsidR="00DA3593" w:rsidRPr="00D55819">
        <w:rPr>
          <w:rFonts w:ascii="Times New Roman" w:eastAsia="Times New Roman" w:hAnsi="Times New Roman" w:cs="Times New Roman"/>
          <w:sz w:val="22"/>
          <w:szCs w:val="22"/>
        </w:rPr>
        <w:t xml:space="preserve"> face in realizing their full potential.</w:t>
      </w:r>
      <w:r w:rsidR="00B62979">
        <w:rPr>
          <w:rStyle w:val="FootnoteReference"/>
          <w:rFonts w:ascii="Times New Roman" w:eastAsia="Times New Roman" w:hAnsi="Times New Roman" w:cs="Times New Roman"/>
          <w:sz w:val="22"/>
          <w:szCs w:val="22"/>
        </w:rPr>
        <w:footnoteReference w:id="3"/>
      </w:r>
      <w:r w:rsidR="00DA3593" w:rsidRPr="00D55819">
        <w:rPr>
          <w:rFonts w:ascii="Times New Roman" w:eastAsia="Times New Roman" w:hAnsi="Times New Roman" w:cs="Times New Roman"/>
          <w:sz w:val="22"/>
          <w:szCs w:val="22"/>
        </w:rPr>
        <w:t xml:space="preserve"> </w:t>
      </w:r>
      <w:r w:rsidR="00DA3593" w:rsidRPr="00D55819">
        <w:rPr>
          <w:rFonts w:ascii="Times New Roman" w:hAnsi="Times New Roman" w:cs="Times New Roman"/>
          <w:sz w:val="22"/>
          <w:szCs w:val="22"/>
          <w:lang w:val="en"/>
        </w:rPr>
        <w:t xml:space="preserve">In Somalia, </w:t>
      </w:r>
      <w:r w:rsidR="00DA3593" w:rsidRPr="00D55819">
        <w:rPr>
          <w:rFonts w:ascii="Times New Roman" w:hAnsi="Times New Roman" w:cs="Times New Roman"/>
          <w:sz w:val="22"/>
          <w:szCs w:val="22"/>
        </w:rPr>
        <w:t>training</w:t>
      </w:r>
      <w:r w:rsidR="008E6A14">
        <w:rPr>
          <w:rFonts w:ascii="Times New Roman" w:hAnsi="Times New Roman" w:cs="Times New Roman"/>
          <w:sz w:val="22"/>
          <w:szCs w:val="22"/>
        </w:rPr>
        <w:t>s</w:t>
      </w:r>
      <w:r w:rsidR="00DA3593" w:rsidRPr="00D55819">
        <w:rPr>
          <w:rFonts w:ascii="Times New Roman" w:hAnsi="Times New Roman" w:cs="Times New Roman"/>
          <w:sz w:val="22"/>
          <w:szCs w:val="22"/>
        </w:rPr>
        <w:t xml:space="preserve"> on water harvesting techniques and fodder management for</w:t>
      </w:r>
      <w:r w:rsidR="008E6A14">
        <w:rPr>
          <w:rFonts w:ascii="Times New Roman" w:hAnsi="Times New Roman" w:cs="Times New Roman"/>
          <w:sz w:val="22"/>
          <w:szCs w:val="22"/>
        </w:rPr>
        <w:t xml:space="preserve"> women in</w:t>
      </w:r>
      <w:r w:rsidR="00DA3593" w:rsidRPr="00D55819">
        <w:rPr>
          <w:rFonts w:ascii="Times New Roman" w:hAnsi="Times New Roman" w:cs="Times New Roman"/>
          <w:sz w:val="22"/>
          <w:szCs w:val="22"/>
        </w:rPr>
        <w:t xml:space="preserve"> rural communit</w:t>
      </w:r>
      <w:r w:rsidR="008E6A14">
        <w:rPr>
          <w:rFonts w:ascii="Times New Roman" w:hAnsi="Times New Roman" w:cs="Times New Roman"/>
          <w:sz w:val="22"/>
          <w:szCs w:val="22"/>
        </w:rPr>
        <w:t>ies have had multiplier effects. W</w:t>
      </w:r>
      <w:r w:rsidR="00DA3593" w:rsidRPr="00D55819">
        <w:rPr>
          <w:rFonts w:ascii="Times New Roman" w:hAnsi="Times New Roman" w:cs="Times New Roman"/>
          <w:sz w:val="22"/>
          <w:szCs w:val="22"/>
        </w:rPr>
        <w:t xml:space="preserve">omen farmers </w:t>
      </w:r>
      <w:r w:rsidR="008E6A14">
        <w:rPr>
          <w:rFonts w:ascii="Times New Roman" w:hAnsi="Times New Roman" w:cs="Times New Roman"/>
          <w:sz w:val="22"/>
          <w:szCs w:val="22"/>
        </w:rPr>
        <w:t>are now</w:t>
      </w:r>
      <w:r w:rsidR="00DA3593" w:rsidRPr="00D55819">
        <w:rPr>
          <w:rFonts w:ascii="Times New Roman" w:hAnsi="Times New Roman" w:cs="Times New Roman"/>
          <w:sz w:val="22"/>
          <w:szCs w:val="22"/>
        </w:rPr>
        <w:t xml:space="preserve"> form</w:t>
      </w:r>
      <w:r w:rsidR="008E6A14">
        <w:rPr>
          <w:rFonts w:ascii="Times New Roman" w:hAnsi="Times New Roman" w:cs="Times New Roman"/>
          <w:sz w:val="22"/>
          <w:szCs w:val="22"/>
        </w:rPr>
        <w:t xml:space="preserve">ing cooperatives, </w:t>
      </w:r>
      <w:r w:rsidR="00DA3593" w:rsidRPr="00D55819">
        <w:rPr>
          <w:rFonts w:ascii="Times New Roman" w:hAnsi="Times New Roman" w:cs="Times New Roman"/>
          <w:sz w:val="22"/>
          <w:szCs w:val="22"/>
        </w:rPr>
        <w:t xml:space="preserve">in </w:t>
      </w:r>
      <w:r w:rsidR="008E6A14">
        <w:rPr>
          <w:rFonts w:ascii="Times New Roman" w:hAnsi="Times New Roman" w:cs="Times New Roman"/>
          <w:sz w:val="22"/>
          <w:szCs w:val="22"/>
        </w:rPr>
        <w:t>a context</w:t>
      </w:r>
      <w:r w:rsidR="00DA3593" w:rsidRPr="00D55819">
        <w:rPr>
          <w:rFonts w:ascii="Times New Roman" w:hAnsi="Times New Roman" w:cs="Times New Roman"/>
          <w:sz w:val="22"/>
          <w:szCs w:val="22"/>
        </w:rPr>
        <w:t xml:space="preserve"> where </w:t>
      </w:r>
      <w:r w:rsidR="008E6A14">
        <w:rPr>
          <w:rFonts w:ascii="Times New Roman" w:hAnsi="Times New Roman" w:cs="Times New Roman"/>
          <w:sz w:val="22"/>
          <w:szCs w:val="22"/>
        </w:rPr>
        <w:t>they</w:t>
      </w:r>
      <w:r w:rsidR="00DA3593" w:rsidRPr="00D55819">
        <w:rPr>
          <w:rFonts w:ascii="Times New Roman" w:hAnsi="Times New Roman" w:cs="Times New Roman"/>
          <w:sz w:val="22"/>
          <w:szCs w:val="22"/>
        </w:rPr>
        <w:t xml:space="preserve"> did not traditionally take the lead on food production.</w:t>
      </w:r>
      <w:r w:rsidR="005570B3">
        <w:rPr>
          <w:rStyle w:val="FootnoteReference"/>
          <w:rFonts w:ascii="Times New Roman" w:eastAsia="Times New Roman" w:hAnsi="Times New Roman" w:cs="Times New Roman"/>
          <w:sz w:val="22"/>
          <w:szCs w:val="22"/>
        </w:rPr>
        <w:footnoteReference w:id="4"/>
      </w:r>
    </w:p>
    <w:p w:rsidR="00DA3593" w:rsidRPr="00B73E22" w:rsidRDefault="00DA3593" w:rsidP="00DA3593">
      <w:pPr>
        <w:jc w:val="both"/>
        <w:rPr>
          <w:rFonts w:ascii="Times New Roman" w:hAnsi="Times New Roman" w:cs="Times New Roman"/>
          <w:sz w:val="22"/>
          <w:szCs w:val="22"/>
        </w:rPr>
      </w:pPr>
    </w:p>
    <w:p w:rsidR="008E6A14" w:rsidRPr="008E6A14" w:rsidRDefault="00DA3593" w:rsidP="008E6A14">
      <w:pPr>
        <w:pStyle w:val="ListParagraph"/>
        <w:numPr>
          <w:ilvl w:val="0"/>
          <w:numId w:val="9"/>
        </w:numPr>
        <w:jc w:val="both"/>
        <w:rPr>
          <w:rFonts w:ascii="Times New Roman" w:hAnsi="Times New Roman" w:cs="Times New Roman"/>
          <w:sz w:val="22"/>
          <w:szCs w:val="22"/>
        </w:rPr>
      </w:pPr>
      <w:r>
        <w:rPr>
          <w:rFonts w:ascii="Times New Roman" w:eastAsia="Times New Roman" w:hAnsi="Times New Roman" w:cs="Times New Roman"/>
          <w:sz w:val="22"/>
          <w:szCs w:val="22"/>
        </w:rPr>
        <w:t xml:space="preserve">However, </w:t>
      </w:r>
      <w:r w:rsidR="00DE154B">
        <w:rPr>
          <w:rFonts w:ascii="Times New Roman" w:eastAsia="Times New Roman" w:hAnsi="Times New Roman" w:cs="Times New Roman"/>
          <w:sz w:val="22"/>
          <w:szCs w:val="22"/>
        </w:rPr>
        <w:t xml:space="preserve">many </w:t>
      </w:r>
      <w:r>
        <w:rPr>
          <w:rFonts w:ascii="Times New Roman" w:eastAsia="Times New Roman" w:hAnsi="Times New Roman" w:cs="Times New Roman"/>
          <w:sz w:val="22"/>
          <w:szCs w:val="22"/>
        </w:rPr>
        <w:t xml:space="preserve">UNDP results under Outcome 1 continued to </w:t>
      </w:r>
      <w:r w:rsidR="00130B4C">
        <w:rPr>
          <w:rFonts w:ascii="Times New Roman" w:eastAsia="Times New Roman" w:hAnsi="Times New Roman" w:cs="Times New Roman"/>
          <w:sz w:val="22"/>
          <w:szCs w:val="22"/>
        </w:rPr>
        <w:t>be limited to</w:t>
      </w:r>
      <w:r>
        <w:rPr>
          <w:rFonts w:ascii="Times New Roman" w:eastAsia="Times New Roman" w:hAnsi="Times New Roman" w:cs="Times New Roman"/>
          <w:sz w:val="22"/>
          <w:szCs w:val="22"/>
        </w:rPr>
        <w:t xml:space="preserve"> small scale projects with </w:t>
      </w:r>
      <w:r w:rsidR="00130B4C">
        <w:rPr>
          <w:rFonts w:ascii="Times New Roman" w:eastAsia="Times New Roman" w:hAnsi="Times New Roman" w:cs="Times New Roman"/>
          <w:sz w:val="22"/>
          <w:szCs w:val="22"/>
        </w:rPr>
        <w:t xml:space="preserve">narrow </w:t>
      </w:r>
      <w:r>
        <w:rPr>
          <w:rFonts w:ascii="Times New Roman" w:eastAsia="Times New Roman" w:hAnsi="Times New Roman" w:cs="Times New Roman"/>
          <w:sz w:val="22"/>
          <w:szCs w:val="22"/>
        </w:rPr>
        <w:t xml:space="preserve">reach or transformative impact at </w:t>
      </w:r>
      <w:r w:rsidR="00DE154B">
        <w:rPr>
          <w:rFonts w:ascii="Times New Roman" w:eastAsia="Times New Roman" w:hAnsi="Times New Roman" w:cs="Times New Roman"/>
          <w:sz w:val="22"/>
          <w:szCs w:val="22"/>
        </w:rPr>
        <w:t xml:space="preserve">a significant national </w:t>
      </w:r>
      <w:r w:rsidR="00B9265A">
        <w:rPr>
          <w:rFonts w:ascii="Times New Roman" w:eastAsia="Times New Roman" w:hAnsi="Times New Roman" w:cs="Times New Roman"/>
          <w:sz w:val="22"/>
          <w:szCs w:val="22"/>
        </w:rPr>
        <w:t xml:space="preserve">scale. </w:t>
      </w:r>
      <w:r w:rsidRPr="008E6A14">
        <w:rPr>
          <w:rFonts w:ascii="Times New Roman" w:eastAsia="Times New Roman" w:hAnsi="Times New Roman" w:cs="Times New Roman"/>
          <w:sz w:val="22"/>
          <w:szCs w:val="22"/>
        </w:rPr>
        <w:t xml:space="preserve">And while some initiatives addressed structural barriers to women’s economic participation – such as the skill and entrepreneurship support to women in India </w:t>
      </w:r>
      <w:r w:rsidR="008E6A14" w:rsidRPr="008E6A14">
        <w:rPr>
          <w:rFonts w:ascii="Times New Roman" w:eastAsia="Times New Roman" w:hAnsi="Times New Roman" w:cs="Times New Roman"/>
          <w:sz w:val="22"/>
          <w:szCs w:val="22"/>
        </w:rPr>
        <w:t>–</w:t>
      </w:r>
      <w:r w:rsidRPr="008E6A14">
        <w:rPr>
          <w:rFonts w:ascii="Times New Roman" w:eastAsia="Times New Roman" w:hAnsi="Times New Roman" w:cs="Times New Roman"/>
          <w:sz w:val="22"/>
          <w:szCs w:val="22"/>
        </w:rPr>
        <w:t xml:space="preserve"> more </w:t>
      </w:r>
      <w:r w:rsidR="00AD23C1">
        <w:rPr>
          <w:rFonts w:ascii="Times New Roman" w:eastAsia="Times New Roman" w:hAnsi="Times New Roman" w:cs="Times New Roman"/>
          <w:sz w:val="22"/>
          <w:szCs w:val="22"/>
        </w:rPr>
        <w:t>emphasis</w:t>
      </w:r>
      <w:r w:rsidR="00AD23C1" w:rsidRPr="008E6A14">
        <w:rPr>
          <w:rFonts w:ascii="Times New Roman" w:eastAsia="Times New Roman" w:hAnsi="Times New Roman" w:cs="Times New Roman"/>
          <w:sz w:val="22"/>
          <w:szCs w:val="22"/>
        </w:rPr>
        <w:t xml:space="preserve"> </w:t>
      </w:r>
      <w:r w:rsidRPr="008E6A14">
        <w:rPr>
          <w:rFonts w:ascii="Times New Roman" w:eastAsia="Times New Roman" w:hAnsi="Times New Roman" w:cs="Times New Roman"/>
          <w:sz w:val="22"/>
          <w:szCs w:val="22"/>
        </w:rPr>
        <w:t xml:space="preserve">needs to be </w:t>
      </w:r>
      <w:r w:rsidR="008E6A14" w:rsidRPr="008E6A14">
        <w:rPr>
          <w:rFonts w:ascii="Times New Roman" w:eastAsia="Times New Roman" w:hAnsi="Times New Roman" w:cs="Times New Roman"/>
          <w:sz w:val="22"/>
          <w:szCs w:val="22"/>
        </w:rPr>
        <w:t xml:space="preserve">placed </w:t>
      </w:r>
      <w:r w:rsidRPr="008E6A14">
        <w:rPr>
          <w:rFonts w:ascii="Times New Roman" w:eastAsia="Times New Roman" w:hAnsi="Times New Roman" w:cs="Times New Roman"/>
          <w:sz w:val="22"/>
          <w:szCs w:val="22"/>
        </w:rPr>
        <w:t xml:space="preserve">on approaches that transform legal, policy or social norms </w:t>
      </w:r>
      <w:r w:rsidR="00130B4C">
        <w:rPr>
          <w:rFonts w:ascii="Times New Roman" w:eastAsia="Times New Roman" w:hAnsi="Times New Roman" w:cs="Times New Roman"/>
          <w:sz w:val="22"/>
          <w:szCs w:val="22"/>
        </w:rPr>
        <w:t>to create sustaining</w:t>
      </w:r>
      <w:r w:rsidRPr="008E6A14">
        <w:rPr>
          <w:rFonts w:ascii="Times New Roman" w:eastAsia="Times New Roman" w:hAnsi="Times New Roman" w:cs="Times New Roman"/>
          <w:sz w:val="22"/>
          <w:szCs w:val="22"/>
        </w:rPr>
        <w:t xml:space="preserve"> impact</w:t>
      </w:r>
      <w:r w:rsidR="008E6A14" w:rsidRPr="008E6A14">
        <w:rPr>
          <w:rFonts w:ascii="Times New Roman" w:eastAsia="Times New Roman" w:hAnsi="Times New Roman" w:cs="Times New Roman"/>
          <w:sz w:val="22"/>
          <w:szCs w:val="22"/>
        </w:rPr>
        <w:t xml:space="preserve"> on</w:t>
      </w:r>
      <w:r w:rsidRPr="008E6A14">
        <w:rPr>
          <w:rFonts w:ascii="Times New Roman" w:eastAsia="Times New Roman" w:hAnsi="Times New Roman" w:cs="Times New Roman"/>
          <w:sz w:val="22"/>
          <w:szCs w:val="22"/>
        </w:rPr>
        <w:t xml:space="preserve"> women’s economic empowerment. </w:t>
      </w:r>
      <w:r w:rsidR="008E6A14" w:rsidRPr="008E6A14">
        <w:rPr>
          <w:rFonts w:ascii="Times New Roman" w:eastAsia="Times New Roman" w:hAnsi="Times New Roman" w:cs="Times New Roman"/>
          <w:sz w:val="22"/>
          <w:szCs w:val="22"/>
        </w:rPr>
        <w:t>The midterm review of the UNDP Regional Programme for Europe and CIS 2014-2017 specifies that going from “counting women” to gender-responsive and gender-transformative results requires adequate programmatic, structural and funding arrangements.</w:t>
      </w:r>
    </w:p>
    <w:p w:rsidR="00DA3593" w:rsidRPr="008E6A14" w:rsidRDefault="00DA3593" w:rsidP="008E6A14">
      <w:pPr>
        <w:pStyle w:val="ListParagraph"/>
        <w:jc w:val="both"/>
        <w:rPr>
          <w:rFonts w:ascii="Times New Roman" w:hAnsi="Times New Roman" w:cs="Times New Roman"/>
          <w:sz w:val="22"/>
          <w:szCs w:val="22"/>
        </w:rPr>
      </w:pPr>
      <w:r>
        <w:rPr>
          <w:rFonts w:ascii="Times New Roman" w:eastAsia="Times New Roman" w:hAnsi="Times New Roman" w:cs="Times New Roman"/>
          <w:sz w:val="22"/>
          <w:szCs w:val="22"/>
        </w:rPr>
        <w:t xml:space="preserve"> </w:t>
      </w:r>
    </w:p>
    <w:p w:rsidR="00DA3593" w:rsidRDefault="00F83249" w:rsidP="00DA3593">
      <w:pPr>
        <w:pStyle w:val="ListParagraph"/>
        <w:numPr>
          <w:ilvl w:val="0"/>
          <w:numId w:val="9"/>
        </w:numPr>
        <w:jc w:val="both"/>
        <w:rPr>
          <w:rFonts w:ascii="Times New Roman" w:eastAsia="Times New Roman" w:hAnsi="Times New Roman" w:cs="Times New Roman"/>
          <w:sz w:val="22"/>
          <w:szCs w:val="22"/>
        </w:rPr>
      </w:pPr>
      <w:r>
        <w:rPr>
          <w:rFonts w:ascii="Times New Roman" w:hAnsi="Times New Roman" w:cs="Times New Roman"/>
          <w:bCs/>
          <w:sz w:val="22"/>
          <w:szCs w:val="22"/>
          <w:lang w:val="en-GB"/>
        </w:rPr>
        <w:t>To</w:t>
      </w:r>
      <w:r w:rsidR="00DA3593" w:rsidRPr="006F3101">
        <w:rPr>
          <w:rFonts w:ascii="Times New Roman" w:hAnsi="Times New Roman" w:cs="Times New Roman"/>
          <w:color w:val="000000"/>
          <w:sz w:val="22"/>
          <w:szCs w:val="22"/>
        </w:rPr>
        <w:t xml:space="preserve"> address this, UNDP’s Gender Equality Strategy 2018-2021 focuses attention on “removing structural barriers to women’s economic empowerment, including women’s disproportionate burden of unpaid work,” as one of the four priority areas of Signature Solution 6. This means investing more in</w:t>
      </w:r>
      <w:r w:rsidR="00DA3593">
        <w:rPr>
          <w:rFonts w:ascii="Times New Roman" w:hAnsi="Times New Roman" w:cs="Times New Roman"/>
          <w:color w:val="000000"/>
          <w:sz w:val="22"/>
          <w:szCs w:val="22"/>
        </w:rPr>
        <w:t xml:space="preserve"> gender-</w:t>
      </w:r>
      <w:r>
        <w:rPr>
          <w:rFonts w:ascii="Times New Roman" w:hAnsi="Times New Roman" w:cs="Times New Roman"/>
          <w:color w:val="000000"/>
          <w:sz w:val="22"/>
          <w:szCs w:val="22"/>
        </w:rPr>
        <w:t>responsive</w:t>
      </w:r>
      <w:r w:rsidR="00DA3593">
        <w:rPr>
          <w:rFonts w:ascii="Times New Roman" w:hAnsi="Times New Roman" w:cs="Times New Roman"/>
          <w:color w:val="000000"/>
          <w:sz w:val="22"/>
          <w:szCs w:val="22"/>
        </w:rPr>
        <w:t xml:space="preserve"> infrastructure, </w:t>
      </w:r>
      <w:r w:rsidR="00B9265A">
        <w:rPr>
          <w:rFonts w:ascii="Times New Roman" w:hAnsi="Times New Roman" w:cs="Times New Roman"/>
          <w:color w:val="000000"/>
          <w:sz w:val="22"/>
          <w:szCs w:val="22"/>
        </w:rPr>
        <w:t xml:space="preserve">implementing </w:t>
      </w:r>
      <w:r w:rsidR="003550E5">
        <w:rPr>
          <w:rFonts w:ascii="Times New Roman" w:hAnsi="Times New Roman" w:cs="Times New Roman"/>
          <w:color w:val="000000"/>
          <w:sz w:val="22"/>
          <w:szCs w:val="22"/>
        </w:rPr>
        <w:t xml:space="preserve">policies </w:t>
      </w:r>
      <w:r w:rsidR="00B9265A">
        <w:rPr>
          <w:rFonts w:ascii="Times New Roman" w:hAnsi="Times New Roman" w:cs="Times New Roman"/>
          <w:color w:val="000000"/>
          <w:sz w:val="22"/>
          <w:szCs w:val="22"/>
        </w:rPr>
        <w:t xml:space="preserve">that </w:t>
      </w:r>
      <w:r w:rsidR="003550E5">
        <w:rPr>
          <w:rFonts w:ascii="Times New Roman" w:hAnsi="Times New Roman" w:cs="Times New Roman"/>
          <w:color w:val="000000"/>
          <w:sz w:val="22"/>
          <w:szCs w:val="22"/>
        </w:rPr>
        <w:t xml:space="preserve">support a more equal distribution of </w:t>
      </w:r>
      <w:r w:rsidR="00DA3593" w:rsidRPr="000E075B">
        <w:rPr>
          <w:rFonts w:ascii="Times New Roman" w:hAnsi="Times New Roman" w:cs="Times New Roman"/>
          <w:color w:val="000000"/>
          <w:sz w:val="22"/>
          <w:szCs w:val="22"/>
        </w:rPr>
        <w:t xml:space="preserve">care </w:t>
      </w:r>
      <w:r w:rsidR="00DA3593">
        <w:rPr>
          <w:rFonts w:ascii="Times New Roman" w:hAnsi="Times New Roman" w:cs="Times New Roman"/>
          <w:color w:val="000000"/>
          <w:sz w:val="22"/>
          <w:szCs w:val="22"/>
        </w:rPr>
        <w:t>and domestic work,</w:t>
      </w:r>
      <w:r w:rsidR="003550E5">
        <w:rPr>
          <w:rFonts w:ascii="Times New Roman" w:hAnsi="Times New Roman" w:cs="Times New Roman"/>
          <w:color w:val="000000"/>
          <w:sz w:val="22"/>
          <w:szCs w:val="22"/>
        </w:rPr>
        <w:t xml:space="preserve"> promoting policies that ensure</w:t>
      </w:r>
      <w:r w:rsidR="00DA3593">
        <w:rPr>
          <w:rFonts w:ascii="Times New Roman" w:hAnsi="Times New Roman" w:cs="Times New Roman"/>
          <w:color w:val="000000"/>
          <w:sz w:val="22"/>
          <w:szCs w:val="22"/>
        </w:rPr>
        <w:t xml:space="preserve"> equal</w:t>
      </w:r>
      <w:r w:rsidR="00DA3593" w:rsidRPr="000E075B">
        <w:rPr>
          <w:rFonts w:ascii="Times New Roman" w:hAnsi="Times New Roman" w:cs="Times New Roman"/>
          <w:color w:val="000000"/>
          <w:sz w:val="22"/>
          <w:szCs w:val="22"/>
        </w:rPr>
        <w:t xml:space="preserve"> </w:t>
      </w:r>
      <w:r w:rsidR="00DA3593">
        <w:rPr>
          <w:rFonts w:ascii="Times New Roman" w:hAnsi="Times New Roman" w:cs="Times New Roman"/>
          <w:color w:val="000000"/>
          <w:sz w:val="22"/>
          <w:szCs w:val="22"/>
        </w:rPr>
        <w:t>access</w:t>
      </w:r>
      <w:r w:rsidR="00DA3593" w:rsidRPr="000E075B">
        <w:rPr>
          <w:rFonts w:ascii="Times New Roman" w:hAnsi="Times New Roman" w:cs="Times New Roman"/>
          <w:color w:val="000000"/>
          <w:sz w:val="22"/>
          <w:szCs w:val="22"/>
        </w:rPr>
        <w:t xml:space="preserve"> to </w:t>
      </w:r>
      <w:r w:rsidR="00DA3593">
        <w:rPr>
          <w:rFonts w:ascii="Times New Roman" w:hAnsi="Times New Roman" w:cs="Times New Roman"/>
          <w:color w:val="000000"/>
          <w:sz w:val="22"/>
          <w:szCs w:val="22"/>
        </w:rPr>
        <w:t xml:space="preserve">finance, </w:t>
      </w:r>
      <w:r w:rsidR="003550E5">
        <w:rPr>
          <w:rFonts w:ascii="Times New Roman" w:hAnsi="Times New Roman" w:cs="Times New Roman"/>
          <w:color w:val="000000"/>
          <w:sz w:val="22"/>
          <w:szCs w:val="22"/>
        </w:rPr>
        <w:t>land and assets, changing gender stereotypes</w:t>
      </w:r>
      <w:r w:rsidR="00B9265A">
        <w:rPr>
          <w:rFonts w:ascii="Times New Roman" w:hAnsi="Times New Roman" w:cs="Times New Roman"/>
          <w:color w:val="000000"/>
          <w:sz w:val="22"/>
          <w:szCs w:val="22"/>
        </w:rPr>
        <w:t xml:space="preserve">, </w:t>
      </w:r>
      <w:r w:rsidR="00B9265A" w:rsidRPr="00B9265A">
        <w:rPr>
          <w:rFonts w:ascii="Times New Roman" w:hAnsi="Times New Roman" w:cs="Times New Roman"/>
          <w:color w:val="000000"/>
          <w:sz w:val="22"/>
          <w:szCs w:val="22"/>
        </w:rPr>
        <w:t>and enhancing national statistical capacities on collecting and analyzing gender-disaggregated data</w:t>
      </w:r>
      <w:r w:rsidR="00DA3593" w:rsidRPr="000E075B">
        <w:rPr>
          <w:rFonts w:ascii="Times New Roman" w:hAnsi="Times New Roman" w:cs="Times New Roman"/>
          <w:color w:val="000000"/>
          <w:sz w:val="22"/>
          <w:szCs w:val="22"/>
        </w:rPr>
        <w:t>.</w:t>
      </w:r>
      <w:r w:rsidR="00DA3593" w:rsidRPr="006F3101">
        <w:rPr>
          <w:rFonts w:ascii="Times New Roman" w:hAnsi="Times New Roman" w:cs="Times New Roman"/>
          <w:color w:val="000000"/>
          <w:sz w:val="22"/>
          <w:szCs w:val="22"/>
        </w:rPr>
        <w:t xml:space="preserve"> In addition, UNDP must </w:t>
      </w:r>
      <w:r w:rsidR="00DA3593" w:rsidRPr="006F3101">
        <w:rPr>
          <w:rFonts w:ascii="Times New Roman" w:eastAsia="Times New Roman" w:hAnsi="Times New Roman" w:cs="Times New Roman"/>
          <w:sz w:val="22"/>
          <w:szCs w:val="22"/>
        </w:rPr>
        <w:t>use its livelihood</w:t>
      </w:r>
      <w:r>
        <w:rPr>
          <w:rFonts w:ascii="Times New Roman" w:eastAsia="Times New Roman" w:hAnsi="Times New Roman" w:cs="Times New Roman"/>
          <w:sz w:val="22"/>
          <w:szCs w:val="22"/>
        </w:rPr>
        <w:t>s</w:t>
      </w:r>
      <w:r w:rsidR="00DA3593" w:rsidRPr="006F3101">
        <w:rPr>
          <w:rFonts w:ascii="Times New Roman" w:eastAsia="Times New Roman" w:hAnsi="Times New Roman" w:cs="Times New Roman"/>
          <w:sz w:val="22"/>
          <w:szCs w:val="22"/>
        </w:rPr>
        <w:t xml:space="preserve"> </w:t>
      </w:r>
      <w:r w:rsidR="00DA3593" w:rsidRPr="006F3101">
        <w:rPr>
          <w:rFonts w:ascii="Times New Roman" w:eastAsia="Times New Roman" w:hAnsi="Times New Roman" w:cs="Times New Roman"/>
          <w:sz w:val="22"/>
          <w:szCs w:val="22"/>
        </w:rPr>
        <w:lastRenderedPageBreak/>
        <w:t xml:space="preserve">interventions not </w:t>
      </w:r>
      <w:r>
        <w:rPr>
          <w:rFonts w:ascii="Times New Roman" w:eastAsia="Times New Roman" w:hAnsi="Times New Roman" w:cs="Times New Roman"/>
          <w:sz w:val="22"/>
          <w:szCs w:val="22"/>
        </w:rPr>
        <w:t>only</w:t>
      </w:r>
      <w:r w:rsidR="00DA3593" w:rsidRPr="006F3101">
        <w:rPr>
          <w:rFonts w:ascii="Times New Roman" w:eastAsia="Times New Roman" w:hAnsi="Times New Roman" w:cs="Times New Roman"/>
          <w:sz w:val="22"/>
          <w:szCs w:val="22"/>
        </w:rPr>
        <w:t xml:space="preserve"> to ensure that</w:t>
      </w:r>
      <w:r>
        <w:rPr>
          <w:rFonts w:ascii="Times New Roman" w:eastAsia="Times New Roman" w:hAnsi="Times New Roman" w:cs="Times New Roman"/>
          <w:sz w:val="22"/>
          <w:szCs w:val="22"/>
        </w:rPr>
        <w:t xml:space="preserve"> women have access to decent jobs, </w:t>
      </w:r>
      <w:r w:rsidR="00AD23C1">
        <w:rPr>
          <w:rFonts w:ascii="Times New Roman" w:eastAsia="Times New Roman" w:hAnsi="Times New Roman" w:cs="Times New Roman"/>
          <w:sz w:val="22"/>
          <w:szCs w:val="22"/>
        </w:rPr>
        <w:t xml:space="preserve">but </w:t>
      </w:r>
      <w:r>
        <w:rPr>
          <w:rFonts w:ascii="Times New Roman" w:eastAsia="Times New Roman" w:hAnsi="Times New Roman" w:cs="Times New Roman"/>
          <w:sz w:val="22"/>
          <w:szCs w:val="22"/>
        </w:rPr>
        <w:t>that</w:t>
      </w:r>
      <w:r w:rsidR="00DA3593" w:rsidRPr="006F3101">
        <w:rPr>
          <w:rFonts w:ascii="Times New Roman" w:eastAsia="Times New Roman" w:hAnsi="Times New Roman" w:cs="Times New Roman"/>
          <w:sz w:val="22"/>
          <w:szCs w:val="22"/>
        </w:rPr>
        <w:t xml:space="preserve"> gaps in labor market participation are closed, and that gender equality in the workplace is promoted at all levels.   </w:t>
      </w:r>
    </w:p>
    <w:p w:rsidR="00DA3593" w:rsidRPr="006F3101" w:rsidRDefault="00DA3593" w:rsidP="00DA3593">
      <w:pPr>
        <w:jc w:val="both"/>
        <w:rPr>
          <w:rFonts w:ascii="Times New Roman" w:eastAsia="Times New Roman" w:hAnsi="Times New Roman" w:cs="Times New Roman"/>
          <w:sz w:val="22"/>
          <w:szCs w:val="22"/>
        </w:rPr>
      </w:pPr>
    </w:p>
    <w:p w:rsidR="00DA3593" w:rsidRPr="006E4A7F" w:rsidRDefault="00DA3593" w:rsidP="00DA3593">
      <w:pPr>
        <w:pStyle w:val="ListParagraph"/>
        <w:numPr>
          <w:ilvl w:val="0"/>
          <w:numId w:val="9"/>
        </w:numPr>
        <w:jc w:val="both"/>
        <w:rPr>
          <w:rFonts w:ascii="Times New Roman" w:hAnsi="Times New Roman" w:cs="Times New Roman"/>
          <w:sz w:val="22"/>
          <w:szCs w:val="22"/>
        </w:rPr>
      </w:pPr>
      <w:r w:rsidRPr="00855860">
        <w:rPr>
          <w:rFonts w:ascii="Times New Roman" w:eastAsia="Times New Roman" w:hAnsi="Times New Roman" w:cs="Times New Roman"/>
          <w:sz w:val="22"/>
          <w:szCs w:val="22"/>
        </w:rPr>
        <w:t xml:space="preserve">Under outcome 2, strong results were reported </w:t>
      </w:r>
      <w:r w:rsidRPr="00855860">
        <w:rPr>
          <w:rFonts w:ascii="Times New Roman" w:hAnsi="Times New Roman" w:cs="Times New Roman"/>
          <w:sz w:val="22"/>
          <w:szCs w:val="22"/>
        </w:rPr>
        <w:t>with regard to women’s political empowerment through support for women’s participation in parliaments, elections, and in constitutional and legal reforms to advance gender equality. Between 2014 and 2017, UNDP support led to the registration of approximately 166 million electors and the participation of 304,442 women candidates in national elections.</w:t>
      </w:r>
      <w:r w:rsidR="00E15CED">
        <w:rPr>
          <w:rStyle w:val="FootnoteReference"/>
          <w:rFonts w:ascii="Times New Roman" w:hAnsi="Times New Roman" w:cs="Times New Roman"/>
          <w:sz w:val="22"/>
          <w:szCs w:val="22"/>
        </w:rPr>
        <w:footnoteReference w:id="5"/>
      </w:r>
      <w:r w:rsidR="00D55819">
        <w:rPr>
          <w:rFonts w:ascii="Times New Roman" w:hAnsi="Times New Roman" w:cs="Times New Roman"/>
          <w:sz w:val="22"/>
          <w:szCs w:val="22"/>
        </w:rPr>
        <w:t xml:space="preserve"> </w:t>
      </w:r>
      <w:r>
        <w:rPr>
          <w:rFonts w:ascii="Times New Roman" w:hAnsi="Times New Roman" w:cs="Times New Roman"/>
          <w:sz w:val="22"/>
          <w:szCs w:val="22"/>
        </w:rPr>
        <w:t xml:space="preserve">For example, </w:t>
      </w:r>
      <w:r w:rsidR="00843FAB">
        <w:rPr>
          <w:rFonts w:ascii="Times New Roman" w:hAnsi="Times New Roman" w:cs="Times New Roman"/>
          <w:sz w:val="22"/>
          <w:szCs w:val="22"/>
        </w:rPr>
        <w:t>in 2017</w:t>
      </w:r>
      <w:r w:rsidRPr="00855860">
        <w:rPr>
          <w:rFonts w:ascii="Times New Roman" w:hAnsi="Times New Roman" w:cs="Times New Roman"/>
          <w:sz w:val="22"/>
          <w:szCs w:val="22"/>
        </w:rPr>
        <w:t xml:space="preserve"> UNDP supported the Election Commission of Nepal to reach out to 52,268 potential female candidates, of whom 4,000 were nominated for elections and 1,011 were e</w:t>
      </w:r>
      <w:r w:rsidR="00F83249">
        <w:rPr>
          <w:rFonts w:ascii="Times New Roman" w:hAnsi="Times New Roman" w:cs="Times New Roman"/>
          <w:sz w:val="22"/>
          <w:szCs w:val="22"/>
        </w:rPr>
        <w:t>lected in the local elections.</w:t>
      </w:r>
      <w:r w:rsidR="00E15CED">
        <w:rPr>
          <w:rStyle w:val="FootnoteReference"/>
          <w:rFonts w:ascii="Times New Roman" w:hAnsi="Times New Roman" w:cs="Times New Roman"/>
          <w:sz w:val="22"/>
          <w:szCs w:val="22"/>
        </w:rPr>
        <w:footnoteReference w:id="6"/>
      </w:r>
      <w:r w:rsidR="00F83249">
        <w:rPr>
          <w:rFonts w:ascii="Times New Roman" w:hAnsi="Times New Roman" w:cs="Times New Roman"/>
          <w:sz w:val="22"/>
          <w:szCs w:val="22"/>
        </w:rPr>
        <w:t xml:space="preserve"> </w:t>
      </w:r>
      <w:r w:rsidRPr="00855860">
        <w:rPr>
          <w:rFonts w:ascii="Times New Roman" w:hAnsi="Times New Roman" w:cs="Times New Roman"/>
          <w:sz w:val="22"/>
          <w:szCs w:val="22"/>
        </w:rPr>
        <w:t xml:space="preserve">In Montenegro, UNDP’s longstanding efforts to empower women in political parties resulted in the establishment of the cross-party Women’s Political Network, which leads advocacy on women’s political participation, and </w:t>
      </w:r>
      <w:r w:rsidR="00130B4C">
        <w:rPr>
          <w:rFonts w:ascii="Times New Roman" w:hAnsi="Times New Roman" w:cs="Times New Roman"/>
          <w:sz w:val="22"/>
          <w:szCs w:val="22"/>
        </w:rPr>
        <w:t xml:space="preserve">contributed to an increase </w:t>
      </w:r>
      <w:r w:rsidR="00130B4C" w:rsidRPr="00290217">
        <w:rPr>
          <w:rFonts w:ascii="Times New Roman" w:hAnsi="Times New Roman" w:cs="Times New Roman"/>
          <w:sz w:val="22"/>
          <w:szCs w:val="22"/>
        </w:rPr>
        <w:t xml:space="preserve">of </w:t>
      </w:r>
      <w:r w:rsidRPr="00290217">
        <w:rPr>
          <w:rFonts w:ascii="Times New Roman" w:hAnsi="Times New Roman" w:cs="Times New Roman"/>
          <w:sz w:val="22"/>
          <w:szCs w:val="22"/>
        </w:rPr>
        <w:t>the representation of women in the National Parliament</w:t>
      </w:r>
      <w:r w:rsidR="00130B4C" w:rsidRPr="00290217">
        <w:rPr>
          <w:rFonts w:ascii="Times New Roman" w:hAnsi="Times New Roman" w:cs="Times New Roman"/>
          <w:sz w:val="22"/>
          <w:szCs w:val="22"/>
        </w:rPr>
        <w:t xml:space="preserve"> </w:t>
      </w:r>
      <w:r w:rsidRPr="00290217">
        <w:rPr>
          <w:rFonts w:ascii="Times New Roman" w:hAnsi="Times New Roman" w:cs="Times New Roman"/>
          <w:sz w:val="22"/>
          <w:szCs w:val="22"/>
        </w:rPr>
        <w:t>from 17 percent to 24 percent.</w:t>
      </w:r>
      <w:r w:rsidR="00E15CED" w:rsidRPr="00290217">
        <w:rPr>
          <w:rStyle w:val="FootnoteReference"/>
          <w:rFonts w:ascii="Times New Roman" w:hAnsi="Times New Roman" w:cs="Times New Roman"/>
          <w:sz w:val="22"/>
          <w:szCs w:val="22"/>
        </w:rPr>
        <w:footnoteReference w:id="7"/>
      </w:r>
      <w:r w:rsidR="00290217" w:rsidRPr="00A20BF6">
        <w:rPr>
          <w:rFonts w:ascii="Times New Roman" w:hAnsi="Times New Roman" w:cs="Times New Roman"/>
          <w:sz w:val="22"/>
          <w:szCs w:val="22"/>
        </w:rPr>
        <w:t xml:space="preserve">While UNDP’s contribution to the increased number of women candidates is evident through </w:t>
      </w:r>
      <w:r w:rsidR="00450F4D">
        <w:rPr>
          <w:rFonts w:ascii="Times New Roman" w:hAnsi="Times New Roman" w:cs="Times New Roman"/>
          <w:sz w:val="22"/>
          <w:szCs w:val="22"/>
        </w:rPr>
        <w:t xml:space="preserve">its </w:t>
      </w:r>
      <w:r w:rsidR="00290217" w:rsidRPr="00A20BF6">
        <w:rPr>
          <w:rFonts w:ascii="Times New Roman" w:hAnsi="Times New Roman" w:cs="Times New Roman"/>
          <w:sz w:val="22"/>
          <w:szCs w:val="22"/>
        </w:rPr>
        <w:t>work to s</w:t>
      </w:r>
      <w:r w:rsidR="00290217" w:rsidRPr="00450F4D">
        <w:rPr>
          <w:rFonts w:ascii="Times New Roman" w:hAnsi="Times New Roman" w:cs="Times New Roman"/>
          <w:sz w:val="22"/>
          <w:szCs w:val="22"/>
        </w:rPr>
        <w:t xml:space="preserve">trengthen </w:t>
      </w:r>
      <w:r w:rsidR="00450F4D">
        <w:rPr>
          <w:rFonts w:ascii="Times New Roman" w:hAnsi="Times New Roman" w:cs="Times New Roman"/>
          <w:sz w:val="22"/>
          <w:szCs w:val="22"/>
        </w:rPr>
        <w:t xml:space="preserve">women’s </w:t>
      </w:r>
      <w:r w:rsidR="00290217" w:rsidRPr="00450F4D">
        <w:rPr>
          <w:rFonts w:ascii="Times New Roman" w:hAnsi="Times New Roman" w:cs="Times New Roman"/>
          <w:sz w:val="22"/>
          <w:szCs w:val="22"/>
        </w:rPr>
        <w:t xml:space="preserve">capacities, equally important has been work to address structural barriers to women’s political leadership, such as </w:t>
      </w:r>
      <w:r w:rsidR="00450F4D">
        <w:rPr>
          <w:rFonts w:ascii="Times New Roman" w:hAnsi="Times New Roman" w:cs="Times New Roman"/>
          <w:sz w:val="22"/>
          <w:szCs w:val="22"/>
        </w:rPr>
        <w:t xml:space="preserve">through </w:t>
      </w:r>
      <w:r w:rsidR="00290217" w:rsidRPr="00450F4D">
        <w:rPr>
          <w:rFonts w:ascii="Times New Roman" w:hAnsi="Times New Roman" w:cs="Times New Roman"/>
          <w:sz w:val="22"/>
          <w:szCs w:val="22"/>
        </w:rPr>
        <w:t xml:space="preserve">support for gender equality laws and quotas. </w:t>
      </w:r>
      <w:r w:rsidR="00290217" w:rsidRPr="00290217">
        <w:rPr>
          <w:rFonts w:ascii="Times New Roman" w:hAnsi="Times New Roman" w:cs="Times New Roman"/>
          <w:sz w:val="22"/>
          <w:szCs w:val="22"/>
        </w:rPr>
        <w:t xml:space="preserve">UNDP has </w:t>
      </w:r>
      <w:r w:rsidRPr="00290217">
        <w:rPr>
          <w:rFonts w:ascii="Times New Roman" w:hAnsi="Times New Roman" w:cs="Times New Roman"/>
          <w:sz w:val="22"/>
          <w:szCs w:val="22"/>
        </w:rPr>
        <w:t xml:space="preserve">been </w:t>
      </w:r>
      <w:r w:rsidR="00AD23C1">
        <w:rPr>
          <w:rFonts w:ascii="Times New Roman" w:hAnsi="Times New Roman" w:cs="Times New Roman"/>
          <w:sz w:val="22"/>
          <w:szCs w:val="22"/>
        </w:rPr>
        <w:t>a</w:t>
      </w:r>
      <w:r w:rsidRPr="00855860">
        <w:rPr>
          <w:rFonts w:ascii="Times New Roman" w:hAnsi="Times New Roman" w:cs="Times New Roman"/>
          <w:sz w:val="22"/>
          <w:szCs w:val="22"/>
        </w:rPr>
        <w:t xml:space="preserve"> </w:t>
      </w:r>
      <w:r w:rsidR="00AD23C1">
        <w:rPr>
          <w:rFonts w:ascii="Times New Roman" w:hAnsi="Times New Roman" w:cs="Times New Roman"/>
          <w:sz w:val="22"/>
          <w:szCs w:val="22"/>
        </w:rPr>
        <w:t xml:space="preserve">significant </w:t>
      </w:r>
      <w:r w:rsidRPr="00855860">
        <w:rPr>
          <w:rFonts w:ascii="Times New Roman" w:hAnsi="Times New Roman" w:cs="Times New Roman"/>
          <w:sz w:val="22"/>
          <w:szCs w:val="22"/>
        </w:rPr>
        <w:t>provider of support for women in politics globally, with expansive partnershi</w:t>
      </w:r>
      <w:r w:rsidR="00F83249">
        <w:rPr>
          <w:rFonts w:ascii="Times New Roman" w:hAnsi="Times New Roman" w:cs="Times New Roman"/>
          <w:sz w:val="22"/>
          <w:szCs w:val="22"/>
        </w:rPr>
        <w:t>ps across the UN, particularly with</w:t>
      </w:r>
      <w:r w:rsidRPr="00855860">
        <w:rPr>
          <w:rFonts w:ascii="Times New Roman" w:hAnsi="Times New Roman" w:cs="Times New Roman"/>
          <w:sz w:val="22"/>
          <w:szCs w:val="22"/>
        </w:rPr>
        <w:t xml:space="preserve"> UN</w:t>
      </w:r>
      <w:r w:rsidR="00F83249">
        <w:rPr>
          <w:rFonts w:ascii="Times New Roman" w:hAnsi="Times New Roman" w:cs="Times New Roman"/>
          <w:sz w:val="22"/>
          <w:szCs w:val="22"/>
        </w:rPr>
        <w:t xml:space="preserve"> </w:t>
      </w:r>
      <w:r w:rsidRPr="00855860">
        <w:rPr>
          <w:rFonts w:ascii="Times New Roman" w:hAnsi="Times New Roman" w:cs="Times New Roman"/>
          <w:sz w:val="22"/>
          <w:szCs w:val="22"/>
        </w:rPr>
        <w:t>W</w:t>
      </w:r>
      <w:r w:rsidR="00F83249">
        <w:rPr>
          <w:rFonts w:ascii="Times New Roman" w:hAnsi="Times New Roman" w:cs="Times New Roman"/>
          <w:sz w:val="22"/>
          <w:szCs w:val="22"/>
        </w:rPr>
        <w:t xml:space="preserve">omen, </w:t>
      </w:r>
      <w:r w:rsidRPr="00855860">
        <w:rPr>
          <w:rFonts w:ascii="Times New Roman" w:hAnsi="Times New Roman" w:cs="Times New Roman"/>
          <w:sz w:val="22"/>
          <w:szCs w:val="22"/>
        </w:rPr>
        <w:t xml:space="preserve">but also with </w:t>
      </w:r>
      <w:r w:rsidR="00F83249">
        <w:rPr>
          <w:rFonts w:ascii="Times New Roman" w:hAnsi="Times New Roman" w:cs="Times New Roman"/>
          <w:sz w:val="22"/>
          <w:szCs w:val="22"/>
        </w:rPr>
        <w:t xml:space="preserve">global </w:t>
      </w:r>
      <w:r w:rsidRPr="00855860">
        <w:rPr>
          <w:rFonts w:ascii="Times New Roman" w:hAnsi="Times New Roman" w:cs="Times New Roman"/>
          <w:sz w:val="22"/>
          <w:szCs w:val="22"/>
        </w:rPr>
        <w:t xml:space="preserve">organizations such as the </w:t>
      </w:r>
      <w:r w:rsidR="00F83249">
        <w:rPr>
          <w:rFonts w:ascii="Times New Roman" w:hAnsi="Times New Roman" w:cs="Times New Roman"/>
          <w:sz w:val="22"/>
          <w:szCs w:val="22"/>
        </w:rPr>
        <w:t>Inter-Parliamentary Union</w:t>
      </w:r>
      <w:r w:rsidRPr="00855860">
        <w:rPr>
          <w:rFonts w:ascii="Times New Roman" w:hAnsi="Times New Roman" w:cs="Times New Roman"/>
          <w:sz w:val="22"/>
          <w:szCs w:val="22"/>
        </w:rPr>
        <w:t xml:space="preserve"> and regional organizations such as the A</w:t>
      </w:r>
      <w:r w:rsidR="00F83249">
        <w:rPr>
          <w:rFonts w:ascii="Times New Roman" w:hAnsi="Times New Roman" w:cs="Times New Roman"/>
          <w:sz w:val="22"/>
          <w:szCs w:val="22"/>
        </w:rPr>
        <w:t xml:space="preserve">frican </w:t>
      </w:r>
      <w:r w:rsidRPr="00855860">
        <w:rPr>
          <w:rFonts w:ascii="Times New Roman" w:hAnsi="Times New Roman" w:cs="Times New Roman"/>
          <w:sz w:val="22"/>
          <w:szCs w:val="22"/>
        </w:rPr>
        <w:t>U</w:t>
      </w:r>
      <w:r w:rsidR="00F83249">
        <w:rPr>
          <w:rFonts w:ascii="Times New Roman" w:hAnsi="Times New Roman" w:cs="Times New Roman"/>
          <w:sz w:val="22"/>
          <w:szCs w:val="22"/>
        </w:rPr>
        <w:t>nion</w:t>
      </w:r>
      <w:r>
        <w:rPr>
          <w:rFonts w:ascii="Times New Roman" w:hAnsi="Times New Roman" w:cs="Times New Roman"/>
          <w:sz w:val="22"/>
          <w:szCs w:val="22"/>
        </w:rPr>
        <w:t xml:space="preserve">.  </w:t>
      </w:r>
    </w:p>
    <w:p w:rsidR="00DA3593" w:rsidRPr="007E64ED" w:rsidRDefault="00DA3593" w:rsidP="00DA3593">
      <w:pPr>
        <w:pStyle w:val="ListParagraph"/>
        <w:rPr>
          <w:rFonts w:ascii="Times New Roman" w:hAnsi="Times New Roman" w:cs="Times New Roman"/>
          <w:sz w:val="22"/>
          <w:szCs w:val="22"/>
        </w:rPr>
      </w:pPr>
    </w:p>
    <w:p w:rsidR="00DA3593" w:rsidRPr="007619FB" w:rsidRDefault="00DA3593" w:rsidP="00DA3593">
      <w:pPr>
        <w:pStyle w:val="ListParagraph"/>
        <w:numPr>
          <w:ilvl w:val="0"/>
          <w:numId w:val="9"/>
        </w:numPr>
        <w:jc w:val="both"/>
        <w:rPr>
          <w:rFonts w:ascii="Times New Roman" w:hAnsi="Times New Roman"/>
          <w:sz w:val="22"/>
          <w:szCs w:val="22"/>
        </w:rPr>
      </w:pPr>
      <w:r>
        <w:rPr>
          <w:rFonts w:ascii="Times New Roman" w:hAnsi="Times New Roman" w:cs="Times New Roman"/>
          <w:sz w:val="22"/>
          <w:szCs w:val="22"/>
        </w:rPr>
        <w:t xml:space="preserve">During </w:t>
      </w:r>
      <w:r w:rsidR="00AD23C1">
        <w:rPr>
          <w:rFonts w:ascii="Times New Roman" w:hAnsi="Times New Roman" w:cs="Times New Roman"/>
          <w:sz w:val="22"/>
          <w:szCs w:val="22"/>
        </w:rPr>
        <w:t xml:space="preserve">implementation of </w:t>
      </w:r>
      <w:r>
        <w:rPr>
          <w:rFonts w:ascii="Times New Roman" w:hAnsi="Times New Roman" w:cs="Times New Roman"/>
          <w:sz w:val="22"/>
          <w:szCs w:val="22"/>
        </w:rPr>
        <w:t xml:space="preserve">the last gender equality strategy, UNDP expanded its work to support women’s participation and leadership in </w:t>
      </w:r>
      <w:r w:rsidR="00AD23C1">
        <w:rPr>
          <w:rFonts w:ascii="Times New Roman" w:hAnsi="Times New Roman" w:cs="Times New Roman"/>
          <w:sz w:val="22"/>
          <w:szCs w:val="22"/>
        </w:rPr>
        <w:t xml:space="preserve">a broad range of </w:t>
      </w:r>
      <w:r>
        <w:rPr>
          <w:rFonts w:ascii="Times New Roman" w:hAnsi="Times New Roman" w:cs="Times New Roman"/>
          <w:sz w:val="22"/>
          <w:szCs w:val="22"/>
        </w:rPr>
        <w:t xml:space="preserve"> institutions, </w:t>
      </w:r>
      <w:r w:rsidR="00AD23C1">
        <w:rPr>
          <w:rFonts w:ascii="Times New Roman" w:hAnsi="Times New Roman" w:cs="Times New Roman"/>
          <w:sz w:val="22"/>
          <w:szCs w:val="22"/>
        </w:rPr>
        <w:t>including</w:t>
      </w:r>
      <w:r>
        <w:rPr>
          <w:rFonts w:ascii="Times New Roman" w:hAnsi="Times New Roman" w:cs="Times New Roman"/>
          <w:sz w:val="22"/>
          <w:szCs w:val="22"/>
        </w:rPr>
        <w:t xml:space="preserve"> public administration, the judiciary and the private sector. </w:t>
      </w:r>
      <w:r w:rsidRPr="000D3E76">
        <w:rPr>
          <w:rFonts w:ascii="Times New Roman" w:hAnsi="Times New Roman" w:cs="Times New Roman"/>
          <w:sz w:val="22"/>
          <w:szCs w:val="22"/>
        </w:rPr>
        <w:t xml:space="preserve">Over the course of the 2014-2017 Strategic Plan, UNDP’s Global Initiative on Gender Equality in Public Administration (GEPA) has </w:t>
      </w:r>
      <w:r w:rsidR="00D55819">
        <w:rPr>
          <w:rFonts w:ascii="Times New Roman" w:hAnsi="Times New Roman" w:cs="Times New Roman"/>
          <w:sz w:val="22"/>
          <w:szCs w:val="22"/>
        </w:rPr>
        <w:t>worked with</w:t>
      </w:r>
      <w:r w:rsidR="00F83249">
        <w:rPr>
          <w:rFonts w:ascii="Times New Roman" w:hAnsi="Times New Roman" w:cs="Times New Roman"/>
          <w:sz w:val="22"/>
          <w:szCs w:val="22"/>
        </w:rPr>
        <w:t xml:space="preserve"> partners – such as OECD</w:t>
      </w:r>
      <w:r w:rsidR="00130B4C">
        <w:rPr>
          <w:rFonts w:ascii="Times New Roman" w:hAnsi="Times New Roman" w:cs="Times New Roman"/>
          <w:sz w:val="22"/>
          <w:szCs w:val="22"/>
        </w:rPr>
        <w:t xml:space="preserve">, </w:t>
      </w:r>
      <w:r w:rsidR="00F83249">
        <w:rPr>
          <w:rFonts w:ascii="Times New Roman" w:hAnsi="Times New Roman" w:cs="Times New Roman"/>
          <w:sz w:val="22"/>
          <w:szCs w:val="22"/>
        </w:rPr>
        <w:t>UN Women</w:t>
      </w:r>
      <w:r w:rsidR="00DE154B">
        <w:rPr>
          <w:rFonts w:ascii="Times New Roman" w:hAnsi="Times New Roman" w:cs="Times New Roman"/>
          <w:sz w:val="22"/>
          <w:szCs w:val="22"/>
        </w:rPr>
        <w:t xml:space="preserve"> and the</w:t>
      </w:r>
      <w:r w:rsidR="00130B4C">
        <w:rPr>
          <w:rFonts w:ascii="Times New Roman" w:hAnsi="Times New Roman" w:cs="Times New Roman"/>
          <w:sz w:val="22"/>
          <w:szCs w:val="22"/>
        </w:rPr>
        <w:t xml:space="preserve"> </w:t>
      </w:r>
      <w:r w:rsidR="00DE154B">
        <w:rPr>
          <w:rFonts w:ascii="Times New Roman" w:hAnsi="Times New Roman" w:cs="Times New Roman"/>
          <w:sz w:val="22"/>
          <w:szCs w:val="22"/>
        </w:rPr>
        <w:t xml:space="preserve">Wilson </w:t>
      </w:r>
      <w:r w:rsidR="00130B4C">
        <w:rPr>
          <w:rFonts w:ascii="Times New Roman" w:hAnsi="Times New Roman" w:cs="Times New Roman"/>
          <w:sz w:val="22"/>
          <w:szCs w:val="22"/>
        </w:rPr>
        <w:t xml:space="preserve">Center </w:t>
      </w:r>
      <w:r w:rsidRPr="000D3E76">
        <w:rPr>
          <w:rFonts w:ascii="Times New Roman" w:hAnsi="Times New Roman" w:cs="Times New Roman"/>
          <w:sz w:val="22"/>
          <w:szCs w:val="22"/>
        </w:rPr>
        <w:t xml:space="preserve">– </w:t>
      </w:r>
      <w:r w:rsidR="00E15CED">
        <w:rPr>
          <w:rFonts w:ascii="Times New Roman" w:hAnsi="Times New Roman" w:cs="Times New Roman"/>
          <w:sz w:val="22"/>
          <w:szCs w:val="22"/>
        </w:rPr>
        <w:t>to develop tracking systems to</w:t>
      </w:r>
      <w:r w:rsidR="00D55819">
        <w:rPr>
          <w:rFonts w:ascii="Times New Roman" w:hAnsi="Times New Roman" w:cs="Times New Roman"/>
          <w:sz w:val="22"/>
          <w:szCs w:val="22"/>
        </w:rPr>
        <w:t xml:space="preserve"> </w:t>
      </w:r>
      <w:r w:rsidR="00DE154B">
        <w:rPr>
          <w:rFonts w:ascii="Times New Roman" w:hAnsi="Times New Roman" w:cs="Times New Roman"/>
          <w:sz w:val="22"/>
          <w:szCs w:val="22"/>
        </w:rPr>
        <w:t xml:space="preserve">monitor and advocate for more women in leadership within the public administration. </w:t>
      </w:r>
      <w:r w:rsidR="00D55819">
        <w:rPr>
          <w:rFonts w:ascii="Times New Roman" w:hAnsi="Times New Roman" w:cs="Times New Roman"/>
          <w:sz w:val="22"/>
          <w:szCs w:val="22"/>
        </w:rPr>
        <w:t>Likewise, over the strategic planning period, UNDP began promoting women’s empowerment and leadership in the private sector through the Gender Equality Seal for Private and Public Enterprise</w:t>
      </w:r>
      <w:r w:rsidR="00F83249">
        <w:rPr>
          <w:rFonts w:ascii="Times New Roman" w:hAnsi="Times New Roman" w:cs="Times New Roman"/>
          <w:sz w:val="22"/>
          <w:szCs w:val="22"/>
        </w:rPr>
        <w:t>s</w:t>
      </w:r>
      <w:r w:rsidR="00DE154B">
        <w:rPr>
          <w:rFonts w:ascii="Times New Roman" w:hAnsi="Times New Roman" w:cs="Times New Roman"/>
          <w:sz w:val="22"/>
          <w:szCs w:val="22"/>
        </w:rPr>
        <w:t xml:space="preserve">, which amongst other things, works to advance women’s leadership </w:t>
      </w:r>
      <w:r w:rsidR="00130B4C">
        <w:rPr>
          <w:rFonts w:ascii="Times New Roman" w:hAnsi="Times New Roman" w:cs="Times New Roman"/>
          <w:sz w:val="22"/>
          <w:szCs w:val="22"/>
        </w:rPr>
        <w:t xml:space="preserve">and gender equality </w:t>
      </w:r>
      <w:r w:rsidR="00DE154B">
        <w:rPr>
          <w:rFonts w:ascii="Times New Roman" w:hAnsi="Times New Roman" w:cs="Times New Roman"/>
          <w:sz w:val="22"/>
          <w:szCs w:val="22"/>
        </w:rPr>
        <w:t>in companies</w:t>
      </w:r>
      <w:r w:rsidR="00F83249">
        <w:rPr>
          <w:rFonts w:ascii="Times New Roman" w:hAnsi="Times New Roman" w:cs="Times New Roman"/>
          <w:sz w:val="22"/>
          <w:szCs w:val="22"/>
        </w:rPr>
        <w:t>. T</w:t>
      </w:r>
      <w:r w:rsidR="00D55819">
        <w:rPr>
          <w:rFonts w:ascii="Times New Roman" w:hAnsi="Times New Roman" w:cs="Times New Roman"/>
          <w:sz w:val="22"/>
          <w:szCs w:val="22"/>
        </w:rPr>
        <w:t>his</w:t>
      </w:r>
      <w:r>
        <w:rPr>
          <w:rFonts w:ascii="Times New Roman" w:hAnsi="Times New Roman" w:cs="Times New Roman"/>
          <w:sz w:val="22"/>
          <w:szCs w:val="22"/>
        </w:rPr>
        <w:t xml:space="preserve"> </w:t>
      </w:r>
      <w:r w:rsidRPr="007E64ED">
        <w:rPr>
          <w:rFonts w:ascii="Times New Roman" w:hAnsi="Times New Roman" w:cs="Times New Roman"/>
          <w:sz w:val="22"/>
          <w:szCs w:val="22"/>
        </w:rPr>
        <w:t>work is reflected in the new gender equality strategy as a priority area in Signature Solution 6, “p</w:t>
      </w:r>
      <w:r w:rsidRPr="007E64ED">
        <w:rPr>
          <w:rFonts w:ascii="Times New Roman" w:eastAsia="Times New Roman" w:hAnsi="Times New Roman" w:cs="Times New Roman"/>
          <w:sz w:val="22"/>
          <w:szCs w:val="22"/>
        </w:rPr>
        <w:t>romoting women’s participation and leadership in all forms of decision-making.”</w:t>
      </w:r>
    </w:p>
    <w:p w:rsidR="00DA3593" w:rsidRPr="005B50C5" w:rsidRDefault="00DA3593" w:rsidP="005B50C5">
      <w:pPr>
        <w:rPr>
          <w:rFonts w:ascii="Times New Roman" w:hAnsi="Times New Roman"/>
          <w:sz w:val="22"/>
          <w:szCs w:val="22"/>
        </w:rPr>
      </w:pPr>
    </w:p>
    <w:p w:rsidR="00D55819" w:rsidRDefault="00DA3593" w:rsidP="00D55819">
      <w:pPr>
        <w:pStyle w:val="ListParagraph"/>
        <w:numPr>
          <w:ilvl w:val="0"/>
          <w:numId w:val="9"/>
        </w:numPr>
        <w:jc w:val="both"/>
        <w:rPr>
          <w:rFonts w:ascii="Times New Roman" w:hAnsi="Times New Roman"/>
          <w:sz w:val="22"/>
          <w:szCs w:val="22"/>
        </w:rPr>
      </w:pPr>
      <w:r>
        <w:rPr>
          <w:rFonts w:ascii="Times New Roman" w:hAnsi="Times New Roman"/>
          <w:sz w:val="22"/>
          <w:szCs w:val="22"/>
        </w:rPr>
        <w:t xml:space="preserve">Over the Strategic Plan period 2014-2017, </w:t>
      </w:r>
      <w:r w:rsidRPr="007619FB">
        <w:rPr>
          <w:rFonts w:ascii="Times New Roman" w:hAnsi="Times New Roman"/>
          <w:sz w:val="22"/>
          <w:szCs w:val="22"/>
        </w:rPr>
        <w:t xml:space="preserve">UNDP </w:t>
      </w:r>
      <w:r>
        <w:rPr>
          <w:rFonts w:ascii="Times New Roman" w:hAnsi="Times New Roman"/>
          <w:sz w:val="22"/>
          <w:szCs w:val="22"/>
        </w:rPr>
        <w:t xml:space="preserve">saw a surge in requests for support from governments to address </w:t>
      </w:r>
      <w:r w:rsidRPr="007619FB">
        <w:rPr>
          <w:rFonts w:ascii="Times New Roman" w:hAnsi="Times New Roman"/>
          <w:sz w:val="22"/>
          <w:szCs w:val="22"/>
        </w:rPr>
        <w:t>gender-based violence</w:t>
      </w:r>
      <w:r w:rsidR="0045343A">
        <w:rPr>
          <w:rFonts w:ascii="Times New Roman" w:hAnsi="Times New Roman"/>
          <w:sz w:val="22"/>
          <w:szCs w:val="22"/>
        </w:rPr>
        <w:t xml:space="preserve"> as this issue</w:t>
      </w:r>
      <w:r>
        <w:rPr>
          <w:rFonts w:ascii="Times New Roman" w:hAnsi="Times New Roman"/>
          <w:sz w:val="22"/>
          <w:szCs w:val="22"/>
        </w:rPr>
        <w:t xml:space="preserve"> is increasingly recognized </w:t>
      </w:r>
      <w:r w:rsidRPr="007619FB">
        <w:rPr>
          <w:rFonts w:ascii="Times New Roman" w:hAnsi="Times New Roman"/>
          <w:sz w:val="22"/>
          <w:szCs w:val="22"/>
        </w:rPr>
        <w:t xml:space="preserve">as </w:t>
      </w:r>
      <w:r>
        <w:rPr>
          <w:rFonts w:ascii="Times New Roman" w:hAnsi="Times New Roman"/>
          <w:sz w:val="22"/>
          <w:szCs w:val="22"/>
        </w:rPr>
        <w:t xml:space="preserve">a </w:t>
      </w:r>
      <w:r w:rsidRPr="007619FB">
        <w:rPr>
          <w:rFonts w:ascii="Times New Roman" w:hAnsi="Times New Roman"/>
          <w:sz w:val="22"/>
          <w:szCs w:val="22"/>
        </w:rPr>
        <w:t xml:space="preserve">major impediment to </w:t>
      </w:r>
      <w:r>
        <w:rPr>
          <w:rFonts w:ascii="Times New Roman" w:hAnsi="Times New Roman"/>
          <w:sz w:val="22"/>
          <w:szCs w:val="22"/>
        </w:rPr>
        <w:t xml:space="preserve">both </w:t>
      </w:r>
      <w:r w:rsidRPr="007619FB">
        <w:rPr>
          <w:rFonts w:ascii="Times New Roman" w:hAnsi="Times New Roman"/>
          <w:sz w:val="22"/>
          <w:szCs w:val="22"/>
        </w:rPr>
        <w:t>gender equality and sustainable development</w:t>
      </w:r>
      <w:r>
        <w:rPr>
          <w:rFonts w:ascii="Times New Roman" w:hAnsi="Times New Roman"/>
          <w:sz w:val="22"/>
          <w:szCs w:val="22"/>
        </w:rPr>
        <w:t xml:space="preserve">. In particular, </w:t>
      </w:r>
      <w:r w:rsidRPr="003B2D01">
        <w:rPr>
          <w:rFonts w:ascii="Times New Roman" w:hAnsi="Times New Roman"/>
          <w:sz w:val="22"/>
          <w:szCs w:val="22"/>
        </w:rPr>
        <w:t xml:space="preserve">UNDP </w:t>
      </w:r>
      <w:r>
        <w:rPr>
          <w:rFonts w:ascii="Times New Roman" w:hAnsi="Times New Roman"/>
          <w:sz w:val="22"/>
          <w:szCs w:val="22"/>
        </w:rPr>
        <w:t>has supported</w:t>
      </w:r>
      <w:r w:rsidRPr="003B2D01">
        <w:rPr>
          <w:rFonts w:ascii="Times New Roman" w:hAnsi="Times New Roman"/>
          <w:sz w:val="22"/>
          <w:szCs w:val="22"/>
        </w:rPr>
        <w:t xml:space="preserve"> efforts to ensure justice for victims of sexual and gender-based violence in crisis and non-crisis contexts</w:t>
      </w:r>
      <w:r w:rsidR="0045343A">
        <w:rPr>
          <w:rFonts w:ascii="Times New Roman" w:hAnsi="Times New Roman"/>
          <w:sz w:val="22"/>
          <w:szCs w:val="22"/>
        </w:rPr>
        <w:t xml:space="preserve"> by </w:t>
      </w:r>
      <w:r>
        <w:rPr>
          <w:rFonts w:ascii="Times New Roman" w:hAnsi="Times New Roman"/>
          <w:sz w:val="22"/>
          <w:szCs w:val="22"/>
        </w:rPr>
        <w:t>enhancing</w:t>
      </w:r>
      <w:r w:rsidR="0045343A">
        <w:rPr>
          <w:rFonts w:ascii="Times New Roman" w:hAnsi="Times New Roman"/>
          <w:sz w:val="22"/>
          <w:szCs w:val="22"/>
        </w:rPr>
        <w:t xml:space="preserve"> the</w:t>
      </w:r>
      <w:r w:rsidRPr="003B2D01">
        <w:rPr>
          <w:rFonts w:ascii="Times New Roman" w:hAnsi="Times New Roman"/>
          <w:sz w:val="22"/>
          <w:szCs w:val="22"/>
        </w:rPr>
        <w:t xml:space="preserve"> capacities of police officers, judges, prosecutors, court administrators, </w:t>
      </w:r>
      <w:r w:rsidR="0045343A">
        <w:rPr>
          <w:rFonts w:ascii="Times New Roman" w:hAnsi="Times New Roman"/>
          <w:sz w:val="22"/>
          <w:szCs w:val="22"/>
        </w:rPr>
        <w:t xml:space="preserve">and </w:t>
      </w:r>
      <w:r w:rsidRPr="003B2D01">
        <w:rPr>
          <w:rFonts w:ascii="Times New Roman" w:hAnsi="Times New Roman"/>
          <w:sz w:val="22"/>
          <w:szCs w:val="22"/>
        </w:rPr>
        <w:t xml:space="preserve">military and religious leaders. </w:t>
      </w:r>
      <w:r>
        <w:rPr>
          <w:rFonts w:ascii="Times New Roman" w:hAnsi="Times New Roman"/>
          <w:sz w:val="22"/>
          <w:szCs w:val="22"/>
        </w:rPr>
        <w:t>For example, i</w:t>
      </w:r>
      <w:r w:rsidRPr="003B2D01">
        <w:rPr>
          <w:rFonts w:ascii="Times New Roman" w:hAnsi="Times New Roman"/>
          <w:sz w:val="22"/>
          <w:szCs w:val="22"/>
        </w:rPr>
        <w:t>n</w:t>
      </w:r>
      <w:r>
        <w:rPr>
          <w:rFonts w:ascii="Times New Roman" w:hAnsi="Times New Roman"/>
          <w:sz w:val="22"/>
          <w:szCs w:val="22"/>
        </w:rPr>
        <w:t xml:space="preserve"> the</w:t>
      </w:r>
      <w:r w:rsidRPr="003B2D01">
        <w:rPr>
          <w:rFonts w:ascii="Times New Roman" w:hAnsi="Times New Roman"/>
          <w:sz w:val="22"/>
          <w:szCs w:val="22"/>
        </w:rPr>
        <w:t xml:space="preserve"> Democratic Republic of Congo, UNDP, UNFPA and UNESCO supported work to prevent </w:t>
      </w:r>
      <w:r w:rsidR="0045343A">
        <w:rPr>
          <w:rFonts w:ascii="Times New Roman" w:hAnsi="Times New Roman"/>
          <w:sz w:val="22"/>
          <w:szCs w:val="22"/>
        </w:rPr>
        <w:t>sexual and gender-based violence (</w:t>
      </w:r>
      <w:r w:rsidRPr="003B2D01">
        <w:rPr>
          <w:rFonts w:ascii="Times New Roman" w:hAnsi="Times New Roman"/>
          <w:sz w:val="22"/>
          <w:szCs w:val="22"/>
        </w:rPr>
        <w:t>SGBV</w:t>
      </w:r>
      <w:r w:rsidR="0045343A">
        <w:rPr>
          <w:rFonts w:ascii="Times New Roman" w:hAnsi="Times New Roman"/>
          <w:sz w:val="22"/>
          <w:szCs w:val="22"/>
        </w:rPr>
        <w:t>)</w:t>
      </w:r>
      <w:r w:rsidRPr="003B2D01">
        <w:rPr>
          <w:rFonts w:ascii="Times New Roman" w:hAnsi="Times New Roman"/>
          <w:sz w:val="22"/>
          <w:szCs w:val="22"/>
        </w:rPr>
        <w:t xml:space="preserve"> cases. </w:t>
      </w:r>
      <w:r w:rsidR="003550E5">
        <w:rPr>
          <w:rFonts w:ascii="Times New Roman" w:hAnsi="Times New Roman"/>
          <w:sz w:val="22"/>
          <w:szCs w:val="22"/>
        </w:rPr>
        <w:t>An</w:t>
      </w:r>
      <w:r w:rsidRPr="003B2D01">
        <w:rPr>
          <w:rFonts w:ascii="Times New Roman" w:hAnsi="Times New Roman"/>
          <w:sz w:val="22"/>
          <w:szCs w:val="22"/>
        </w:rPr>
        <w:t xml:space="preserve"> evaluation condu</w:t>
      </w:r>
      <w:r>
        <w:rPr>
          <w:rFonts w:ascii="Times New Roman" w:hAnsi="Times New Roman"/>
          <w:sz w:val="22"/>
          <w:szCs w:val="22"/>
        </w:rPr>
        <w:t>cted in 2017 revealed an 88 per</w:t>
      </w:r>
      <w:r w:rsidRPr="003B2D01">
        <w:rPr>
          <w:rFonts w:ascii="Times New Roman" w:hAnsi="Times New Roman"/>
          <w:sz w:val="22"/>
          <w:szCs w:val="22"/>
        </w:rPr>
        <w:t>cent decrease in SGBV cases from 15,532 in 2013 to 1,734 in 2017.</w:t>
      </w:r>
      <w:r w:rsidR="00E15CED">
        <w:rPr>
          <w:rStyle w:val="FootnoteReference"/>
          <w:rFonts w:ascii="Times New Roman" w:hAnsi="Times New Roman"/>
          <w:sz w:val="22"/>
          <w:szCs w:val="22"/>
        </w:rPr>
        <w:footnoteReference w:id="8"/>
      </w:r>
      <w:r w:rsidRPr="003B2D01">
        <w:rPr>
          <w:rFonts w:ascii="Times New Roman" w:hAnsi="Times New Roman"/>
          <w:sz w:val="22"/>
          <w:szCs w:val="22"/>
        </w:rPr>
        <w:t xml:space="preserve"> It also showed that women’s access to justice improved by 33 pe</w:t>
      </w:r>
      <w:r w:rsidR="005B50C5">
        <w:rPr>
          <w:rFonts w:ascii="Times New Roman" w:hAnsi="Times New Roman"/>
          <w:sz w:val="22"/>
          <w:szCs w:val="22"/>
        </w:rPr>
        <w:t>rcent in 2017 compared to 2016.</w:t>
      </w:r>
      <w:r w:rsidRPr="003B2D01">
        <w:rPr>
          <w:rFonts w:ascii="Times New Roman" w:hAnsi="Times New Roman"/>
          <w:sz w:val="22"/>
          <w:szCs w:val="22"/>
        </w:rPr>
        <w:t xml:space="preserve"> In Kosovo,</w:t>
      </w:r>
      <w:r w:rsidR="0045343A">
        <w:rPr>
          <w:rStyle w:val="FootnoteReference"/>
          <w:rFonts w:ascii="Times New Roman" w:hAnsi="Times New Roman"/>
          <w:sz w:val="22"/>
          <w:szCs w:val="22"/>
        </w:rPr>
        <w:footnoteReference w:id="9"/>
      </w:r>
      <w:r w:rsidRPr="003B2D01">
        <w:rPr>
          <w:rFonts w:ascii="Times New Roman" w:hAnsi="Times New Roman"/>
          <w:sz w:val="22"/>
          <w:szCs w:val="22"/>
        </w:rPr>
        <w:t xml:space="preserve"> </w:t>
      </w:r>
      <w:r w:rsidR="0045343A">
        <w:rPr>
          <w:rFonts w:ascii="Times New Roman" w:hAnsi="Times New Roman"/>
          <w:sz w:val="22"/>
          <w:szCs w:val="22"/>
        </w:rPr>
        <w:t>with</w:t>
      </w:r>
      <w:r>
        <w:rPr>
          <w:rFonts w:ascii="Times New Roman" w:hAnsi="Times New Roman"/>
          <w:sz w:val="22"/>
          <w:szCs w:val="22"/>
        </w:rPr>
        <w:t xml:space="preserve"> support </w:t>
      </w:r>
      <w:r w:rsidR="0045343A">
        <w:rPr>
          <w:rFonts w:ascii="Times New Roman" w:hAnsi="Times New Roman"/>
          <w:sz w:val="22"/>
          <w:szCs w:val="22"/>
        </w:rPr>
        <w:t>from</w:t>
      </w:r>
      <w:r>
        <w:rPr>
          <w:rFonts w:ascii="Times New Roman" w:hAnsi="Times New Roman"/>
          <w:sz w:val="22"/>
          <w:szCs w:val="22"/>
        </w:rPr>
        <w:t xml:space="preserve"> </w:t>
      </w:r>
      <w:r w:rsidRPr="003B2D01">
        <w:rPr>
          <w:rFonts w:ascii="Times New Roman" w:hAnsi="Times New Roman"/>
          <w:sz w:val="22"/>
          <w:szCs w:val="22"/>
        </w:rPr>
        <w:t>UNDP and</w:t>
      </w:r>
      <w:r w:rsidRPr="00C003AD">
        <w:rPr>
          <w:rFonts w:ascii="Times New Roman" w:hAnsi="Times New Roman"/>
          <w:sz w:val="22"/>
          <w:szCs w:val="22"/>
        </w:rPr>
        <w:t xml:space="preserve"> </w:t>
      </w:r>
      <w:r>
        <w:rPr>
          <w:rFonts w:ascii="Times New Roman" w:hAnsi="Times New Roman"/>
          <w:sz w:val="22"/>
          <w:szCs w:val="22"/>
        </w:rPr>
        <w:t xml:space="preserve">other </w:t>
      </w:r>
      <w:r w:rsidRPr="00C003AD">
        <w:rPr>
          <w:rFonts w:ascii="Times New Roman" w:hAnsi="Times New Roman"/>
          <w:sz w:val="22"/>
          <w:szCs w:val="22"/>
        </w:rPr>
        <w:t xml:space="preserve">UN agencies, </w:t>
      </w:r>
      <w:r>
        <w:rPr>
          <w:rFonts w:ascii="Times New Roman" w:hAnsi="Times New Roman"/>
          <w:sz w:val="22"/>
          <w:szCs w:val="22"/>
        </w:rPr>
        <w:t xml:space="preserve">a </w:t>
      </w:r>
      <w:r w:rsidRPr="003B2D01">
        <w:rPr>
          <w:rFonts w:ascii="Times New Roman" w:hAnsi="Times New Roman"/>
          <w:sz w:val="22"/>
          <w:szCs w:val="22"/>
        </w:rPr>
        <w:t>new National</w:t>
      </w:r>
      <w:r w:rsidRPr="00C003AD">
        <w:rPr>
          <w:rFonts w:ascii="Times New Roman" w:hAnsi="Times New Roman"/>
          <w:sz w:val="22"/>
          <w:szCs w:val="22"/>
        </w:rPr>
        <w:t xml:space="preserve"> Strategy on Pro</w:t>
      </w:r>
      <w:r w:rsidRPr="003B2D01">
        <w:rPr>
          <w:rFonts w:ascii="Times New Roman" w:hAnsi="Times New Roman"/>
          <w:sz w:val="22"/>
          <w:szCs w:val="22"/>
        </w:rPr>
        <w:t>tection from Domestic Violence and Action Plan 2016-2020 has been put</w:t>
      </w:r>
      <w:r w:rsidRPr="00C003AD">
        <w:rPr>
          <w:rFonts w:ascii="Times New Roman" w:hAnsi="Times New Roman"/>
          <w:sz w:val="22"/>
          <w:szCs w:val="22"/>
        </w:rPr>
        <w:t xml:space="preserve"> in place, providing </w:t>
      </w:r>
      <w:r w:rsidR="0045343A">
        <w:rPr>
          <w:rFonts w:ascii="Times New Roman" w:hAnsi="Times New Roman"/>
          <w:sz w:val="22"/>
          <w:szCs w:val="22"/>
        </w:rPr>
        <w:t xml:space="preserve">a </w:t>
      </w:r>
      <w:r w:rsidRPr="00C003AD">
        <w:rPr>
          <w:rFonts w:ascii="Times New Roman" w:hAnsi="Times New Roman"/>
          <w:sz w:val="22"/>
          <w:szCs w:val="22"/>
        </w:rPr>
        <w:t>framewor</w:t>
      </w:r>
      <w:r w:rsidR="0045343A">
        <w:rPr>
          <w:rFonts w:ascii="Times New Roman" w:hAnsi="Times New Roman"/>
          <w:sz w:val="22"/>
          <w:szCs w:val="22"/>
        </w:rPr>
        <w:t>k for prevention and</w:t>
      </w:r>
      <w:r w:rsidRPr="003B2D01">
        <w:rPr>
          <w:rFonts w:ascii="Times New Roman" w:hAnsi="Times New Roman"/>
          <w:sz w:val="22"/>
          <w:szCs w:val="22"/>
        </w:rPr>
        <w:t xml:space="preserve"> response </w:t>
      </w:r>
      <w:r w:rsidR="0045343A">
        <w:rPr>
          <w:rFonts w:ascii="Times New Roman" w:hAnsi="Times New Roman"/>
          <w:sz w:val="22"/>
          <w:szCs w:val="22"/>
        </w:rPr>
        <w:t>as well as the</w:t>
      </w:r>
      <w:r w:rsidRPr="00C003AD">
        <w:rPr>
          <w:rFonts w:ascii="Times New Roman" w:hAnsi="Times New Roman"/>
          <w:sz w:val="22"/>
          <w:szCs w:val="22"/>
        </w:rPr>
        <w:t xml:space="preserve"> </w:t>
      </w:r>
      <w:r w:rsidRPr="00C003AD">
        <w:rPr>
          <w:rFonts w:ascii="Times New Roman" w:hAnsi="Times New Roman"/>
          <w:sz w:val="22"/>
          <w:szCs w:val="22"/>
        </w:rPr>
        <w:lastRenderedPageBreak/>
        <w:t>re</w:t>
      </w:r>
      <w:r w:rsidRPr="003B2D01">
        <w:rPr>
          <w:rFonts w:ascii="Times New Roman" w:hAnsi="Times New Roman"/>
          <w:sz w:val="22"/>
          <w:szCs w:val="22"/>
        </w:rPr>
        <w:t xml:space="preserve">integration of </w:t>
      </w:r>
      <w:r w:rsidR="0045343A">
        <w:rPr>
          <w:rFonts w:ascii="Times New Roman" w:hAnsi="Times New Roman"/>
          <w:sz w:val="22"/>
          <w:szCs w:val="22"/>
        </w:rPr>
        <w:t>S</w:t>
      </w:r>
      <w:r w:rsidRPr="003B2D01">
        <w:rPr>
          <w:rFonts w:ascii="Times New Roman" w:hAnsi="Times New Roman"/>
          <w:sz w:val="22"/>
          <w:szCs w:val="22"/>
        </w:rPr>
        <w:t>GBV</w:t>
      </w:r>
      <w:r w:rsidR="0045343A">
        <w:rPr>
          <w:rFonts w:ascii="Times New Roman" w:hAnsi="Times New Roman"/>
          <w:sz w:val="22"/>
          <w:szCs w:val="22"/>
        </w:rPr>
        <w:t xml:space="preserve"> survivors</w:t>
      </w:r>
      <w:r w:rsidRPr="003B2D01">
        <w:rPr>
          <w:rFonts w:ascii="Times New Roman" w:hAnsi="Times New Roman"/>
          <w:sz w:val="22"/>
          <w:szCs w:val="22"/>
        </w:rPr>
        <w:t>.</w:t>
      </w:r>
      <w:r w:rsidR="00EE0B73">
        <w:rPr>
          <w:rStyle w:val="FootnoteReference"/>
          <w:rFonts w:ascii="Times New Roman" w:hAnsi="Times New Roman"/>
          <w:sz w:val="22"/>
          <w:szCs w:val="22"/>
        </w:rPr>
        <w:footnoteReference w:id="10"/>
      </w:r>
      <w:r w:rsidR="003D71CB">
        <w:rPr>
          <w:rFonts w:ascii="Times New Roman" w:hAnsi="Times New Roman"/>
          <w:sz w:val="22"/>
          <w:szCs w:val="22"/>
        </w:rPr>
        <w:t xml:space="preserve"> </w:t>
      </w:r>
      <w:r w:rsidRPr="00C003AD">
        <w:rPr>
          <w:rFonts w:ascii="Times New Roman" w:hAnsi="Times New Roman"/>
          <w:sz w:val="22"/>
          <w:szCs w:val="22"/>
        </w:rPr>
        <w:t xml:space="preserve">In the </w:t>
      </w:r>
      <w:r w:rsidR="00F14165">
        <w:rPr>
          <w:rFonts w:ascii="Times New Roman" w:hAnsi="Times New Roman"/>
          <w:sz w:val="22"/>
          <w:szCs w:val="22"/>
        </w:rPr>
        <w:t>new gender equality strategy, “p</w:t>
      </w:r>
      <w:r w:rsidRPr="00C003AD">
        <w:rPr>
          <w:rFonts w:ascii="Times New Roman" w:hAnsi="Times New Roman"/>
          <w:sz w:val="22"/>
          <w:szCs w:val="22"/>
        </w:rPr>
        <w:t xml:space="preserve">reventing and responding to gender-based violence” is a </w:t>
      </w:r>
      <w:r w:rsidR="007D175C" w:rsidRPr="00795722">
        <w:rPr>
          <w:rFonts w:ascii="Times New Roman" w:hAnsi="Times New Roman" w:cs="Times New Roman"/>
          <w:bCs/>
          <w:sz w:val="22"/>
          <w:szCs w:val="22"/>
          <w:lang w:val="en-GB"/>
        </w:rPr>
        <w:t xml:space="preserve">Signature Solution 6 </w:t>
      </w:r>
      <w:r w:rsidRPr="00C003AD">
        <w:rPr>
          <w:rFonts w:ascii="Times New Roman" w:hAnsi="Times New Roman"/>
          <w:sz w:val="22"/>
          <w:szCs w:val="22"/>
        </w:rPr>
        <w:t xml:space="preserve">priority area. It underscores the need to ensure access to justice and protection </w:t>
      </w:r>
      <w:r w:rsidR="00F14165">
        <w:rPr>
          <w:rFonts w:ascii="Times New Roman" w:hAnsi="Times New Roman"/>
          <w:sz w:val="22"/>
          <w:szCs w:val="22"/>
        </w:rPr>
        <w:t>for</w:t>
      </w:r>
      <w:r w:rsidRPr="00C003AD">
        <w:rPr>
          <w:rFonts w:ascii="Times New Roman" w:hAnsi="Times New Roman"/>
          <w:sz w:val="22"/>
          <w:szCs w:val="22"/>
        </w:rPr>
        <w:t xml:space="preserve"> women and girls, especially those facing multiple and intersecting forms of discriminations, such as </w:t>
      </w:r>
      <w:r w:rsidR="00F14165">
        <w:rPr>
          <w:rFonts w:ascii="Times New Roman" w:hAnsi="Times New Roman"/>
          <w:sz w:val="22"/>
          <w:szCs w:val="22"/>
        </w:rPr>
        <w:t>women and girls</w:t>
      </w:r>
      <w:r w:rsidRPr="00C003AD">
        <w:rPr>
          <w:rFonts w:ascii="Times New Roman" w:hAnsi="Times New Roman"/>
          <w:sz w:val="22"/>
          <w:szCs w:val="22"/>
        </w:rPr>
        <w:t xml:space="preserve"> with disabilities. </w:t>
      </w:r>
    </w:p>
    <w:p w:rsidR="00D55819" w:rsidRPr="00D55819" w:rsidRDefault="00D55819" w:rsidP="00D55819">
      <w:pPr>
        <w:ind w:left="360"/>
        <w:jc w:val="both"/>
        <w:rPr>
          <w:rFonts w:ascii="Times New Roman" w:hAnsi="Times New Roman"/>
          <w:sz w:val="22"/>
          <w:szCs w:val="22"/>
        </w:rPr>
      </w:pPr>
    </w:p>
    <w:p w:rsidR="005B50C5" w:rsidRPr="0064041A" w:rsidRDefault="00DA3593" w:rsidP="00E45304">
      <w:pPr>
        <w:pStyle w:val="ListParagraph"/>
        <w:numPr>
          <w:ilvl w:val="0"/>
          <w:numId w:val="9"/>
        </w:numPr>
        <w:jc w:val="both"/>
        <w:rPr>
          <w:rFonts w:ascii="Times New Roman" w:hAnsi="Times New Roman" w:cs="Times New Roman"/>
          <w:bCs/>
          <w:sz w:val="22"/>
          <w:szCs w:val="22"/>
          <w:lang w:val="en-GB"/>
        </w:rPr>
      </w:pPr>
      <w:r w:rsidRPr="00D55819">
        <w:rPr>
          <w:rFonts w:ascii="Times New Roman" w:hAnsi="Times New Roman" w:cs="Times New Roman"/>
          <w:sz w:val="22"/>
          <w:szCs w:val="22"/>
        </w:rPr>
        <w:t xml:space="preserve">UNDP worked over the course of the Strategic Plan period 2014-2018 to improve the integration of gender </w:t>
      </w:r>
      <w:r w:rsidR="0064041A">
        <w:rPr>
          <w:rFonts w:ascii="Times New Roman" w:hAnsi="Times New Roman" w:cs="Times New Roman"/>
          <w:sz w:val="22"/>
          <w:szCs w:val="22"/>
        </w:rPr>
        <w:t xml:space="preserve">issues </w:t>
      </w:r>
      <w:r w:rsidRPr="00D55819">
        <w:rPr>
          <w:rFonts w:ascii="Times New Roman" w:hAnsi="Times New Roman" w:cs="Times New Roman"/>
          <w:sz w:val="22"/>
          <w:szCs w:val="22"/>
        </w:rPr>
        <w:t>in conflict prevention, disaster pr</w:t>
      </w:r>
      <w:r w:rsidR="0064041A">
        <w:rPr>
          <w:rFonts w:ascii="Times New Roman" w:hAnsi="Times New Roman" w:cs="Times New Roman"/>
          <w:sz w:val="22"/>
          <w:szCs w:val="22"/>
        </w:rPr>
        <w:t>eparedness and cris</w:t>
      </w:r>
      <w:r w:rsidR="00470A8F">
        <w:rPr>
          <w:rFonts w:ascii="Times New Roman" w:hAnsi="Times New Roman" w:cs="Times New Roman"/>
          <w:sz w:val="22"/>
          <w:szCs w:val="22"/>
        </w:rPr>
        <w:t>i</w:t>
      </w:r>
      <w:r w:rsidR="0064041A">
        <w:rPr>
          <w:rFonts w:ascii="Times New Roman" w:hAnsi="Times New Roman" w:cs="Times New Roman"/>
          <w:sz w:val="22"/>
          <w:szCs w:val="22"/>
        </w:rPr>
        <w:t>s response,</w:t>
      </w:r>
      <w:r w:rsidRPr="00D55819">
        <w:rPr>
          <w:rFonts w:ascii="Times New Roman" w:hAnsi="Times New Roman" w:cs="Times New Roman"/>
          <w:sz w:val="22"/>
          <w:szCs w:val="22"/>
        </w:rPr>
        <w:t xml:space="preserve"> </w:t>
      </w:r>
      <w:r w:rsidR="0064041A">
        <w:rPr>
          <w:rFonts w:ascii="Times New Roman" w:hAnsi="Times New Roman" w:cs="Times New Roman"/>
          <w:sz w:val="22"/>
          <w:szCs w:val="22"/>
        </w:rPr>
        <w:t>and advance the</w:t>
      </w:r>
      <w:r w:rsidRPr="00D55819">
        <w:rPr>
          <w:rFonts w:ascii="Times New Roman" w:hAnsi="Times New Roman" w:cs="Times New Roman"/>
          <w:sz w:val="22"/>
          <w:szCs w:val="22"/>
        </w:rPr>
        <w:t xml:space="preserve"> women, peace a</w:t>
      </w:r>
      <w:r w:rsidR="00454A95" w:rsidRPr="00D55819">
        <w:rPr>
          <w:rFonts w:ascii="Times New Roman" w:hAnsi="Times New Roman" w:cs="Times New Roman"/>
          <w:sz w:val="22"/>
          <w:szCs w:val="22"/>
        </w:rPr>
        <w:t>nd security</w:t>
      </w:r>
      <w:r w:rsidR="0064041A">
        <w:rPr>
          <w:rFonts w:ascii="Times New Roman" w:hAnsi="Times New Roman" w:cs="Times New Roman"/>
          <w:sz w:val="22"/>
          <w:szCs w:val="22"/>
        </w:rPr>
        <w:t xml:space="preserve"> agenda</w:t>
      </w:r>
      <w:r w:rsidR="00454A95" w:rsidRPr="00D55819">
        <w:rPr>
          <w:rFonts w:ascii="Times New Roman" w:hAnsi="Times New Roman" w:cs="Times New Roman"/>
          <w:sz w:val="22"/>
          <w:szCs w:val="22"/>
        </w:rPr>
        <w:t>.</w:t>
      </w:r>
      <w:r w:rsidRPr="00D55819">
        <w:rPr>
          <w:rFonts w:ascii="Times New Roman" w:hAnsi="Times New Roman" w:cs="Times New Roman"/>
          <w:sz w:val="22"/>
          <w:szCs w:val="22"/>
        </w:rPr>
        <w:t xml:space="preserve"> Furthermore, UNDP placed gender experts in some critical crises countries – including Central Africa</w:t>
      </w:r>
      <w:r w:rsidR="008352FF" w:rsidRPr="00D55819">
        <w:rPr>
          <w:rFonts w:ascii="Times New Roman" w:hAnsi="Times New Roman" w:cs="Times New Roman"/>
          <w:sz w:val="22"/>
          <w:szCs w:val="22"/>
        </w:rPr>
        <w:t>n R</w:t>
      </w:r>
      <w:r w:rsidRPr="00D55819">
        <w:rPr>
          <w:rFonts w:ascii="Times New Roman" w:hAnsi="Times New Roman" w:cs="Times New Roman"/>
          <w:sz w:val="22"/>
          <w:szCs w:val="22"/>
        </w:rPr>
        <w:t>epublic</w:t>
      </w:r>
      <w:r w:rsidR="002D223A">
        <w:rPr>
          <w:rFonts w:ascii="Times New Roman" w:hAnsi="Times New Roman" w:cs="Times New Roman"/>
          <w:sz w:val="22"/>
          <w:szCs w:val="22"/>
        </w:rPr>
        <w:t>, South Sudan, Syria and others</w:t>
      </w:r>
      <w:r w:rsidR="00F33A34" w:rsidRPr="00795722">
        <w:rPr>
          <w:rFonts w:ascii="Times New Roman" w:hAnsi="Times New Roman" w:cs="Times New Roman"/>
          <w:bCs/>
          <w:sz w:val="22"/>
          <w:szCs w:val="22"/>
          <w:lang w:val="en-GB"/>
        </w:rPr>
        <w:t xml:space="preserve">. For example, </w:t>
      </w:r>
      <w:r w:rsidR="00657CFD" w:rsidRPr="00795722">
        <w:rPr>
          <w:rFonts w:ascii="Times New Roman" w:hAnsi="Times New Roman" w:cs="Times New Roman"/>
          <w:bCs/>
          <w:sz w:val="22"/>
          <w:szCs w:val="22"/>
          <w:lang w:val="en-GB"/>
        </w:rPr>
        <w:t>in Central African Republic, a gender adviser was instrumental in advising the Government on the draft gender parity law that was subsequently adopted and requires all public institutions to have at least 35 percent women’s representation.</w:t>
      </w:r>
      <w:r w:rsidR="002D223A">
        <w:rPr>
          <w:rStyle w:val="FootnoteReference"/>
          <w:rFonts w:ascii="Times New Roman" w:hAnsi="Times New Roman" w:cs="Times New Roman"/>
          <w:bCs/>
          <w:sz w:val="22"/>
          <w:szCs w:val="22"/>
          <w:lang w:val="en-GB"/>
        </w:rPr>
        <w:footnoteReference w:id="11"/>
      </w:r>
      <w:r w:rsidR="00657CFD" w:rsidRPr="00795722">
        <w:rPr>
          <w:rFonts w:ascii="Times New Roman" w:hAnsi="Times New Roman" w:cs="Times New Roman"/>
          <w:bCs/>
          <w:sz w:val="22"/>
          <w:szCs w:val="22"/>
          <w:lang w:val="en-GB"/>
        </w:rPr>
        <w:t xml:space="preserve"> </w:t>
      </w:r>
      <w:r w:rsidR="00E45304" w:rsidRPr="00E45304">
        <w:rPr>
          <w:rFonts w:ascii="Times New Roman" w:hAnsi="Times New Roman" w:cs="Times New Roman"/>
          <w:iCs/>
          <w:sz w:val="22"/>
          <w:szCs w:val="22"/>
          <w:lang w:val="en-GB"/>
        </w:rPr>
        <w:t>In</w:t>
      </w:r>
      <w:r w:rsidR="005B50C5" w:rsidRPr="00E45304">
        <w:rPr>
          <w:rFonts w:ascii="Times New Roman" w:hAnsi="Times New Roman" w:cs="Times New Roman"/>
          <w:iCs/>
          <w:sz w:val="22"/>
          <w:szCs w:val="22"/>
        </w:rPr>
        <w:t xml:space="preserve"> Colombia, UNDP </w:t>
      </w:r>
      <w:r w:rsidR="00E45304">
        <w:rPr>
          <w:rFonts w:ascii="Times New Roman" w:hAnsi="Times New Roman" w:cs="Times New Roman"/>
          <w:iCs/>
          <w:sz w:val="22"/>
          <w:szCs w:val="22"/>
        </w:rPr>
        <w:t xml:space="preserve">jointly with national partners </w:t>
      </w:r>
      <w:r w:rsidR="005B50C5" w:rsidRPr="00E45304">
        <w:rPr>
          <w:rFonts w:ascii="Times New Roman" w:hAnsi="Times New Roman" w:cs="Times New Roman"/>
          <w:iCs/>
          <w:sz w:val="22"/>
          <w:szCs w:val="22"/>
        </w:rPr>
        <w:t xml:space="preserve">has </w:t>
      </w:r>
      <w:r w:rsidR="00E45304">
        <w:rPr>
          <w:rFonts w:ascii="Times New Roman" w:hAnsi="Times New Roman" w:cs="Times New Roman"/>
          <w:iCs/>
          <w:sz w:val="22"/>
          <w:szCs w:val="22"/>
        </w:rPr>
        <w:t xml:space="preserve">helped </w:t>
      </w:r>
      <w:r w:rsidR="005B50C5" w:rsidRPr="00E45304">
        <w:rPr>
          <w:rFonts w:ascii="Times New Roman" w:hAnsi="Times New Roman" w:cs="Times New Roman"/>
          <w:iCs/>
          <w:sz w:val="22"/>
          <w:szCs w:val="22"/>
        </w:rPr>
        <w:t xml:space="preserve">survivors of sexual violence </w:t>
      </w:r>
      <w:r w:rsidR="00E45304">
        <w:rPr>
          <w:rFonts w:ascii="Times New Roman" w:hAnsi="Times New Roman" w:cs="Times New Roman"/>
          <w:iCs/>
          <w:sz w:val="22"/>
          <w:szCs w:val="22"/>
        </w:rPr>
        <w:t>to</w:t>
      </w:r>
      <w:r w:rsidR="005B50C5" w:rsidRPr="00E45304">
        <w:rPr>
          <w:rFonts w:ascii="Times New Roman" w:hAnsi="Times New Roman" w:cs="Times New Roman"/>
          <w:iCs/>
          <w:sz w:val="22"/>
          <w:szCs w:val="22"/>
        </w:rPr>
        <w:t xml:space="preserve"> re</w:t>
      </w:r>
      <w:r w:rsidR="00E45304">
        <w:rPr>
          <w:rFonts w:ascii="Times New Roman" w:hAnsi="Times New Roman" w:cs="Times New Roman"/>
          <w:iCs/>
          <w:sz w:val="22"/>
          <w:szCs w:val="22"/>
        </w:rPr>
        <w:t xml:space="preserve">build their lives with dignity by providing </w:t>
      </w:r>
      <w:r w:rsidR="005B50C5" w:rsidRPr="00E45304">
        <w:rPr>
          <w:rFonts w:ascii="Times New Roman" w:hAnsi="Times New Roman" w:cs="Times New Roman"/>
          <w:iCs/>
          <w:sz w:val="22"/>
          <w:szCs w:val="22"/>
        </w:rPr>
        <w:t>access to health, protection,</w:t>
      </w:r>
      <w:r w:rsidR="00E45304">
        <w:rPr>
          <w:rFonts w:ascii="Times New Roman" w:hAnsi="Times New Roman" w:cs="Times New Roman"/>
          <w:iCs/>
          <w:sz w:val="22"/>
          <w:szCs w:val="22"/>
        </w:rPr>
        <w:t xml:space="preserve"> and psychosocial and </w:t>
      </w:r>
      <w:r w:rsidR="003550E5">
        <w:rPr>
          <w:rFonts w:ascii="Times New Roman" w:hAnsi="Times New Roman" w:cs="Times New Roman"/>
          <w:iCs/>
          <w:sz w:val="22"/>
          <w:szCs w:val="22"/>
        </w:rPr>
        <w:t xml:space="preserve">legal care, </w:t>
      </w:r>
      <w:r w:rsidR="00130B4C" w:rsidRPr="0064041A">
        <w:rPr>
          <w:rFonts w:ascii="Times New Roman" w:hAnsi="Times New Roman" w:cs="Times New Roman"/>
          <w:color w:val="000000"/>
          <w:sz w:val="22"/>
          <w:szCs w:val="22"/>
        </w:rPr>
        <w:t>docum</w:t>
      </w:r>
      <w:r w:rsidR="00130B4C">
        <w:rPr>
          <w:rFonts w:ascii="Times New Roman" w:hAnsi="Times New Roman" w:cs="Times New Roman"/>
          <w:color w:val="000000"/>
          <w:sz w:val="22"/>
          <w:szCs w:val="22"/>
        </w:rPr>
        <w:t>enting</w:t>
      </w:r>
      <w:r w:rsidR="00130B4C" w:rsidRPr="0064041A">
        <w:rPr>
          <w:rFonts w:ascii="Times New Roman" w:hAnsi="Times New Roman" w:cs="Times New Roman"/>
          <w:color w:val="000000"/>
          <w:sz w:val="22"/>
          <w:szCs w:val="22"/>
        </w:rPr>
        <w:t xml:space="preserve"> </w:t>
      </w:r>
      <w:r w:rsidR="005B50C5" w:rsidRPr="0064041A">
        <w:rPr>
          <w:rFonts w:ascii="Times New Roman" w:hAnsi="Times New Roman" w:cs="Times New Roman"/>
          <w:color w:val="000000"/>
          <w:sz w:val="22"/>
          <w:szCs w:val="22"/>
        </w:rPr>
        <w:t>over 1,600 cases, and promot</w:t>
      </w:r>
      <w:r w:rsidR="00130B4C">
        <w:rPr>
          <w:rFonts w:ascii="Times New Roman" w:hAnsi="Times New Roman" w:cs="Times New Roman"/>
          <w:color w:val="000000"/>
          <w:sz w:val="22"/>
          <w:szCs w:val="22"/>
        </w:rPr>
        <w:t>ing</w:t>
      </w:r>
      <w:r w:rsidR="005B50C5" w:rsidRPr="0064041A">
        <w:rPr>
          <w:rFonts w:ascii="Times New Roman" w:hAnsi="Times New Roman" w:cs="Times New Roman"/>
          <w:color w:val="000000"/>
          <w:sz w:val="22"/>
          <w:szCs w:val="22"/>
        </w:rPr>
        <w:t xml:space="preserve"> reparations for nearly 1,000 survivors.</w:t>
      </w:r>
      <w:r w:rsidR="002D223A">
        <w:rPr>
          <w:rStyle w:val="FootnoteReference"/>
          <w:rFonts w:ascii="Times New Roman" w:hAnsi="Times New Roman" w:cs="Times New Roman"/>
          <w:color w:val="000000"/>
          <w:sz w:val="22"/>
          <w:szCs w:val="22"/>
        </w:rPr>
        <w:footnoteReference w:id="12"/>
      </w:r>
      <w:r w:rsidR="005B50C5" w:rsidRPr="0064041A">
        <w:rPr>
          <w:rFonts w:ascii="Times New Roman" w:hAnsi="Times New Roman" w:cs="Times New Roman"/>
          <w:sz w:val="22"/>
          <w:szCs w:val="22"/>
        </w:rPr>
        <w:t xml:space="preserve"> </w:t>
      </w:r>
      <w:r w:rsidR="0064041A" w:rsidRPr="0064041A">
        <w:rPr>
          <w:rFonts w:ascii="Times New Roman" w:hAnsi="Times New Roman"/>
          <w:sz w:val="22"/>
          <w:szCs w:val="22"/>
        </w:rPr>
        <w:t>In recent years, the regional programme SEESAC (South Eastern and Eastern Europe Clearing</w:t>
      </w:r>
      <w:r w:rsidR="0064041A">
        <w:rPr>
          <w:rFonts w:ascii="Times New Roman" w:hAnsi="Times New Roman"/>
          <w:sz w:val="22"/>
          <w:szCs w:val="22"/>
        </w:rPr>
        <w:t xml:space="preserve"> </w:t>
      </w:r>
      <w:r w:rsidR="0064041A" w:rsidRPr="0064041A">
        <w:rPr>
          <w:rFonts w:ascii="Times New Roman" w:hAnsi="Times New Roman"/>
          <w:sz w:val="22"/>
          <w:szCs w:val="22"/>
        </w:rPr>
        <w:t>house for the Control of Small Arms and Light Weapons) has been successfully advancing gender equality in security sector reforms in the Western Balkans.</w:t>
      </w:r>
      <w:r w:rsidR="002D223A">
        <w:rPr>
          <w:rStyle w:val="FootnoteReference"/>
          <w:rFonts w:ascii="Times New Roman" w:hAnsi="Times New Roman"/>
          <w:sz w:val="22"/>
          <w:szCs w:val="22"/>
        </w:rPr>
        <w:footnoteReference w:id="13"/>
      </w:r>
      <w:r w:rsidR="002D223A">
        <w:rPr>
          <w:rFonts w:ascii="Times New Roman" w:hAnsi="Times New Roman"/>
          <w:sz w:val="22"/>
          <w:szCs w:val="22"/>
        </w:rPr>
        <w:t xml:space="preserve"> </w:t>
      </w:r>
      <w:r w:rsidR="0064041A" w:rsidRPr="0064041A">
        <w:rPr>
          <w:rFonts w:ascii="Times New Roman" w:hAnsi="Times New Roman"/>
          <w:sz w:val="22"/>
          <w:szCs w:val="22"/>
        </w:rPr>
        <w:t>It helped establish the Women Police Officers Network in South Eastern Europe, a regional advocacy mechanism which brings together high-ranking women from police services for information exchange and provides trainings for women police officers. SEESAC also helped institutionalize Ministry of Defen</w:t>
      </w:r>
      <w:r w:rsidR="00130B4C">
        <w:rPr>
          <w:rFonts w:ascii="Times New Roman" w:hAnsi="Times New Roman"/>
          <w:sz w:val="22"/>
          <w:szCs w:val="22"/>
        </w:rPr>
        <w:t>s</w:t>
      </w:r>
      <w:r w:rsidR="0064041A" w:rsidRPr="0064041A">
        <w:rPr>
          <w:rFonts w:ascii="Times New Roman" w:hAnsi="Times New Roman"/>
          <w:sz w:val="22"/>
          <w:szCs w:val="22"/>
        </w:rPr>
        <w:t>e Gender Focal Points, who advanced policy reforms to improve the recruitment and retention of women in the armed forces and to make them more responsive towards gender issues.</w:t>
      </w:r>
      <w:r w:rsidR="005B50C5" w:rsidRPr="0064041A">
        <w:rPr>
          <w:rFonts w:ascii="Times New Roman" w:hAnsi="Times New Roman" w:cs="Times New Roman"/>
          <w:sz w:val="22"/>
          <w:szCs w:val="22"/>
        </w:rPr>
        <w:t xml:space="preserve">  </w:t>
      </w:r>
    </w:p>
    <w:p w:rsidR="005B50C5" w:rsidRPr="00E45304" w:rsidRDefault="005B50C5" w:rsidP="00E45304">
      <w:pPr>
        <w:jc w:val="both"/>
        <w:rPr>
          <w:rFonts w:ascii="Times New Roman" w:hAnsi="Times New Roman" w:cs="Times New Roman"/>
          <w:bCs/>
          <w:sz w:val="22"/>
          <w:szCs w:val="22"/>
          <w:lang w:val="en-GB"/>
        </w:rPr>
      </w:pPr>
    </w:p>
    <w:p w:rsidR="00580229" w:rsidRDefault="00DA3593" w:rsidP="00795722">
      <w:pPr>
        <w:pStyle w:val="ListParagraph"/>
        <w:numPr>
          <w:ilvl w:val="0"/>
          <w:numId w:val="9"/>
        </w:numPr>
        <w:jc w:val="both"/>
        <w:rPr>
          <w:rFonts w:ascii="Times New Roman" w:hAnsi="Times New Roman" w:cs="Times New Roman"/>
          <w:bCs/>
          <w:sz w:val="22"/>
          <w:szCs w:val="22"/>
          <w:lang w:val="en-GB"/>
        </w:rPr>
      </w:pPr>
      <w:r w:rsidRPr="00795722">
        <w:rPr>
          <w:rFonts w:ascii="Times New Roman" w:hAnsi="Times New Roman" w:cs="Times New Roman"/>
          <w:bCs/>
          <w:sz w:val="22"/>
          <w:szCs w:val="22"/>
          <w:lang w:val="en-GB"/>
        </w:rPr>
        <w:t>However, given the scope of UNDP</w:t>
      </w:r>
      <w:r w:rsidR="007D175C">
        <w:rPr>
          <w:rFonts w:ascii="Times New Roman" w:hAnsi="Times New Roman" w:cs="Times New Roman"/>
          <w:bCs/>
          <w:sz w:val="22"/>
          <w:szCs w:val="22"/>
          <w:lang w:val="en-GB"/>
        </w:rPr>
        <w:t>’</w:t>
      </w:r>
      <w:r w:rsidRPr="00795722">
        <w:rPr>
          <w:rFonts w:ascii="Times New Roman" w:hAnsi="Times New Roman" w:cs="Times New Roman"/>
          <w:bCs/>
          <w:sz w:val="22"/>
          <w:szCs w:val="22"/>
          <w:lang w:val="en-GB"/>
        </w:rPr>
        <w:t xml:space="preserve">s work in crises contexts, initiatives need to move from gender targeted approaches where women are beneficiaries of </w:t>
      </w:r>
      <w:r w:rsidR="00D55819" w:rsidRPr="00795722">
        <w:rPr>
          <w:rFonts w:ascii="Times New Roman" w:hAnsi="Times New Roman" w:cs="Times New Roman"/>
          <w:bCs/>
          <w:sz w:val="22"/>
          <w:szCs w:val="22"/>
          <w:lang w:val="en-GB"/>
        </w:rPr>
        <w:t xml:space="preserve">programmes to the adoption of programmes that aim to empower women as agents of change. </w:t>
      </w:r>
      <w:r w:rsidR="00A70ADD" w:rsidRPr="00795722">
        <w:rPr>
          <w:rFonts w:ascii="Times New Roman" w:hAnsi="Times New Roman" w:cs="Times New Roman"/>
          <w:bCs/>
          <w:sz w:val="22"/>
          <w:szCs w:val="22"/>
          <w:lang w:val="en-GB"/>
        </w:rPr>
        <w:t xml:space="preserve"> The</w:t>
      </w:r>
      <w:r w:rsidR="003D71CB" w:rsidRPr="00795722">
        <w:rPr>
          <w:rFonts w:ascii="Times New Roman" w:hAnsi="Times New Roman" w:cs="Times New Roman"/>
          <w:bCs/>
          <w:sz w:val="22"/>
          <w:szCs w:val="22"/>
          <w:lang w:val="en-GB"/>
        </w:rPr>
        <w:t xml:space="preserve"> </w:t>
      </w:r>
      <w:r w:rsidR="00D32233">
        <w:rPr>
          <w:rFonts w:ascii="Times New Roman" w:hAnsi="Times New Roman" w:cs="Times New Roman"/>
          <w:bCs/>
          <w:sz w:val="22"/>
          <w:szCs w:val="22"/>
          <w:lang w:val="en-GB"/>
        </w:rPr>
        <w:t xml:space="preserve">2017 evaluation of the UNDP </w:t>
      </w:r>
      <w:r w:rsidR="003D71CB" w:rsidRPr="00795722">
        <w:rPr>
          <w:rFonts w:ascii="Times New Roman" w:hAnsi="Times New Roman" w:cs="Times New Roman"/>
          <w:bCs/>
          <w:sz w:val="22"/>
          <w:szCs w:val="22"/>
          <w:lang w:val="en-GB"/>
        </w:rPr>
        <w:t xml:space="preserve">Strategic Plan </w:t>
      </w:r>
      <w:r w:rsidR="00D32233">
        <w:rPr>
          <w:rFonts w:ascii="Times New Roman" w:eastAsia="Times New Roman" w:hAnsi="Times New Roman" w:cs="Times New Roman"/>
          <w:sz w:val="22"/>
          <w:szCs w:val="22"/>
        </w:rPr>
        <w:t>and global and regional programmes (2014-2017)</w:t>
      </w:r>
      <w:r w:rsidR="003D71CB" w:rsidRPr="00795722">
        <w:rPr>
          <w:rFonts w:ascii="Times New Roman" w:hAnsi="Times New Roman" w:cs="Times New Roman"/>
          <w:bCs/>
          <w:sz w:val="22"/>
          <w:szCs w:val="22"/>
          <w:lang w:val="en-GB"/>
        </w:rPr>
        <w:t xml:space="preserve"> recommended that gender expertise</w:t>
      </w:r>
      <w:r w:rsidR="007D175C">
        <w:rPr>
          <w:rFonts w:ascii="Times New Roman" w:hAnsi="Times New Roman" w:cs="Times New Roman"/>
          <w:bCs/>
          <w:sz w:val="22"/>
          <w:szCs w:val="22"/>
          <w:lang w:val="en-GB"/>
        </w:rPr>
        <w:t xml:space="preserve"> be present in large programmes, </w:t>
      </w:r>
      <w:r w:rsidR="003D71CB" w:rsidRPr="00795722">
        <w:rPr>
          <w:rFonts w:ascii="Times New Roman" w:hAnsi="Times New Roman" w:cs="Times New Roman"/>
          <w:bCs/>
          <w:sz w:val="22"/>
          <w:szCs w:val="22"/>
          <w:lang w:val="en-GB"/>
        </w:rPr>
        <w:t xml:space="preserve">not just </w:t>
      </w:r>
      <w:r w:rsidR="007D175C">
        <w:rPr>
          <w:rFonts w:ascii="Times New Roman" w:hAnsi="Times New Roman" w:cs="Times New Roman"/>
          <w:bCs/>
          <w:sz w:val="22"/>
          <w:szCs w:val="22"/>
          <w:lang w:val="en-GB"/>
        </w:rPr>
        <w:t xml:space="preserve">in </w:t>
      </w:r>
      <w:r w:rsidR="003D71CB" w:rsidRPr="00795722">
        <w:rPr>
          <w:rFonts w:ascii="Times New Roman" w:hAnsi="Times New Roman" w:cs="Times New Roman"/>
          <w:bCs/>
          <w:sz w:val="22"/>
          <w:szCs w:val="22"/>
          <w:lang w:val="en-GB"/>
        </w:rPr>
        <w:t>gender</w:t>
      </w:r>
      <w:r w:rsidR="007D175C">
        <w:rPr>
          <w:rFonts w:ascii="Times New Roman" w:hAnsi="Times New Roman" w:cs="Times New Roman"/>
          <w:bCs/>
          <w:sz w:val="22"/>
          <w:szCs w:val="22"/>
          <w:lang w:val="en-GB"/>
        </w:rPr>
        <w:t xml:space="preserve"> </w:t>
      </w:r>
      <w:r w:rsidR="003D71CB" w:rsidRPr="00795722">
        <w:rPr>
          <w:rFonts w:ascii="Times New Roman" w:hAnsi="Times New Roman" w:cs="Times New Roman"/>
          <w:bCs/>
          <w:sz w:val="22"/>
          <w:szCs w:val="22"/>
          <w:lang w:val="en-GB"/>
        </w:rPr>
        <w:t>team</w:t>
      </w:r>
      <w:r w:rsidR="007D175C">
        <w:rPr>
          <w:rFonts w:ascii="Times New Roman" w:hAnsi="Times New Roman" w:cs="Times New Roman"/>
          <w:bCs/>
          <w:sz w:val="22"/>
          <w:szCs w:val="22"/>
          <w:lang w:val="en-GB"/>
        </w:rPr>
        <w:t>s</w:t>
      </w:r>
      <w:r w:rsidR="003D71CB" w:rsidRPr="00795722">
        <w:rPr>
          <w:rFonts w:ascii="Times New Roman" w:hAnsi="Times New Roman" w:cs="Times New Roman"/>
          <w:bCs/>
          <w:sz w:val="22"/>
          <w:szCs w:val="22"/>
          <w:lang w:val="en-GB"/>
        </w:rPr>
        <w:t xml:space="preserve">. </w:t>
      </w:r>
      <w:r w:rsidR="007D175C">
        <w:rPr>
          <w:rFonts w:ascii="Times New Roman" w:hAnsi="Times New Roman" w:cs="Times New Roman"/>
          <w:bCs/>
          <w:sz w:val="22"/>
          <w:szCs w:val="22"/>
          <w:lang w:val="en-GB"/>
        </w:rPr>
        <w:t>This approach calling for “s</w:t>
      </w:r>
      <w:r w:rsidRPr="00795722">
        <w:rPr>
          <w:rFonts w:ascii="Times New Roman" w:hAnsi="Times New Roman" w:cs="Times New Roman"/>
          <w:bCs/>
          <w:sz w:val="22"/>
          <w:szCs w:val="22"/>
          <w:lang w:val="en-GB"/>
        </w:rPr>
        <w:t>trengthening gender-responsive strategies in crisis (conflict and disaster) prevention, preparedness and recovery” is designated a</w:t>
      </w:r>
      <w:r w:rsidR="007D175C">
        <w:rPr>
          <w:rFonts w:ascii="Times New Roman" w:hAnsi="Times New Roman" w:cs="Times New Roman"/>
          <w:bCs/>
          <w:sz w:val="22"/>
          <w:szCs w:val="22"/>
          <w:lang w:val="en-GB"/>
        </w:rPr>
        <w:t>s</w:t>
      </w:r>
      <w:r w:rsidRPr="00795722">
        <w:rPr>
          <w:rFonts w:ascii="Times New Roman" w:hAnsi="Times New Roman" w:cs="Times New Roman"/>
          <w:bCs/>
          <w:sz w:val="22"/>
          <w:szCs w:val="22"/>
          <w:lang w:val="en-GB"/>
        </w:rPr>
        <w:t xml:space="preserve"> priority a</w:t>
      </w:r>
      <w:r w:rsidR="00AE4641" w:rsidRPr="00795722">
        <w:rPr>
          <w:rFonts w:ascii="Times New Roman" w:hAnsi="Times New Roman" w:cs="Times New Roman"/>
          <w:bCs/>
          <w:sz w:val="22"/>
          <w:szCs w:val="22"/>
          <w:lang w:val="en-GB"/>
        </w:rPr>
        <w:t>rea under Signature Solution 6</w:t>
      </w:r>
      <w:r w:rsidR="007D175C">
        <w:rPr>
          <w:rFonts w:ascii="Times New Roman" w:hAnsi="Times New Roman" w:cs="Times New Roman"/>
          <w:bCs/>
          <w:sz w:val="22"/>
          <w:szCs w:val="22"/>
          <w:lang w:val="en-GB"/>
        </w:rPr>
        <w:t>. It</w:t>
      </w:r>
      <w:r w:rsidRPr="00795722">
        <w:rPr>
          <w:rFonts w:ascii="Times New Roman" w:hAnsi="Times New Roman" w:cs="Times New Roman"/>
          <w:bCs/>
          <w:sz w:val="22"/>
          <w:szCs w:val="22"/>
          <w:lang w:val="en-GB"/>
        </w:rPr>
        <w:t xml:space="preserve"> </w:t>
      </w:r>
      <w:r w:rsidR="003D71CB" w:rsidRPr="00795722">
        <w:rPr>
          <w:rFonts w:ascii="Times New Roman" w:hAnsi="Times New Roman" w:cs="Times New Roman"/>
          <w:bCs/>
          <w:sz w:val="22"/>
          <w:szCs w:val="22"/>
          <w:lang w:val="en-GB"/>
        </w:rPr>
        <w:t>calls for</w:t>
      </w:r>
      <w:r w:rsidR="00843FAB">
        <w:rPr>
          <w:rFonts w:ascii="Times New Roman" w:hAnsi="Times New Roman" w:cs="Times New Roman"/>
          <w:bCs/>
          <w:sz w:val="22"/>
          <w:szCs w:val="22"/>
          <w:lang w:val="en-GB"/>
        </w:rPr>
        <w:t xml:space="preserve"> </w:t>
      </w:r>
      <w:r w:rsidR="00AE4641" w:rsidRPr="00795722">
        <w:rPr>
          <w:rFonts w:ascii="Times New Roman" w:hAnsi="Times New Roman" w:cs="Times New Roman"/>
          <w:bCs/>
          <w:sz w:val="22"/>
          <w:szCs w:val="22"/>
          <w:lang w:val="en-GB"/>
        </w:rPr>
        <w:t xml:space="preserve">ensuring that gender equality and women’s participation are integrated into crisis prevention, preparedness and recovery from the earliest stages. This </w:t>
      </w:r>
      <w:r w:rsidR="00762075" w:rsidRPr="00795722">
        <w:rPr>
          <w:rFonts w:ascii="Times New Roman" w:hAnsi="Times New Roman" w:cs="Times New Roman"/>
          <w:bCs/>
          <w:sz w:val="22"/>
          <w:szCs w:val="22"/>
          <w:lang w:val="en-GB"/>
        </w:rPr>
        <w:t>entails sex-disaggregated gender analysis,</w:t>
      </w:r>
      <w:r w:rsidR="00AE4641" w:rsidRPr="00795722">
        <w:rPr>
          <w:rFonts w:ascii="Times New Roman" w:hAnsi="Times New Roman" w:cs="Times New Roman"/>
          <w:bCs/>
          <w:sz w:val="22"/>
          <w:szCs w:val="22"/>
          <w:lang w:val="en-GB"/>
        </w:rPr>
        <w:t xml:space="preserve"> the meaningful participation of women and women’s or</w:t>
      </w:r>
      <w:r w:rsidR="00762075" w:rsidRPr="00795722">
        <w:rPr>
          <w:rFonts w:ascii="Times New Roman" w:hAnsi="Times New Roman" w:cs="Times New Roman"/>
          <w:bCs/>
          <w:sz w:val="22"/>
          <w:szCs w:val="22"/>
          <w:lang w:val="en-GB"/>
        </w:rPr>
        <w:t xml:space="preserve">ganizations in decision-making, and creating </w:t>
      </w:r>
      <w:r w:rsidR="00AE4641" w:rsidRPr="00795722">
        <w:rPr>
          <w:rFonts w:ascii="Times New Roman" w:hAnsi="Times New Roman" w:cs="Times New Roman"/>
          <w:bCs/>
          <w:sz w:val="22"/>
          <w:szCs w:val="22"/>
          <w:lang w:val="en-GB"/>
        </w:rPr>
        <w:t xml:space="preserve">opportunities for women to contribute to and participate in sustainable livelihoods and improve their socioeconomic status. </w:t>
      </w:r>
    </w:p>
    <w:p w:rsidR="00580229" w:rsidRDefault="00580229" w:rsidP="00580229">
      <w:pPr>
        <w:pStyle w:val="ListParagraph"/>
        <w:jc w:val="both"/>
        <w:rPr>
          <w:rFonts w:ascii="Times New Roman" w:hAnsi="Times New Roman" w:cs="Times New Roman"/>
          <w:bCs/>
          <w:sz w:val="22"/>
          <w:szCs w:val="22"/>
          <w:lang w:val="en-GB"/>
        </w:rPr>
      </w:pPr>
    </w:p>
    <w:p w:rsidR="00F6752B" w:rsidRPr="00462986" w:rsidRDefault="00AB066F" w:rsidP="00462986">
      <w:pPr>
        <w:jc w:val="both"/>
        <w:rPr>
          <w:rFonts w:ascii="Times New Roman" w:hAnsi="Times New Roman" w:cs="Times New Roman"/>
          <w:b/>
          <w:bCs/>
          <w:sz w:val="22"/>
          <w:szCs w:val="22"/>
          <w:u w:val="single"/>
          <w:lang w:val="en-GB"/>
        </w:rPr>
      </w:pPr>
      <w:r w:rsidRPr="00462986">
        <w:rPr>
          <w:rFonts w:ascii="Times New Roman" w:hAnsi="Times New Roman" w:cs="Times New Roman"/>
          <w:b/>
          <w:bCs/>
          <w:sz w:val="22"/>
          <w:szCs w:val="22"/>
          <w:u w:val="single"/>
          <w:lang w:val="en-GB"/>
        </w:rPr>
        <w:t>Leadership, Accountability and Capacities</w:t>
      </w:r>
    </w:p>
    <w:p w:rsidR="00B1104B" w:rsidRDefault="00B1104B" w:rsidP="005C7DBF">
      <w:pPr>
        <w:pStyle w:val="ListParagraph"/>
        <w:jc w:val="both"/>
        <w:rPr>
          <w:rFonts w:ascii="Times New Roman" w:eastAsia="Times New Roman" w:hAnsi="Times New Roman" w:cs="Times New Roman"/>
          <w:sz w:val="22"/>
          <w:szCs w:val="22"/>
        </w:rPr>
      </w:pPr>
    </w:p>
    <w:p w:rsidR="00B1104B" w:rsidRPr="006242F0" w:rsidRDefault="00B31274" w:rsidP="009C6566">
      <w:pPr>
        <w:pStyle w:val="ListParagraph"/>
        <w:numPr>
          <w:ilvl w:val="0"/>
          <w:numId w:val="9"/>
        </w:numPr>
        <w:jc w:val="both"/>
        <w:rPr>
          <w:rFonts w:ascii="Times New Roman" w:eastAsia="Times New Roman" w:hAnsi="Times New Roman" w:cs="Times New Roman"/>
          <w:sz w:val="22"/>
          <w:szCs w:val="22"/>
        </w:rPr>
      </w:pPr>
      <w:r w:rsidRPr="006242F0">
        <w:rPr>
          <w:rFonts w:ascii="Times New Roman" w:hAnsi="Times New Roman" w:cs="Times New Roman"/>
          <w:sz w:val="22"/>
          <w:szCs w:val="22"/>
        </w:rPr>
        <w:t xml:space="preserve">UNDP’s report of the Administrator on results for 2017 and progress on the Strategic Plan 2014–2017 shows that while </w:t>
      </w:r>
      <w:r>
        <w:rPr>
          <w:rFonts w:ascii="Times New Roman" w:hAnsi="Times New Roman" w:cs="Times New Roman"/>
          <w:sz w:val="22"/>
          <w:szCs w:val="22"/>
        </w:rPr>
        <w:t>targets were met or exceeded for 20 out of 38 development outputs, UNDP</w:t>
      </w:r>
      <w:r w:rsidRPr="006242F0">
        <w:rPr>
          <w:rFonts w:ascii="Times New Roman" w:hAnsi="Times New Roman" w:cs="Times New Roman"/>
          <w:sz w:val="22"/>
          <w:szCs w:val="22"/>
        </w:rPr>
        <w:t xml:space="preserve"> </w:t>
      </w:r>
      <w:r>
        <w:rPr>
          <w:rFonts w:ascii="Times New Roman" w:hAnsi="Times New Roman" w:cs="Times New Roman"/>
          <w:sz w:val="22"/>
          <w:szCs w:val="22"/>
        </w:rPr>
        <w:t xml:space="preserve">gender performance was lower for 10 out of 21 outputs with sex-disaggregated or gender sensitive indicators. </w:t>
      </w:r>
      <w:r w:rsidRPr="006242F0">
        <w:rPr>
          <w:rFonts w:ascii="Times New Roman" w:hAnsi="Times New Roman" w:cs="Times New Roman"/>
          <w:sz w:val="22"/>
          <w:szCs w:val="22"/>
        </w:rPr>
        <w:t xml:space="preserve"> </w:t>
      </w:r>
      <w:r w:rsidR="005C7DBF" w:rsidRPr="006242F0">
        <w:rPr>
          <w:rFonts w:ascii="Times New Roman" w:hAnsi="Times New Roman" w:cs="Times New Roman"/>
          <w:sz w:val="22"/>
          <w:szCs w:val="22"/>
        </w:rPr>
        <w:t>This, along with the</w:t>
      </w:r>
      <w:r w:rsidR="00EB707C" w:rsidRPr="006242F0">
        <w:rPr>
          <w:rFonts w:ascii="Times New Roman" w:hAnsi="Times New Roman" w:cs="Times New Roman"/>
          <w:sz w:val="22"/>
          <w:szCs w:val="22"/>
        </w:rPr>
        <w:t xml:space="preserve"> </w:t>
      </w:r>
      <w:r w:rsidR="006B6382" w:rsidRPr="006242F0">
        <w:rPr>
          <w:rFonts w:ascii="Times New Roman" w:hAnsi="Times New Roman" w:cs="Times New Roman"/>
          <w:sz w:val="22"/>
          <w:szCs w:val="22"/>
        </w:rPr>
        <w:t>uneven</w:t>
      </w:r>
      <w:r w:rsidR="00EB707C" w:rsidRPr="006242F0">
        <w:rPr>
          <w:rFonts w:ascii="Times New Roman" w:hAnsi="Times New Roman" w:cs="Times New Roman"/>
          <w:sz w:val="22"/>
          <w:szCs w:val="22"/>
        </w:rPr>
        <w:t xml:space="preserve"> distribution of UNDP’s gender equality results </w:t>
      </w:r>
      <w:r w:rsidR="00B1104B" w:rsidRPr="006242F0">
        <w:rPr>
          <w:rFonts w:ascii="Times New Roman" w:hAnsi="Times New Roman" w:cs="Times New Roman"/>
          <w:sz w:val="22"/>
          <w:szCs w:val="22"/>
        </w:rPr>
        <w:t xml:space="preserve">across the respective outcomes, </w:t>
      </w:r>
      <w:r w:rsidR="00EB707C" w:rsidRPr="006242F0">
        <w:rPr>
          <w:rFonts w:ascii="Times New Roman" w:hAnsi="Times New Roman" w:cs="Times New Roman"/>
          <w:sz w:val="22"/>
          <w:szCs w:val="22"/>
        </w:rPr>
        <w:t xml:space="preserve">underscores the need to strengthen </w:t>
      </w:r>
      <w:r w:rsidR="00AD23C1">
        <w:rPr>
          <w:rFonts w:ascii="Times New Roman" w:hAnsi="Times New Roman" w:cs="Times New Roman"/>
          <w:sz w:val="22"/>
          <w:szCs w:val="22"/>
        </w:rPr>
        <w:t>the</w:t>
      </w:r>
      <w:r w:rsidR="00EB707C" w:rsidRPr="006242F0">
        <w:rPr>
          <w:rFonts w:ascii="Times New Roman" w:hAnsi="Times New Roman" w:cs="Times New Roman"/>
          <w:sz w:val="22"/>
          <w:szCs w:val="22"/>
        </w:rPr>
        <w:t xml:space="preserve"> commitment</w:t>
      </w:r>
      <w:r w:rsidR="00B1104B" w:rsidRPr="006242F0">
        <w:rPr>
          <w:rFonts w:ascii="Times New Roman" w:hAnsi="Times New Roman" w:cs="Times New Roman"/>
          <w:sz w:val="22"/>
          <w:szCs w:val="22"/>
        </w:rPr>
        <w:t xml:space="preserve"> and accountability</w:t>
      </w:r>
      <w:r w:rsidR="00EB707C" w:rsidRPr="006242F0">
        <w:rPr>
          <w:rFonts w:ascii="Times New Roman" w:hAnsi="Times New Roman" w:cs="Times New Roman"/>
          <w:sz w:val="22"/>
          <w:szCs w:val="22"/>
        </w:rPr>
        <w:t xml:space="preserve"> for gender mainstreaming across the spectrum of UNDP’s development </w:t>
      </w:r>
      <w:r w:rsidR="00282AB0" w:rsidRPr="006242F0">
        <w:rPr>
          <w:rFonts w:ascii="Times New Roman" w:hAnsi="Times New Roman" w:cs="Times New Roman"/>
          <w:sz w:val="22"/>
          <w:szCs w:val="22"/>
        </w:rPr>
        <w:t xml:space="preserve">portfolio. </w:t>
      </w:r>
      <w:r w:rsidR="00550A4D">
        <w:rPr>
          <w:rFonts w:ascii="Times New Roman" w:hAnsi="Times New Roman" w:cs="Times New Roman"/>
          <w:sz w:val="22"/>
          <w:szCs w:val="22"/>
        </w:rPr>
        <w:t>This confirms the findings of the</w:t>
      </w:r>
      <w:r w:rsidR="00550A4D" w:rsidRPr="00550A4D">
        <w:rPr>
          <w:rFonts w:ascii="Times New Roman" w:eastAsia="Times New Roman" w:hAnsi="Times New Roman" w:cs="Times New Roman"/>
          <w:sz w:val="22"/>
          <w:szCs w:val="22"/>
        </w:rPr>
        <w:t xml:space="preserve"> </w:t>
      </w:r>
      <w:r w:rsidR="00550A4D">
        <w:rPr>
          <w:rFonts w:ascii="Times New Roman" w:eastAsia="Times New Roman" w:hAnsi="Times New Roman" w:cs="Times New Roman"/>
          <w:sz w:val="22"/>
          <w:szCs w:val="22"/>
        </w:rPr>
        <w:t>2015 evalu</w:t>
      </w:r>
      <w:r w:rsidR="00FC36B2">
        <w:rPr>
          <w:rFonts w:ascii="Times New Roman" w:eastAsia="Times New Roman" w:hAnsi="Times New Roman" w:cs="Times New Roman"/>
          <w:sz w:val="22"/>
          <w:szCs w:val="22"/>
        </w:rPr>
        <w:t>ation of UNDP</w:t>
      </w:r>
      <w:r w:rsidR="00130B4C">
        <w:rPr>
          <w:rFonts w:ascii="Times New Roman" w:eastAsia="Times New Roman" w:hAnsi="Times New Roman" w:cs="Times New Roman"/>
          <w:sz w:val="22"/>
          <w:szCs w:val="22"/>
        </w:rPr>
        <w:t>’</w:t>
      </w:r>
      <w:r w:rsidR="00FC36B2">
        <w:rPr>
          <w:rFonts w:ascii="Times New Roman" w:eastAsia="Times New Roman" w:hAnsi="Times New Roman" w:cs="Times New Roman"/>
          <w:sz w:val="22"/>
          <w:szCs w:val="22"/>
        </w:rPr>
        <w:t>s contribution to gender equality and women’s e</w:t>
      </w:r>
      <w:r w:rsidR="00550A4D">
        <w:rPr>
          <w:rFonts w:ascii="Times New Roman" w:eastAsia="Times New Roman" w:hAnsi="Times New Roman" w:cs="Times New Roman"/>
          <w:sz w:val="22"/>
          <w:szCs w:val="22"/>
        </w:rPr>
        <w:t>mpowerment which argued that “UNDP should better</w:t>
      </w:r>
      <w:r w:rsidR="00550A4D" w:rsidRPr="00DF3A63">
        <w:rPr>
          <w:rFonts w:ascii="Times New Roman" w:eastAsia="Times New Roman" w:hAnsi="Times New Roman" w:cs="Times New Roman"/>
          <w:sz w:val="22"/>
          <w:szCs w:val="22"/>
        </w:rPr>
        <w:t xml:space="preserve"> align its programming with its corporate </w:t>
      </w:r>
      <w:r w:rsidR="00550A4D" w:rsidRPr="00DF3A63">
        <w:rPr>
          <w:rFonts w:ascii="Times New Roman" w:eastAsia="Times New Roman" w:hAnsi="Times New Roman" w:cs="Times New Roman"/>
          <w:sz w:val="22"/>
          <w:szCs w:val="22"/>
        </w:rPr>
        <w:lastRenderedPageBreak/>
        <w:t>messaging on the centrality of gender equality and women’s empowerment to the achievement of sustainable development, including through senio</w:t>
      </w:r>
      <w:r w:rsidR="00FC36B2">
        <w:rPr>
          <w:rFonts w:ascii="Times New Roman" w:eastAsia="Times New Roman" w:hAnsi="Times New Roman" w:cs="Times New Roman"/>
          <w:sz w:val="22"/>
          <w:szCs w:val="22"/>
        </w:rPr>
        <w:t xml:space="preserve">r leadership commitment to and </w:t>
      </w:r>
      <w:r w:rsidR="00FC36B2" w:rsidRPr="00FC36B2">
        <w:rPr>
          <w:rFonts w:ascii="Times New Roman" w:eastAsia="Times New Roman" w:hAnsi="Times New Roman" w:cs="Times New Roman"/>
          <w:i/>
          <w:sz w:val="22"/>
          <w:szCs w:val="22"/>
        </w:rPr>
        <w:t>championing</w:t>
      </w:r>
      <w:r w:rsidR="00550A4D" w:rsidRPr="00DF3A63">
        <w:rPr>
          <w:rFonts w:ascii="Times New Roman" w:eastAsia="Times New Roman" w:hAnsi="Times New Roman" w:cs="Times New Roman"/>
          <w:sz w:val="22"/>
          <w:szCs w:val="22"/>
        </w:rPr>
        <w:t xml:space="preserve"> of gender equality</w:t>
      </w:r>
      <w:r w:rsidR="00550A4D">
        <w:rPr>
          <w:rFonts w:ascii="Times New Roman" w:eastAsia="Times New Roman" w:hAnsi="Times New Roman" w:cs="Times New Roman"/>
          <w:sz w:val="22"/>
          <w:szCs w:val="22"/>
        </w:rPr>
        <w:t>…”</w:t>
      </w:r>
      <w:r w:rsidR="00B1104B" w:rsidRPr="006242F0">
        <w:rPr>
          <w:rFonts w:ascii="Times New Roman" w:hAnsi="Times New Roman" w:cs="Times New Roman"/>
          <w:sz w:val="22"/>
          <w:szCs w:val="22"/>
        </w:rPr>
        <w:t xml:space="preserve">For this reason, the Gender Equality Strategy 2018-2021 focuses on </w:t>
      </w:r>
      <w:r w:rsidR="00FC36B2">
        <w:rPr>
          <w:rFonts w:ascii="Times New Roman" w:hAnsi="Times New Roman" w:cs="Times New Roman"/>
          <w:sz w:val="22"/>
          <w:szCs w:val="22"/>
        </w:rPr>
        <w:t>enhancing</w:t>
      </w:r>
      <w:r w:rsidR="003D71CB">
        <w:rPr>
          <w:rFonts w:ascii="Times New Roman" w:hAnsi="Times New Roman" w:cs="Times New Roman"/>
          <w:sz w:val="22"/>
          <w:szCs w:val="22"/>
        </w:rPr>
        <w:t xml:space="preserve"> </w:t>
      </w:r>
      <w:r w:rsidR="00B1104B" w:rsidRPr="006242F0">
        <w:rPr>
          <w:rFonts w:ascii="Times New Roman" w:hAnsi="Times New Roman" w:cs="Times New Roman"/>
          <w:sz w:val="22"/>
          <w:szCs w:val="22"/>
        </w:rPr>
        <w:t>accountability through the performance management of senior managers</w:t>
      </w:r>
      <w:r w:rsidR="00FC36B2">
        <w:rPr>
          <w:rFonts w:ascii="Times New Roman" w:hAnsi="Times New Roman" w:cs="Times New Roman"/>
          <w:sz w:val="22"/>
          <w:szCs w:val="22"/>
        </w:rPr>
        <w:t>;</w:t>
      </w:r>
      <w:r w:rsidR="00050ECC" w:rsidRPr="006242F0">
        <w:rPr>
          <w:rFonts w:ascii="Times New Roman" w:hAnsi="Times New Roman" w:cs="Times New Roman"/>
          <w:sz w:val="22"/>
          <w:szCs w:val="22"/>
        </w:rPr>
        <w:t xml:space="preserve"> creating focal teams led by senior m</w:t>
      </w:r>
      <w:r w:rsidR="00FC36B2">
        <w:rPr>
          <w:rFonts w:ascii="Times New Roman" w:hAnsi="Times New Roman" w:cs="Times New Roman"/>
          <w:sz w:val="22"/>
          <w:szCs w:val="22"/>
        </w:rPr>
        <w:t xml:space="preserve">anagement at the country level; strengthening the </w:t>
      </w:r>
      <w:r w:rsidR="00B1104B" w:rsidRPr="006242F0">
        <w:rPr>
          <w:rFonts w:ascii="Times New Roman" w:hAnsi="Times New Roman" w:cs="Times New Roman"/>
          <w:sz w:val="22"/>
          <w:szCs w:val="22"/>
        </w:rPr>
        <w:t>‘Gender Steering and Implementation Committee</w:t>
      </w:r>
      <w:r w:rsidR="00050ECC" w:rsidRPr="006242F0">
        <w:rPr>
          <w:rFonts w:ascii="Times New Roman" w:hAnsi="Times New Roman" w:cs="Times New Roman"/>
          <w:sz w:val="22"/>
          <w:szCs w:val="22"/>
        </w:rPr>
        <w:t xml:space="preserve">’ chaired by the </w:t>
      </w:r>
      <w:r w:rsidR="006242F0" w:rsidRPr="006242F0">
        <w:rPr>
          <w:rFonts w:ascii="Times New Roman" w:hAnsi="Times New Roman" w:cs="Times New Roman"/>
          <w:sz w:val="22"/>
          <w:szCs w:val="22"/>
        </w:rPr>
        <w:t>A</w:t>
      </w:r>
      <w:r w:rsidR="00050ECC" w:rsidRPr="006242F0">
        <w:rPr>
          <w:rFonts w:ascii="Times New Roman" w:hAnsi="Times New Roman" w:cs="Times New Roman"/>
          <w:sz w:val="22"/>
          <w:szCs w:val="22"/>
        </w:rPr>
        <w:t>dministrator</w:t>
      </w:r>
      <w:r w:rsidR="00FC36B2">
        <w:rPr>
          <w:rFonts w:ascii="Times New Roman" w:hAnsi="Times New Roman" w:cs="Times New Roman"/>
          <w:sz w:val="22"/>
          <w:szCs w:val="22"/>
        </w:rPr>
        <w:t xml:space="preserve">; </w:t>
      </w:r>
      <w:r w:rsidR="00550A4D">
        <w:rPr>
          <w:rFonts w:ascii="Times New Roman" w:hAnsi="Times New Roman" w:cs="Times New Roman"/>
          <w:sz w:val="22"/>
          <w:szCs w:val="22"/>
        </w:rPr>
        <w:t xml:space="preserve">and </w:t>
      </w:r>
      <w:r w:rsidR="00FC36B2">
        <w:rPr>
          <w:rFonts w:ascii="Times New Roman" w:hAnsi="Times New Roman" w:cs="Times New Roman"/>
          <w:sz w:val="22"/>
          <w:szCs w:val="22"/>
        </w:rPr>
        <w:t xml:space="preserve">promoting </w:t>
      </w:r>
      <w:r w:rsidR="00550A4D">
        <w:rPr>
          <w:rFonts w:ascii="Times New Roman" w:hAnsi="Times New Roman" w:cs="Times New Roman"/>
          <w:sz w:val="22"/>
          <w:szCs w:val="22"/>
        </w:rPr>
        <w:t>more visible leadership for gender equality</w:t>
      </w:r>
      <w:r w:rsidR="00373EFC">
        <w:rPr>
          <w:rFonts w:ascii="Times New Roman" w:hAnsi="Times New Roman" w:cs="Times New Roman"/>
          <w:sz w:val="22"/>
          <w:szCs w:val="22"/>
        </w:rPr>
        <w:t xml:space="preserve">. </w:t>
      </w:r>
      <w:r w:rsidR="009775AE">
        <w:rPr>
          <w:rFonts w:ascii="Times New Roman" w:hAnsi="Times New Roman" w:cs="Times New Roman"/>
          <w:sz w:val="22"/>
          <w:szCs w:val="22"/>
        </w:rPr>
        <w:t>Stronger senior management oversight was also recommended by the 2017 End-Term Gender Review of the RBAP Regional Programme 2014-2017</w:t>
      </w:r>
      <w:r w:rsidR="00450F4D">
        <w:rPr>
          <w:rFonts w:ascii="Times New Roman" w:hAnsi="Times New Roman" w:cs="Times New Roman"/>
          <w:sz w:val="22"/>
          <w:szCs w:val="22"/>
        </w:rPr>
        <w:t>,</w:t>
      </w:r>
      <w:r w:rsidR="009775AE">
        <w:rPr>
          <w:rFonts w:ascii="Times New Roman" w:hAnsi="Times New Roman" w:cs="Times New Roman"/>
          <w:sz w:val="22"/>
          <w:szCs w:val="22"/>
        </w:rPr>
        <w:t xml:space="preserve"> suggesting that senior management conduct annual meetings to review progress toward gender equality and women’s empowerment</w:t>
      </w:r>
      <w:r w:rsidR="00FB43F4">
        <w:rPr>
          <w:rFonts w:ascii="Times New Roman" w:hAnsi="Times New Roman" w:cs="Times New Roman"/>
          <w:sz w:val="22"/>
          <w:szCs w:val="22"/>
        </w:rPr>
        <w:t xml:space="preserve"> within the regional programme</w:t>
      </w:r>
      <w:r w:rsidR="009775AE">
        <w:rPr>
          <w:rFonts w:ascii="Times New Roman" w:hAnsi="Times New Roman" w:cs="Times New Roman"/>
          <w:sz w:val="22"/>
          <w:szCs w:val="22"/>
        </w:rPr>
        <w:t xml:space="preserve">. </w:t>
      </w:r>
      <w:r w:rsidR="00550A4D">
        <w:rPr>
          <w:rFonts w:ascii="Times New Roman" w:eastAsia="Times New Roman" w:hAnsi="Times New Roman" w:cs="Times New Roman"/>
          <w:sz w:val="22"/>
          <w:szCs w:val="22"/>
        </w:rPr>
        <w:t xml:space="preserve">There is also a particular need to incentivize better application of gender analysis tools and to take measures to ensure adequate funding to mainstream gender across all programming areas especially </w:t>
      </w:r>
      <w:r w:rsidR="00373EFC">
        <w:rPr>
          <w:rFonts w:ascii="Times New Roman" w:eastAsia="Times New Roman" w:hAnsi="Times New Roman" w:cs="Times New Roman"/>
          <w:sz w:val="22"/>
          <w:szCs w:val="22"/>
        </w:rPr>
        <w:t>in</w:t>
      </w:r>
      <w:r w:rsidR="00550A4D">
        <w:rPr>
          <w:rFonts w:ascii="Times New Roman" w:eastAsia="Times New Roman" w:hAnsi="Times New Roman" w:cs="Times New Roman"/>
          <w:sz w:val="22"/>
          <w:szCs w:val="22"/>
        </w:rPr>
        <w:t xml:space="preserve"> large programmes a</w:t>
      </w:r>
      <w:r w:rsidR="006E6677">
        <w:rPr>
          <w:rFonts w:ascii="Times New Roman" w:eastAsia="Times New Roman" w:hAnsi="Times New Roman" w:cs="Times New Roman"/>
          <w:sz w:val="22"/>
          <w:szCs w:val="22"/>
        </w:rPr>
        <w:t>s</w:t>
      </w:r>
      <w:r w:rsidR="00E45304">
        <w:rPr>
          <w:rFonts w:ascii="Times New Roman" w:eastAsia="Times New Roman" w:hAnsi="Times New Roman" w:cs="Times New Roman"/>
          <w:sz w:val="22"/>
          <w:szCs w:val="22"/>
        </w:rPr>
        <w:t xml:space="preserve"> </w:t>
      </w:r>
      <w:r w:rsidR="00550A4D">
        <w:rPr>
          <w:rFonts w:ascii="Times New Roman" w:eastAsia="Times New Roman" w:hAnsi="Times New Roman" w:cs="Times New Roman"/>
          <w:sz w:val="22"/>
          <w:szCs w:val="22"/>
        </w:rPr>
        <w:t xml:space="preserve">was recommended by the Strategic Plan evaluation in 2017. </w:t>
      </w:r>
    </w:p>
    <w:p w:rsidR="00B1104B" w:rsidRPr="00B1104B" w:rsidRDefault="00B1104B" w:rsidP="00B1104B">
      <w:pPr>
        <w:pStyle w:val="ListParagraph"/>
        <w:rPr>
          <w:rFonts w:ascii="Times New Roman" w:eastAsia="Times New Roman" w:hAnsi="Times New Roman" w:cs="Times New Roman"/>
          <w:sz w:val="22"/>
          <w:szCs w:val="22"/>
        </w:rPr>
      </w:pPr>
    </w:p>
    <w:p w:rsidR="00373EFC" w:rsidRPr="00450F4D" w:rsidRDefault="00550A4D" w:rsidP="00161AD6">
      <w:pPr>
        <w:pStyle w:val="ListParagraph"/>
        <w:numPr>
          <w:ilvl w:val="0"/>
          <w:numId w:val="9"/>
        </w:numPr>
        <w:jc w:val="both"/>
        <w:rPr>
          <w:rFonts w:ascii="Times New Roman" w:eastAsia="Times New Roman" w:hAnsi="Times New Roman" w:cs="Times New Roman"/>
          <w:sz w:val="22"/>
          <w:szCs w:val="22"/>
        </w:rPr>
      </w:pPr>
      <w:r w:rsidRPr="00161AD6">
        <w:rPr>
          <w:rFonts w:ascii="Times New Roman" w:eastAsia="Times New Roman" w:hAnsi="Times New Roman" w:cs="Times New Roman"/>
          <w:sz w:val="22"/>
          <w:szCs w:val="22"/>
        </w:rPr>
        <w:t>The</w:t>
      </w:r>
      <w:r w:rsidR="00161AD6" w:rsidRPr="00161AD6">
        <w:rPr>
          <w:rFonts w:ascii="Times New Roman" w:eastAsia="Times New Roman" w:hAnsi="Times New Roman" w:cs="Times New Roman"/>
          <w:sz w:val="22"/>
          <w:szCs w:val="22"/>
        </w:rPr>
        <w:t xml:space="preserve"> </w:t>
      </w:r>
      <w:r w:rsidR="00161AD6">
        <w:rPr>
          <w:rFonts w:ascii="Times New Roman" w:eastAsia="Times New Roman" w:hAnsi="Times New Roman" w:cs="Times New Roman"/>
          <w:sz w:val="22"/>
          <w:szCs w:val="22"/>
        </w:rPr>
        <w:t>2015 evaluation of UNDP c</w:t>
      </w:r>
      <w:r w:rsidR="00161AD6" w:rsidRPr="004D4CB2">
        <w:rPr>
          <w:rFonts w:ascii="Times New Roman" w:eastAsia="Times New Roman" w:hAnsi="Times New Roman" w:cs="Times New Roman"/>
          <w:sz w:val="22"/>
          <w:szCs w:val="22"/>
        </w:rPr>
        <w:t>ontribution to gender equality and women’s empowerment</w:t>
      </w:r>
      <w:r w:rsidR="00161AD6">
        <w:rPr>
          <w:rFonts w:ascii="Times New Roman" w:eastAsia="Times New Roman" w:hAnsi="Times New Roman" w:cs="Times New Roman"/>
          <w:sz w:val="22"/>
          <w:szCs w:val="22"/>
        </w:rPr>
        <w:t xml:space="preserve"> </w:t>
      </w:r>
      <w:r w:rsidR="006242F0" w:rsidRPr="00161AD6">
        <w:rPr>
          <w:rFonts w:ascii="Times New Roman" w:eastAsia="Times New Roman" w:hAnsi="Times New Roman" w:cs="Times New Roman"/>
          <w:sz w:val="22"/>
          <w:szCs w:val="22"/>
        </w:rPr>
        <w:t xml:space="preserve">noted that </w:t>
      </w:r>
      <w:r w:rsidR="00DF3A63" w:rsidRPr="00161AD6">
        <w:rPr>
          <w:rFonts w:ascii="Times New Roman" w:eastAsia="Times New Roman" w:hAnsi="Times New Roman" w:cs="Times New Roman"/>
          <w:sz w:val="22"/>
          <w:szCs w:val="22"/>
        </w:rPr>
        <w:t xml:space="preserve">UNDP should build upon institutional mechanisms for gender mainstreaming, such as the Gender Equality Seal and the gender marker, </w:t>
      </w:r>
      <w:r w:rsidR="007D525B" w:rsidRPr="00161AD6">
        <w:rPr>
          <w:rFonts w:ascii="Times New Roman" w:eastAsia="Times New Roman" w:hAnsi="Times New Roman" w:cs="Times New Roman"/>
          <w:sz w:val="22"/>
          <w:szCs w:val="22"/>
        </w:rPr>
        <w:t xml:space="preserve">both of </w:t>
      </w:r>
      <w:r w:rsidR="00DF3A63" w:rsidRPr="00161AD6">
        <w:rPr>
          <w:rFonts w:ascii="Times New Roman" w:eastAsia="Times New Roman" w:hAnsi="Times New Roman" w:cs="Times New Roman"/>
          <w:sz w:val="22"/>
          <w:szCs w:val="22"/>
        </w:rPr>
        <w:t>which have proven to drive results toward gender equality through achievable, concrete and measurable standards.</w:t>
      </w:r>
      <w:r w:rsidR="007D525B" w:rsidRPr="00161AD6">
        <w:rPr>
          <w:rFonts w:ascii="Times New Roman" w:eastAsia="Times New Roman" w:hAnsi="Times New Roman" w:cs="Times New Roman"/>
          <w:sz w:val="22"/>
          <w:szCs w:val="22"/>
        </w:rPr>
        <w:t xml:space="preserve"> Positive incentives for good performance such as the Gender Equality Seal are transforming behavior, creating a new cadre of leadership for gender equality across the </w:t>
      </w:r>
      <w:r w:rsidR="007D525B" w:rsidRPr="00161AD6">
        <w:rPr>
          <w:rFonts w:asciiTheme="majorBidi" w:hAnsiTheme="majorBidi" w:cstheme="majorBidi"/>
          <w:sz w:val="22"/>
          <w:szCs w:val="22"/>
        </w:rPr>
        <w:t xml:space="preserve">organization, and connecting organizational structure with impact and results. </w:t>
      </w:r>
      <w:r w:rsidR="007D525B" w:rsidRPr="00161AD6">
        <w:rPr>
          <w:rFonts w:asciiTheme="majorBidi" w:hAnsiTheme="majorBidi" w:cstheme="majorBidi"/>
          <w:color w:val="000000"/>
          <w:sz w:val="22"/>
          <w:szCs w:val="22"/>
        </w:rPr>
        <w:t xml:space="preserve">Since 2011, more than 50 country offices have been awarded </w:t>
      </w:r>
      <w:r w:rsidR="00BE01E3" w:rsidRPr="00161AD6">
        <w:rPr>
          <w:rFonts w:asciiTheme="majorBidi" w:hAnsiTheme="majorBidi" w:cstheme="majorBidi"/>
          <w:color w:val="000000"/>
          <w:sz w:val="22"/>
          <w:szCs w:val="22"/>
        </w:rPr>
        <w:t>a Gender Equality Seal</w:t>
      </w:r>
      <w:r w:rsidR="007D525B" w:rsidRPr="00161AD6">
        <w:rPr>
          <w:rFonts w:asciiTheme="majorBidi" w:hAnsiTheme="majorBidi" w:cstheme="majorBidi"/>
          <w:color w:val="000000"/>
          <w:sz w:val="22"/>
          <w:szCs w:val="22"/>
        </w:rPr>
        <w:t xml:space="preserve"> this will be expanded to another 50 offices over the Strategic Plan period 2018-2021. While there is both high demand and high commitment by Country Offices, the Gender Equality Seal has demonstrated that deep changes are gradual and require time. </w:t>
      </w:r>
    </w:p>
    <w:p w:rsidR="00A20BF6" w:rsidRPr="00450F4D" w:rsidRDefault="00A20BF6" w:rsidP="00450F4D">
      <w:pPr>
        <w:pStyle w:val="ListParagraph"/>
        <w:rPr>
          <w:rFonts w:ascii="Times New Roman" w:eastAsia="Times New Roman" w:hAnsi="Times New Roman" w:cs="Times New Roman"/>
          <w:sz w:val="22"/>
          <w:szCs w:val="22"/>
        </w:rPr>
      </w:pPr>
    </w:p>
    <w:p w:rsidR="00A20BF6" w:rsidRPr="00462986" w:rsidRDefault="00A20BF6" w:rsidP="00462986">
      <w:pPr>
        <w:pStyle w:val="ListParagraph"/>
        <w:numPr>
          <w:ilvl w:val="0"/>
          <w:numId w:val="9"/>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Over the implementation of UNDP’s last gender equality strategy, increasing recognition was given to women facing multiple and intersecting forms of discrimination, such as disability and indigenous identity</w:t>
      </w:r>
      <w:r w:rsidR="0046298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that increase their vulnerability to violence, poverty and disempowerment. The new gender equality strategy recognizes that addressing these intersecting forms of discrimination is an essential component of the SDG agenda and its focus on leaving no one behind.</w:t>
      </w:r>
    </w:p>
    <w:p w:rsidR="00373EFC" w:rsidRPr="00A20BF6" w:rsidRDefault="00373EFC" w:rsidP="007D525B">
      <w:pPr>
        <w:rPr>
          <w:rFonts w:ascii="Times New Roman" w:hAnsi="Times New Roman"/>
          <w:sz w:val="22"/>
          <w:szCs w:val="22"/>
        </w:rPr>
      </w:pPr>
    </w:p>
    <w:p w:rsidR="00A20BF6" w:rsidRPr="00462986" w:rsidRDefault="00A20BF6" w:rsidP="00462986">
      <w:pPr>
        <w:rPr>
          <w:rFonts w:ascii="Times New Roman" w:hAnsi="Times New Roman"/>
          <w:b/>
          <w:sz w:val="22"/>
          <w:szCs w:val="22"/>
          <w:u w:val="single"/>
        </w:rPr>
      </w:pPr>
      <w:r w:rsidRPr="00462986">
        <w:rPr>
          <w:rFonts w:ascii="Times New Roman" w:hAnsi="Times New Roman"/>
          <w:b/>
          <w:sz w:val="22"/>
          <w:szCs w:val="22"/>
          <w:u w:val="single"/>
        </w:rPr>
        <w:t>Partnerships to Promote Gender Equality</w:t>
      </w:r>
    </w:p>
    <w:p w:rsidR="00A20BF6" w:rsidRDefault="00A20BF6" w:rsidP="006242F0">
      <w:pPr>
        <w:pStyle w:val="ListParagraph"/>
        <w:rPr>
          <w:rFonts w:ascii="Times New Roman" w:hAnsi="Times New Roman"/>
          <w:sz w:val="22"/>
          <w:szCs w:val="22"/>
        </w:rPr>
      </w:pPr>
    </w:p>
    <w:p w:rsidR="00136C9C" w:rsidRPr="00450F4D" w:rsidRDefault="00A20BF6" w:rsidP="00450F4D">
      <w:pPr>
        <w:pStyle w:val="ListParagraph"/>
        <w:numPr>
          <w:ilvl w:val="0"/>
          <w:numId w:val="9"/>
        </w:numPr>
        <w:jc w:val="both"/>
        <w:rPr>
          <w:rFonts w:ascii="Calibri" w:eastAsia="Times New Roman" w:hAnsi="Calibri"/>
        </w:rPr>
      </w:pPr>
      <w:r w:rsidRPr="00450F4D">
        <w:rPr>
          <w:rFonts w:ascii="Times New Roman" w:eastAsia="Times New Roman" w:hAnsi="Times New Roman" w:cs="Times New Roman"/>
          <w:sz w:val="22"/>
          <w:szCs w:val="22"/>
        </w:rPr>
        <w:t>Throughout the period of 2014-2017, UNDP engaged in</w:t>
      </w:r>
      <w:r w:rsidR="00462986">
        <w:rPr>
          <w:rFonts w:ascii="Times New Roman" w:eastAsia="Times New Roman" w:hAnsi="Times New Roman" w:cs="Times New Roman"/>
          <w:sz w:val="22"/>
          <w:szCs w:val="22"/>
        </w:rPr>
        <w:t xml:space="preserve"> a broad range of inter-agency </w:t>
      </w:r>
      <w:r w:rsidRPr="00450F4D">
        <w:rPr>
          <w:rFonts w:ascii="Times New Roman" w:eastAsia="Times New Roman" w:hAnsi="Times New Roman" w:cs="Times New Roman"/>
          <w:sz w:val="22"/>
          <w:szCs w:val="22"/>
        </w:rPr>
        <w:t>partnerships to promote gender eq</w:t>
      </w:r>
      <w:r w:rsidRPr="00A20BF6">
        <w:rPr>
          <w:rFonts w:ascii="Times New Roman" w:eastAsia="Times New Roman" w:hAnsi="Times New Roman" w:cs="Times New Roman"/>
          <w:sz w:val="22"/>
          <w:szCs w:val="22"/>
        </w:rPr>
        <w:t>uality and women’s empowerment, most notably with its largest programme partner, UN Women, but also wit</w:t>
      </w:r>
      <w:r>
        <w:rPr>
          <w:rFonts w:ascii="Times New Roman" w:eastAsia="Times New Roman" w:hAnsi="Times New Roman" w:cs="Times New Roman"/>
          <w:sz w:val="22"/>
          <w:szCs w:val="22"/>
        </w:rPr>
        <w:t xml:space="preserve">h </w:t>
      </w:r>
      <w:r w:rsidRPr="00450F4D">
        <w:rPr>
          <w:rFonts w:ascii="Times New Roman" w:eastAsia="Times New Roman" w:hAnsi="Times New Roman" w:cs="Times New Roman"/>
          <w:sz w:val="22"/>
          <w:szCs w:val="22"/>
        </w:rPr>
        <w:t>NFPA,</w:t>
      </w:r>
      <w:r w:rsidRPr="00A20BF6">
        <w:rPr>
          <w:rFonts w:ascii="Times New Roman" w:eastAsia="Times New Roman" w:hAnsi="Times New Roman" w:cs="Times New Roman"/>
          <w:sz w:val="22"/>
          <w:szCs w:val="22"/>
        </w:rPr>
        <w:t xml:space="preserve"> UNICEF</w:t>
      </w:r>
      <w:r>
        <w:rPr>
          <w:rFonts w:ascii="Times New Roman" w:eastAsia="Times New Roman" w:hAnsi="Times New Roman" w:cs="Times New Roman"/>
          <w:sz w:val="22"/>
          <w:szCs w:val="22"/>
        </w:rPr>
        <w:t xml:space="preserve">, </w:t>
      </w:r>
      <w:r w:rsidR="00136C9C">
        <w:rPr>
          <w:rFonts w:ascii="Times New Roman" w:eastAsia="Times New Roman" w:hAnsi="Times New Roman" w:cs="Times New Roman"/>
          <w:sz w:val="22"/>
          <w:szCs w:val="22"/>
        </w:rPr>
        <w:t>DPA</w:t>
      </w:r>
      <w:r w:rsidR="00450F4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ILO</w:t>
      </w:r>
      <w:r w:rsidRPr="00A20BF6">
        <w:rPr>
          <w:rFonts w:ascii="Times New Roman" w:eastAsia="Times New Roman" w:hAnsi="Times New Roman" w:cs="Times New Roman"/>
          <w:sz w:val="22"/>
          <w:szCs w:val="22"/>
        </w:rPr>
        <w:t xml:space="preserve"> </w:t>
      </w:r>
      <w:r w:rsidRPr="00450F4D">
        <w:rPr>
          <w:rFonts w:ascii="Times New Roman" w:eastAsia="Times New Roman" w:hAnsi="Times New Roman" w:cs="Times New Roman"/>
          <w:sz w:val="22"/>
          <w:szCs w:val="22"/>
        </w:rPr>
        <w:t xml:space="preserve">and others.  </w:t>
      </w:r>
      <w:r>
        <w:rPr>
          <w:rFonts w:ascii="Times New Roman" w:eastAsia="Times New Roman" w:hAnsi="Times New Roman" w:cs="Times New Roman"/>
          <w:sz w:val="22"/>
          <w:szCs w:val="22"/>
        </w:rPr>
        <w:t xml:space="preserve">This included leveraging one another’s strengths and co-creating towards a shared goal. </w:t>
      </w:r>
    </w:p>
    <w:p w:rsidR="00A20BF6" w:rsidRPr="00450F4D" w:rsidRDefault="00A20BF6" w:rsidP="00450F4D">
      <w:pPr>
        <w:pStyle w:val="ListParagraph"/>
        <w:jc w:val="both"/>
        <w:rPr>
          <w:rFonts w:ascii="Calibri" w:eastAsia="Times New Roman" w:hAnsi="Calibri"/>
        </w:rPr>
      </w:pPr>
      <w:r>
        <w:rPr>
          <w:rFonts w:ascii="Times New Roman" w:eastAsia="Times New Roman" w:hAnsi="Times New Roman" w:cs="Times New Roman"/>
          <w:sz w:val="22"/>
          <w:szCs w:val="22"/>
        </w:rPr>
        <w:t xml:space="preserve"> </w:t>
      </w:r>
    </w:p>
    <w:p w:rsidR="00A20BF6" w:rsidRPr="00462986" w:rsidRDefault="00136C9C" w:rsidP="00462986">
      <w:pPr>
        <w:pStyle w:val="ListParagraph"/>
        <w:numPr>
          <w:ilvl w:val="0"/>
          <w:numId w:val="9"/>
        </w:numPr>
        <w:rPr>
          <w:rFonts w:ascii="Times New Roman" w:hAnsi="Times New Roman" w:cs="Times New Roman"/>
          <w:sz w:val="22"/>
          <w:szCs w:val="22"/>
        </w:rPr>
      </w:pPr>
      <w:r w:rsidRPr="00450F4D">
        <w:rPr>
          <w:rFonts w:ascii="Times New Roman" w:hAnsi="Times New Roman" w:cs="Times New Roman"/>
          <w:sz w:val="22"/>
          <w:szCs w:val="22"/>
        </w:rPr>
        <w:t>Apart from UNDP partnership within the UN System, consolidat</w:t>
      </w:r>
      <w:r w:rsidR="003611EE">
        <w:rPr>
          <w:rFonts w:ascii="Times New Roman" w:hAnsi="Times New Roman" w:cs="Times New Roman"/>
          <w:sz w:val="22"/>
          <w:szCs w:val="22"/>
        </w:rPr>
        <w:t>ing</w:t>
      </w:r>
      <w:r w:rsidRPr="00450F4D">
        <w:rPr>
          <w:rFonts w:ascii="Times New Roman" w:hAnsi="Times New Roman" w:cs="Times New Roman"/>
          <w:sz w:val="22"/>
          <w:szCs w:val="22"/>
        </w:rPr>
        <w:t>, expand</w:t>
      </w:r>
      <w:r w:rsidR="003611EE">
        <w:rPr>
          <w:rFonts w:ascii="Times New Roman" w:hAnsi="Times New Roman" w:cs="Times New Roman"/>
          <w:sz w:val="22"/>
          <w:szCs w:val="22"/>
        </w:rPr>
        <w:t>ing</w:t>
      </w:r>
      <w:r w:rsidRPr="00450F4D">
        <w:rPr>
          <w:rFonts w:ascii="Times New Roman" w:hAnsi="Times New Roman" w:cs="Times New Roman"/>
          <w:sz w:val="22"/>
          <w:szCs w:val="22"/>
        </w:rPr>
        <w:t xml:space="preserve"> and strengthen</w:t>
      </w:r>
      <w:r w:rsidR="003611EE">
        <w:rPr>
          <w:rFonts w:ascii="Times New Roman" w:hAnsi="Times New Roman" w:cs="Times New Roman"/>
          <w:sz w:val="22"/>
          <w:szCs w:val="22"/>
        </w:rPr>
        <w:t>ing the</w:t>
      </w:r>
      <w:r w:rsidRPr="00450F4D">
        <w:rPr>
          <w:rFonts w:ascii="Times New Roman" w:hAnsi="Times New Roman" w:cs="Times New Roman"/>
          <w:sz w:val="22"/>
          <w:szCs w:val="22"/>
        </w:rPr>
        <w:t xml:space="preserve"> partnership with other relevant stakeholders, including the private sector and civil society organizations, ha</w:t>
      </w:r>
      <w:r w:rsidR="003611EE">
        <w:rPr>
          <w:rFonts w:ascii="Times New Roman" w:hAnsi="Times New Roman" w:cs="Times New Roman"/>
          <w:sz w:val="22"/>
          <w:szCs w:val="22"/>
        </w:rPr>
        <w:t>ve</w:t>
      </w:r>
      <w:r w:rsidRPr="00450F4D">
        <w:rPr>
          <w:rFonts w:ascii="Times New Roman" w:hAnsi="Times New Roman" w:cs="Times New Roman"/>
          <w:sz w:val="22"/>
          <w:szCs w:val="22"/>
        </w:rPr>
        <w:t xml:space="preserve"> been critical for achieving transformative results. For example, </w:t>
      </w:r>
      <w:r w:rsidR="00450F4D">
        <w:rPr>
          <w:rFonts w:ascii="Times New Roman" w:hAnsi="Times New Roman" w:cs="Times New Roman"/>
          <w:sz w:val="22"/>
          <w:szCs w:val="22"/>
        </w:rPr>
        <w:t>t</w:t>
      </w:r>
      <w:r w:rsidRPr="00450F4D">
        <w:rPr>
          <w:rFonts w:ascii="Times New Roman" w:hAnsi="Times New Roman" w:cs="Times New Roman"/>
          <w:sz w:val="22"/>
          <w:szCs w:val="22"/>
        </w:rPr>
        <w:t>hrough the Gender Equality Seal for Public and Private Enterprises</w:t>
      </w:r>
      <w:r w:rsidR="00450F4D">
        <w:rPr>
          <w:rFonts w:ascii="Times New Roman" w:hAnsi="Times New Roman" w:cs="Times New Roman"/>
          <w:sz w:val="22"/>
          <w:szCs w:val="22"/>
        </w:rPr>
        <w:t>,</w:t>
      </w:r>
      <w:r w:rsidRPr="00450F4D">
        <w:rPr>
          <w:rFonts w:ascii="Times New Roman" w:hAnsi="Times New Roman" w:cs="Times New Roman"/>
          <w:sz w:val="22"/>
          <w:szCs w:val="22"/>
        </w:rPr>
        <w:t xml:space="preserve"> UNDP has been engaging companies </w:t>
      </w:r>
      <w:r w:rsidR="00450F4D">
        <w:rPr>
          <w:rFonts w:ascii="Times New Roman" w:hAnsi="Times New Roman" w:cs="Times New Roman"/>
          <w:sz w:val="22"/>
          <w:szCs w:val="22"/>
        </w:rPr>
        <w:t xml:space="preserve">in Latin America and Africa </w:t>
      </w:r>
      <w:r w:rsidRPr="00450F4D">
        <w:rPr>
          <w:rFonts w:ascii="Times New Roman" w:hAnsi="Times New Roman" w:cs="Times New Roman"/>
          <w:sz w:val="22"/>
          <w:szCs w:val="22"/>
        </w:rPr>
        <w:t xml:space="preserve">to change their </w:t>
      </w:r>
      <w:r w:rsidR="00450F4D">
        <w:rPr>
          <w:rFonts w:ascii="Times New Roman" w:hAnsi="Times New Roman" w:cs="Times New Roman"/>
          <w:sz w:val="22"/>
          <w:szCs w:val="22"/>
        </w:rPr>
        <w:t xml:space="preserve">business practices </w:t>
      </w:r>
      <w:r w:rsidRPr="00450F4D">
        <w:rPr>
          <w:rFonts w:ascii="Times New Roman" w:hAnsi="Times New Roman" w:cs="Times New Roman"/>
          <w:sz w:val="22"/>
          <w:szCs w:val="22"/>
        </w:rPr>
        <w:t xml:space="preserve">to advance gender equality in the workplace. </w:t>
      </w:r>
      <w:r w:rsidR="006C384E" w:rsidRPr="00450F4D">
        <w:rPr>
          <w:rFonts w:ascii="Times New Roman" w:hAnsi="Times New Roman" w:cs="Times New Roman"/>
          <w:sz w:val="22"/>
          <w:szCs w:val="22"/>
        </w:rPr>
        <w:t>UNDP’s new gender equality strategy recognizes the importance of working as partners with both the private sector and civil society organizations.</w:t>
      </w:r>
    </w:p>
    <w:p w:rsidR="00A20BF6" w:rsidRDefault="00A20BF6" w:rsidP="006242F0">
      <w:pPr>
        <w:pStyle w:val="ListParagraph"/>
        <w:rPr>
          <w:rFonts w:ascii="Times New Roman" w:hAnsi="Times New Roman"/>
          <w:sz w:val="22"/>
          <w:szCs w:val="22"/>
          <w:u w:val="single"/>
        </w:rPr>
      </w:pPr>
    </w:p>
    <w:p w:rsidR="00AB066F" w:rsidRPr="00462986" w:rsidRDefault="00AB066F" w:rsidP="00462986">
      <w:pPr>
        <w:rPr>
          <w:rFonts w:ascii="Times New Roman" w:hAnsi="Times New Roman"/>
          <w:b/>
          <w:sz w:val="22"/>
          <w:szCs w:val="22"/>
          <w:u w:val="single"/>
        </w:rPr>
      </w:pPr>
      <w:r w:rsidRPr="00462986">
        <w:rPr>
          <w:rFonts w:ascii="Times New Roman" w:hAnsi="Times New Roman"/>
          <w:b/>
          <w:sz w:val="22"/>
          <w:szCs w:val="22"/>
          <w:u w:val="single"/>
        </w:rPr>
        <w:t xml:space="preserve">Resources for Gender Equality </w:t>
      </w:r>
    </w:p>
    <w:p w:rsidR="00AB066F" w:rsidRPr="00AB066F" w:rsidRDefault="00AB066F" w:rsidP="006242F0">
      <w:pPr>
        <w:pStyle w:val="ListParagraph"/>
        <w:rPr>
          <w:rFonts w:ascii="Times New Roman" w:hAnsi="Times New Roman"/>
          <w:sz w:val="22"/>
          <w:szCs w:val="22"/>
          <w:u w:val="single"/>
        </w:rPr>
      </w:pPr>
    </w:p>
    <w:p w:rsidR="00B5734C" w:rsidRPr="006C384E" w:rsidRDefault="00FE582C" w:rsidP="00843FAB">
      <w:pPr>
        <w:pStyle w:val="ListParagraph"/>
        <w:numPr>
          <w:ilvl w:val="0"/>
          <w:numId w:val="9"/>
        </w:numPr>
        <w:jc w:val="both"/>
        <w:rPr>
          <w:rFonts w:ascii="Times New Roman" w:hAnsi="Times New Roman" w:cs="Times New Roman"/>
          <w:color w:val="000000"/>
          <w:sz w:val="22"/>
          <w:szCs w:val="22"/>
        </w:rPr>
      </w:pPr>
      <w:r w:rsidRPr="006C384E">
        <w:rPr>
          <w:rFonts w:ascii="Times New Roman" w:hAnsi="Times New Roman"/>
          <w:sz w:val="22"/>
          <w:szCs w:val="22"/>
        </w:rPr>
        <w:t>The amount of resources UNDP devote</w:t>
      </w:r>
      <w:r w:rsidR="003611EE">
        <w:rPr>
          <w:rFonts w:ascii="Times New Roman" w:hAnsi="Times New Roman"/>
          <w:sz w:val="22"/>
          <w:szCs w:val="22"/>
        </w:rPr>
        <w:t>d</w:t>
      </w:r>
      <w:r w:rsidRPr="006C384E">
        <w:rPr>
          <w:rFonts w:ascii="Times New Roman" w:hAnsi="Times New Roman"/>
          <w:sz w:val="22"/>
          <w:szCs w:val="22"/>
        </w:rPr>
        <w:t xml:space="preserve"> </w:t>
      </w:r>
      <w:r w:rsidR="006C384E">
        <w:rPr>
          <w:rFonts w:ascii="Times New Roman" w:hAnsi="Times New Roman"/>
          <w:sz w:val="22"/>
          <w:szCs w:val="22"/>
        </w:rPr>
        <w:t>to mainstreaming</w:t>
      </w:r>
      <w:r w:rsidRPr="006C384E">
        <w:rPr>
          <w:rFonts w:ascii="Times New Roman" w:hAnsi="Times New Roman"/>
          <w:sz w:val="22"/>
          <w:szCs w:val="22"/>
        </w:rPr>
        <w:t xml:space="preserve"> gender equality </w:t>
      </w:r>
      <w:r w:rsidR="006C384E">
        <w:rPr>
          <w:rFonts w:ascii="Times New Roman" w:hAnsi="Times New Roman"/>
          <w:sz w:val="22"/>
          <w:szCs w:val="22"/>
        </w:rPr>
        <w:t xml:space="preserve">across the organization’s portfolio of work </w:t>
      </w:r>
      <w:r w:rsidRPr="006C384E">
        <w:rPr>
          <w:rFonts w:ascii="Times New Roman" w:hAnsi="Times New Roman"/>
          <w:sz w:val="22"/>
          <w:szCs w:val="22"/>
        </w:rPr>
        <w:t xml:space="preserve">is significant and </w:t>
      </w:r>
      <w:r w:rsidR="006C384E">
        <w:rPr>
          <w:rFonts w:ascii="Times New Roman" w:hAnsi="Times New Roman"/>
          <w:sz w:val="22"/>
          <w:szCs w:val="22"/>
        </w:rPr>
        <w:t xml:space="preserve">makes a vital contribution to advancing gender </w:t>
      </w:r>
      <w:r w:rsidR="006C384E">
        <w:rPr>
          <w:rFonts w:ascii="Times New Roman" w:hAnsi="Times New Roman"/>
          <w:sz w:val="22"/>
          <w:szCs w:val="22"/>
        </w:rPr>
        <w:lastRenderedPageBreak/>
        <w:t>equality</w:t>
      </w:r>
      <w:r w:rsidR="00843FAB" w:rsidRPr="006C384E">
        <w:rPr>
          <w:rFonts w:ascii="Times New Roman" w:hAnsi="Times New Roman"/>
          <w:sz w:val="22"/>
          <w:szCs w:val="22"/>
        </w:rPr>
        <w:t>.</w:t>
      </w:r>
      <w:r w:rsidR="00843FAB">
        <w:rPr>
          <w:rFonts w:ascii="Times New Roman" w:hAnsi="Times New Roman"/>
          <w:sz w:val="22"/>
          <w:szCs w:val="22"/>
        </w:rPr>
        <w:t xml:space="preserve"> </w:t>
      </w:r>
      <w:r w:rsidR="00AB066F">
        <w:rPr>
          <w:rFonts w:ascii="Times New Roman" w:hAnsi="Times New Roman"/>
          <w:sz w:val="22"/>
          <w:szCs w:val="22"/>
        </w:rPr>
        <w:t xml:space="preserve">Following the recommendation of </w:t>
      </w:r>
      <w:r w:rsidR="00AB066F" w:rsidRPr="006C384E">
        <w:rPr>
          <w:rFonts w:ascii="Times New Roman" w:hAnsi="Times New Roman"/>
          <w:sz w:val="22"/>
          <w:szCs w:val="22"/>
        </w:rPr>
        <w:t>the 2017 evaluation of UNDP</w:t>
      </w:r>
      <w:r w:rsidR="006C384E" w:rsidRPr="006C384E">
        <w:rPr>
          <w:rFonts w:ascii="Times New Roman" w:hAnsi="Times New Roman"/>
          <w:sz w:val="22"/>
          <w:szCs w:val="22"/>
        </w:rPr>
        <w:t>’</w:t>
      </w:r>
      <w:r w:rsidR="00AB066F" w:rsidRPr="006C384E">
        <w:rPr>
          <w:rFonts w:ascii="Times New Roman" w:hAnsi="Times New Roman"/>
          <w:sz w:val="22"/>
          <w:szCs w:val="22"/>
        </w:rPr>
        <w:t>s Strategic Plan, UNDP is increasingly strengthening implementation of its gender policies and dedicating resources and capacities to ad</w:t>
      </w:r>
      <w:r w:rsidR="00AB066F" w:rsidRPr="00450F4D">
        <w:rPr>
          <w:rFonts w:ascii="Times New Roman" w:hAnsi="Times New Roman"/>
          <w:sz w:val="22"/>
          <w:szCs w:val="22"/>
        </w:rPr>
        <w:t xml:space="preserve">vancing gender equality in large programmes such as the Nationally Determined Contributions Support Programme which are serving as models and flagships for the organization. The </w:t>
      </w:r>
      <w:r w:rsidR="00E43209" w:rsidRPr="00450F4D">
        <w:rPr>
          <w:rFonts w:ascii="Times New Roman" w:hAnsi="Times New Roman"/>
          <w:sz w:val="22"/>
          <w:szCs w:val="22"/>
        </w:rPr>
        <w:t>Gender Strategy has</w:t>
      </w:r>
      <w:r w:rsidR="00AB066F" w:rsidRPr="00450F4D">
        <w:rPr>
          <w:rFonts w:ascii="Times New Roman" w:hAnsi="Times New Roman"/>
          <w:sz w:val="22"/>
          <w:szCs w:val="22"/>
        </w:rPr>
        <w:t xml:space="preserve"> also</w:t>
      </w:r>
      <w:r w:rsidR="00E43209" w:rsidRPr="00450F4D">
        <w:rPr>
          <w:rFonts w:ascii="Times New Roman" w:hAnsi="Times New Roman"/>
          <w:sz w:val="22"/>
          <w:szCs w:val="22"/>
        </w:rPr>
        <w:t xml:space="preserve"> focused </w:t>
      </w:r>
      <w:r w:rsidR="00E43209" w:rsidRPr="006C384E">
        <w:rPr>
          <w:rFonts w:ascii="Times New Roman" w:hAnsi="Times New Roman"/>
          <w:sz w:val="22"/>
          <w:szCs w:val="22"/>
        </w:rPr>
        <w:t xml:space="preserve">increased attention on benchmarking financial </w:t>
      </w:r>
      <w:r w:rsidR="00161AD6" w:rsidRPr="006C384E">
        <w:rPr>
          <w:rFonts w:ascii="Times New Roman" w:hAnsi="Times New Roman"/>
          <w:sz w:val="22"/>
          <w:szCs w:val="22"/>
        </w:rPr>
        <w:t>commitments for gender equalit</w:t>
      </w:r>
      <w:r w:rsidR="006C384E">
        <w:rPr>
          <w:rFonts w:ascii="Times New Roman" w:hAnsi="Times New Roman"/>
          <w:sz w:val="22"/>
          <w:szCs w:val="22"/>
        </w:rPr>
        <w:t>y and</w:t>
      </w:r>
      <w:r w:rsidR="003611EE">
        <w:rPr>
          <w:rFonts w:ascii="Times New Roman" w:hAnsi="Times New Roman"/>
          <w:sz w:val="22"/>
          <w:szCs w:val="22"/>
        </w:rPr>
        <w:t xml:space="preserve"> </w:t>
      </w:r>
      <w:r w:rsidR="006C384E" w:rsidRPr="006C384E">
        <w:rPr>
          <w:rFonts w:ascii="Times New Roman" w:hAnsi="Times New Roman" w:cs="Times New Roman"/>
          <w:sz w:val="22"/>
          <w:szCs w:val="22"/>
        </w:rPr>
        <w:t>strengthen</w:t>
      </w:r>
      <w:r w:rsidR="00450F4D">
        <w:rPr>
          <w:rFonts w:ascii="Times New Roman" w:hAnsi="Times New Roman" w:cs="Times New Roman"/>
          <w:sz w:val="22"/>
          <w:szCs w:val="22"/>
        </w:rPr>
        <w:t xml:space="preserve">ing </w:t>
      </w:r>
      <w:r w:rsidR="003D71CB" w:rsidRPr="006C384E">
        <w:rPr>
          <w:rFonts w:ascii="Times New Roman" w:hAnsi="Times New Roman" w:cs="Times New Roman"/>
          <w:sz w:val="22"/>
          <w:szCs w:val="22"/>
        </w:rPr>
        <w:t>monitoring of compliance with the benchmark</w:t>
      </w:r>
      <w:r w:rsidR="006C384E">
        <w:rPr>
          <w:rFonts w:ascii="Times New Roman" w:hAnsi="Times New Roman" w:cs="Times New Roman"/>
          <w:sz w:val="22"/>
          <w:szCs w:val="22"/>
        </w:rPr>
        <w:t>.</w:t>
      </w:r>
    </w:p>
    <w:p w:rsidR="00B5734C" w:rsidRDefault="00B5734C" w:rsidP="00B5734C">
      <w:pPr>
        <w:jc w:val="both"/>
        <w:rPr>
          <w:rFonts w:ascii="Times New Roman" w:hAnsi="Times New Roman" w:cs="Times New Roman"/>
          <w:b/>
          <w:bCs/>
          <w:sz w:val="22"/>
          <w:szCs w:val="22"/>
        </w:rPr>
      </w:pPr>
    </w:p>
    <w:p w:rsidR="00B5734C" w:rsidRPr="00462986" w:rsidRDefault="00496557" w:rsidP="00462986">
      <w:pPr>
        <w:jc w:val="both"/>
        <w:rPr>
          <w:rFonts w:ascii="Times New Roman" w:hAnsi="Times New Roman" w:cs="Times New Roman"/>
          <w:b/>
          <w:bCs/>
          <w:sz w:val="22"/>
          <w:szCs w:val="22"/>
          <w:u w:val="single"/>
        </w:rPr>
      </w:pPr>
      <w:r w:rsidRPr="00462986">
        <w:rPr>
          <w:rFonts w:ascii="Times New Roman" w:hAnsi="Times New Roman" w:cs="Times New Roman"/>
          <w:b/>
          <w:bCs/>
          <w:sz w:val="22"/>
          <w:szCs w:val="22"/>
          <w:u w:val="single"/>
        </w:rPr>
        <w:t>Gender M</w:t>
      </w:r>
      <w:r w:rsidR="00B5734C" w:rsidRPr="00462986">
        <w:rPr>
          <w:rFonts w:ascii="Times New Roman" w:hAnsi="Times New Roman" w:cs="Times New Roman"/>
          <w:b/>
          <w:bCs/>
          <w:sz w:val="22"/>
          <w:szCs w:val="22"/>
          <w:u w:val="single"/>
        </w:rPr>
        <w:t>arker</w:t>
      </w:r>
    </w:p>
    <w:p w:rsidR="00B5734C" w:rsidRDefault="00B5734C" w:rsidP="00B5734C">
      <w:pPr>
        <w:pStyle w:val="ListParagraph"/>
        <w:tabs>
          <w:tab w:val="left" w:pos="450"/>
        </w:tabs>
        <w:ind w:left="0"/>
        <w:jc w:val="center"/>
        <w:rPr>
          <w:rFonts w:ascii="Times New Roman" w:hAnsi="Times New Roman"/>
          <w:sz w:val="20"/>
          <w:szCs w:val="20"/>
        </w:rPr>
      </w:pPr>
    </w:p>
    <w:p w:rsidR="00462986" w:rsidRPr="00462986" w:rsidRDefault="003D71CB" w:rsidP="00462986">
      <w:pPr>
        <w:pStyle w:val="ListParagraph"/>
        <w:numPr>
          <w:ilvl w:val="0"/>
          <w:numId w:val="9"/>
        </w:numPr>
        <w:jc w:val="both"/>
        <w:rPr>
          <w:rFonts w:ascii="Times New Roman" w:hAnsi="Times New Roman" w:cs="Times New Roman"/>
          <w:bCs/>
          <w:sz w:val="22"/>
          <w:szCs w:val="22"/>
          <w:lang w:val="en-GB"/>
        </w:rPr>
      </w:pPr>
      <w:r w:rsidRPr="00795722">
        <w:rPr>
          <w:rFonts w:ascii="Times New Roman" w:hAnsi="Times New Roman" w:cs="Times New Roman"/>
          <w:bCs/>
          <w:sz w:val="22"/>
          <w:szCs w:val="22"/>
          <w:lang w:val="en-GB"/>
        </w:rPr>
        <w:t xml:space="preserve">UNDP progressively mainstreamed gender equality and women’s empowerment as evidenced by the gender marker ratings. In 2017, 44 per cent of programme expenditure had </w:t>
      </w:r>
      <w:r w:rsidR="001D6351" w:rsidRPr="00795722">
        <w:rPr>
          <w:rFonts w:ascii="Times New Roman" w:hAnsi="Times New Roman" w:cs="Times New Roman"/>
          <w:bCs/>
          <w:sz w:val="22"/>
          <w:szCs w:val="22"/>
          <w:lang w:val="en-GB"/>
        </w:rPr>
        <w:t xml:space="preserve">significant contributions to gender equality </w:t>
      </w:r>
      <w:r w:rsidRPr="00795722">
        <w:rPr>
          <w:rFonts w:ascii="Times New Roman" w:hAnsi="Times New Roman" w:cs="Times New Roman"/>
          <w:bCs/>
          <w:sz w:val="22"/>
          <w:szCs w:val="22"/>
          <w:lang w:val="en-GB"/>
        </w:rPr>
        <w:t xml:space="preserve">(GEN2), an increase from 29 per cent in 2014. </w:t>
      </w:r>
      <w:r w:rsidR="001D6351" w:rsidRPr="00795722">
        <w:rPr>
          <w:rFonts w:ascii="Times New Roman" w:hAnsi="Times New Roman" w:cs="Times New Roman"/>
          <w:bCs/>
          <w:sz w:val="22"/>
          <w:szCs w:val="22"/>
          <w:lang w:val="en-GB"/>
        </w:rPr>
        <w:t xml:space="preserve">Interventions in which gender equality is a principle objective </w:t>
      </w:r>
      <w:r w:rsidRPr="00795722">
        <w:rPr>
          <w:rFonts w:ascii="Times New Roman" w:hAnsi="Times New Roman" w:cs="Times New Roman"/>
          <w:bCs/>
          <w:sz w:val="22"/>
          <w:szCs w:val="22"/>
          <w:lang w:val="en-GB"/>
        </w:rPr>
        <w:t xml:space="preserve">(GEN3), however, have remained static and more work is required. UNDP will  strengthen its implementation of gender policies and gender mainstreaming in all programmatic areas through the gender equality signature solution in the Strategic Plan 2018-2021 as explained above.  One of the key lessons learned for </w:t>
      </w:r>
      <w:r w:rsidR="00FE582C" w:rsidRPr="00795722">
        <w:rPr>
          <w:rFonts w:ascii="Times New Roman" w:hAnsi="Times New Roman" w:cs="Times New Roman"/>
          <w:bCs/>
          <w:sz w:val="22"/>
          <w:szCs w:val="22"/>
          <w:lang w:val="en-GB"/>
        </w:rPr>
        <w:t xml:space="preserve">improving financial allocations for gender equality </w:t>
      </w:r>
      <w:r w:rsidR="003611EE">
        <w:rPr>
          <w:rFonts w:ascii="Times New Roman" w:hAnsi="Times New Roman" w:cs="Times New Roman"/>
          <w:bCs/>
          <w:sz w:val="22"/>
          <w:szCs w:val="22"/>
          <w:lang w:val="en-GB"/>
        </w:rPr>
        <w:t>is</w:t>
      </w:r>
      <w:r w:rsidR="00FE582C" w:rsidRPr="00795722">
        <w:rPr>
          <w:rFonts w:ascii="Times New Roman" w:hAnsi="Times New Roman" w:cs="Times New Roman"/>
          <w:bCs/>
          <w:sz w:val="22"/>
          <w:szCs w:val="22"/>
          <w:lang w:val="en-GB"/>
        </w:rPr>
        <w:t xml:space="preserve"> the </w:t>
      </w:r>
      <w:r w:rsidRPr="00795722">
        <w:rPr>
          <w:rFonts w:ascii="Times New Roman" w:hAnsi="Times New Roman" w:cs="Times New Roman"/>
          <w:bCs/>
          <w:sz w:val="22"/>
          <w:szCs w:val="22"/>
          <w:lang w:val="en-GB"/>
        </w:rPr>
        <w:t xml:space="preserve">need to share accountability </w:t>
      </w:r>
      <w:r w:rsidR="00FB43F4">
        <w:rPr>
          <w:rFonts w:ascii="Times New Roman" w:hAnsi="Times New Roman" w:cs="Times New Roman"/>
          <w:bCs/>
          <w:sz w:val="22"/>
          <w:szCs w:val="22"/>
          <w:lang w:val="en-GB"/>
        </w:rPr>
        <w:t xml:space="preserve">and oversight </w:t>
      </w:r>
      <w:r w:rsidRPr="00795722">
        <w:rPr>
          <w:rFonts w:ascii="Times New Roman" w:hAnsi="Times New Roman" w:cs="Times New Roman"/>
          <w:bCs/>
          <w:sz w:val="22"/>
          <w:szCs w:val="22"/>
          <w:lang w:val="en-GB"/>
        </w:rPr>
        <w:t xml:space="preserve">for </w:t>
      </w:r>
      <w:r w:rsidR="00FB43F4">
        <w:rPr>
          <w:rFonts w:ascii="Times New Roman" w:hAnsi="Times New Roman" w:cs="Times New Roman"/>
          <w:bCs/>
          <w:sz w:val="22"/>
          <w:szCs w:val="22"/>
          <w:lang w:val="en-GB"/>
        </w:rPr>
        <w:t>gender marker scores,</w:t>
      </w:r>
      <w:r w:rsidR="003611EE">
        <w:rPr>
          <w:rFonts w:ascii="Times New Roman" w:hAnsi="Times New Roman" w:cs="Times New Roman"/>
          <w:bCs/>
          <w:sz w:val="22"/>
          <w:szCs w:val="22"/>
          <w:lang w:val="en-GB"/>
        </w:rPr>
        <w:t xml:space="preserve"> and</w:t>
      </w:r>
      <w:r w:rsidR="00FE582C" w:rsidRPr="00795722">
        <w:rPr>
          <w:rFonts w:ascii="Times New Roman" w:hAnsi="Times New Roman" w:cs="Times New Roman"/>
          <w:bCs/>
          <w:sz w:val="22"/>
          <w:szCs w:val="22"/>
          <w:lang w:val="en-GB"/>
        </w:rPr>
        <w:t xml:space="preserve"> ensur</w:t>
      </w:r>
      <w:r w:rsidR="003611EE">
        <w:rPr>
          <w:rFonts w:ascii="Times New Roman" w:hAnsi="Times New Roman" w:cs="Times New Roman"/>
          <w:bCs/>
          <w:sz w:val="22"/>
          <w:szCs w:val="22"/>
          <w:lang w:val="en-GB"/>
        </w:rPr>
        <w:t>e</w:t>
      </w:r>
      <w:r w:rsidR="00FE582C" w:rsidRPr="00795722">
        <w:rPr>
          <w:rFonts w:ascii="Times New Roman" w:hAnsi="Times New Roman" w:cs="Times New Roman"/>
          <w:bCs/>
          <w:sz w:val="22"/>
          <w:szCs w:val="22"/>
          <w:lang w:val="en-GB"/>
        </w:rPr>
        <w:t xml:space="preserve"> resources are allocated for gender equality. This requires more systematic monitoring of gender marker results and strengthened accountability for individual performance, which has been adopted in the new Gender Equality Strategy.</w:t>
      </w:r>
      <w:r w:rsidR="00A85662">
        <w:rPr>
          <w:rFonts w:ascii="Times New Roman" w:hAnsi="Times New Roman" w:cs="Times New Roman"/>
          <w:bCs/>
          <w:sz w:val="22"/>
          <w:szCs w:val="22"/>
          <w:lang w:val="en-GB"/>
        </w:rPr>
        <w:t xml:space="preserve"> Additionally, </w:t>
      </w:r>
      <w:r w:rsidR="00A85662" w:rsidRPr="003B6D31">
        <w:rPr>
          <w:rFonts w:asciiTheme="majorBidi" w:hAnsiTheme="majorBidi" w:cstheme="majorBidi"/>
          <w:sz w:val="22"/>
          <w:szCs w:val="22"/>
        </w:rPr>
        <w:t xml:space="preserve">strengthened </w:t>
      </w:r>
      <w:r w:rsidR="00A85662">
        <w:rPr>
          <w:rFonts w:asciiTheme="majorBidi" w:hAnsiTheme="majorBidi" w:cstheme="majorBidi"/>
          <w:sz w:val="22"/>
          <w:szCs w:val="22"/>
        </w:rPr>
        <w:t xml:space="preserve">Gender Marker quality assurance </w:t>
      </w:r>
      <w:r w:rsidR="00A85662" w:rsidRPr="003B6D31">
        <w:rPr>
          <w:rFonts w:asciiTheme="majorBidi" w:hAnsiTheme="majorBidi" w:cstheme="majorBidi"/>
          <w:sz w:val="22"/>
          <w:szCs w:val="22"/>
        </w:rPr>
        <w:t xml:space="preserve">mechanisms will </w:t>
      </w:r>
      <w:r w:rsidR="00A85662">
        <w:rPr>
          <w:rFonts w:asciiTheme="majorBidi" w:hAnsiTheme="majorBidi" w:cstheme="majorBidi"/>
          <w:sz w:val="22"/>
          <w:szCs w:val="22"/>
        </w:rPr>
        <w:t xml:space="preserve">allow the positive trend in GEN2 </w:t>
      </w:r>
      <w:r w:rsidR="00A85662" w:rsidRPr="003B6D31">
        <w:rPr>
          <w:rFonts w:asciiTheme="majorBidi" w:hAnsiTheme="majorBidi" w:cstheme="majorBidi"/>
          <w:sz w:val="22"/>
          <w:szCs w:val="22"/>
        </w:rPr>
        <w:t>expenditu</w:t>
      </w:r>
      <w:r w:rsidR="00A85662">
        <w:rPr>
          <w:rFonts w:asciiTheme="majorBidi" w:hAnsiTheme="majorBidi" w:cstheme="majorBidi"/>
          <w:sz w:val="22"/>
          <w:szCs w:val="22"/>
        </w:rPr>
        <w:t>r</w:t>
      </w:r>
      <w:r w:rsidR="00A85662" w:rsidRPr="003B6D31">
        <w:rPr>
          <w:rFonts w:asciiTheme="majorBidi" w:hAnsiTheme="majorBidi" w:cstheme="majorBidi"/>
          <w:sz w:val="22"/>
          <w:szCs w:val="22"/>
        </w:rPr>
        <w:t>es</w:t>
      </w:r>
      <w:r w:rsidR="00A85662">
        <w:rPr>
          <w:rFonts w:asciiTheme="majorBidi" w:hAnsiTheme="majorBidi" w:cstheme="majorBidi"/>
          <w:sz w:val="22"/>
          <w:szCs w:val="22"/>
        </w:rPr>
        <w:t xml:space="preserve"> to be sustained,</w:t>
      </w:r>
      <w:r w:rsidR="00A85662" w:rsidRPr="003B6D31">
        <w:rPr>
          <w:rFonts w:asciiTheme="majorBidi" w:hAnsiTheme="majorBidi" w:cstheme="majorBidi"/>
          <w:sz w:val="22"/>
          <w:szCs w:val="22"/>
        </w:rPr>
        <w:t xml:space="preserve"> and </w:t>
      </w:r>
      <w:r w:rsidR="00A85662">
        <w:rPr>
          <w:rFonts w:asciiTheme="majorBidi" w:hAnsiTheme="majorBidi" w:cstheme="majorBidi"/>
          <w:sz w:val="22"/>
          <w:szCs w:val="22"/>
        </w:rPr>
        <w:t>will increase</w:t>
      </w:r>
      <w:r w:rsidR="00A85662" w:rsidRPr="003B6D31">
        <w:rPr>
          <w:rFonts w:asciiTheme="majorBidi" w:hAnsiTheme="majorBidi" w:cstheme="majorBidi"/>
          <w:sz w:val="22"/>
          <w:szCs w:val="22"/>
        </w:rPr>
        <w:t xml:space="preserve"> the reliab</w:t>
      </w:r>
      <w:r w:rsidR="00A85662">
        <w:rPr>
          <w:rFonts w:asciiTheme="majorBidi" w:hAnsiTheme="majorBidi" w:cstheme="majorBidi"/>
          <w:sz w:val="22"/>
          <w:szCs w:val="22"/>
        </w:rPr>
        <w:t>i</w:t>
      </w:r>
      <w:r w:rsidR="00A85662" w:rsidRPr="003B6D31">
        <w:rPr>
          <w:rFonts w:asciiTheme="majorBidi" w:hAnsiTheme="majorBidi" w:cstheme="majorBidi"/>
          <w:sz w:val="22"/>
          <w:szCs w:val="22"/>
        </w:rPr>
        <w:t>lity of the gender marker data.</w:t>
      </w:r>
    </w:p>
    <w:p w:rsidR="00A85662" w:rsidRDefault="00A85662" w:rsidP="00A85662">
      <w:pPr>
        <w:pStyle w:val="ListParagraph"/>
        <w:jc w:val="both"/>
        <w:rPr>
          <w:rFonts w:ascii="Times New Roman" w:hAnsi="Times New Roman" w:cs="Times New Roman"/>
          <w:bCs/>
          <w:sz w:val="22"/>
          <w:szCs w:val="22"/>
          <w:lang w:val="en-GB"/>
        </w:rPr>
      </w:pPr>
    </w:p>
    <w:p w:rsidR="00A85662" w:rsidRPr="00A85662" w:rsidRDefault="00A85662" w:rsidP="00A85662">
      <w:pPr>
        <w:pStyle w:val="ListParagraph"/>
        <w:jc w:val="both"/>
        <w:rPr>
          <w:rFonts w:ascii="Times New Roman" w:hAnsi="Times New Roman" w:cs="Times New Roman"/>
          <w:b/>
          <w:bCs/>
          <w:sz w:val="22"/>
          <w:szCs w:val="22"/>
          <w:lang w:val="en-GB"/>
        </w:rPr>
      </w:pPr>
      <w:r w:rsidRPr="00A85662">
        <w:rPr>
          <w:rFonts w:ascii="Times New Roman" w:hAnsi="Times New Roman" w:cs="Times New Roman"/>
          <w:b/>
          <w:bCs/>
          <w:sz w:val="22"/>
          <w:szCs w:val="22"/>
          <w:lang w:val="en-GB"/>
        </w:rPr>
        <w:t>GEN2 and GEN3 trends, 2014-2017</w:t>
      </w:r>
    </w:p>
    <w:p w:rsidR="00FE582C" w:rsidRPr="00A85662" w:rsidRDefault="00FE582C" w:rsidP="00A85662">
      <w:pPr>
        <w:jc w:val="both"/>
        <w:rPr>
          <w:rFonts w:ascii="Times New Roman" w:hAnsi="Times New Roman" w:cs="Times New Roman"/>
          <w:bCs/>
          <w:sz w:val="22"/>
          <w:szCs w:val="22"/>
          <w:lang w:val="en-GB"/>
        </w:rPr>
      </w:pPr>
    </w:p>
    <w:p w:rsidR="00EF0A48" w:rsidRPr="00795722" w:rsidRDefault="00B5734C" w:rsidP="00A85662">
      <w:pPr>
        <w:pStyle w:val="ListParagraph"/>
        <w:jc w:val="both"/>
        <w:rPr>
          <w:rFonts w:ascii="Times New Roman" w:hAnsi="Times New Roman" w:cs="Times New Roman"/>
          <w:bCs/>
          <w:sz w:val="22"/>
          <w:szCs w:val="22"/>
          <w:lang w:val="en-GB"/>
        </w:rPr>
      </w:pPr>
      <w:r w:rsidRPr="00795722">
        <w:rPr>
          <w:rFonts w:ascii="Times New Roman" w:hAnsi="Times New Roman" w:cs="Times New Roman"/>
          <w:bCs/>
          <w:noProof/>
          <w:sz w:val="22"/>
          <w:szCs w:val="22"/>
          <w:lang w:val="en-GB"/>
        </w:rPr>
        <w:drawing>
          <wp:inline distT="0" distB="0" distL="0" distR="0" wp14:anchorId="3BE6177A" wp14:editId="051F6A35">
            <wp:extent cx="3736137" cy="2580516"/>
            <wp:effectExtent l="0" t="0" r="17145" b="10795"/>
            <wp:docPr id="1" name="Chart 1">
              <a:extLst xmlns:a="http://schemas.openxmlformats.org/drawingml/2006/main">
                <a:ext uri="{FF2B5EF4-FFF2-40B4-BE49-F238E27FC236}">
                  <a16:creationId xmlns:a16="http://schemas.microsoft.com/office/drawing/2014/main" id="{A1966E8F-BF33-406C-AD67-CD55C68A45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5662" w:rsidRPr="00A85662" w:rsidRDefault="00A85662" w:rsidP="00A85662">
      <w:pPr>
        <w:jc w:val="both"/>
        <w:rPr>
          <w:rFonts w:ascii="Times New Roman" w:hAnsi="Times New Roman" w:cs="Times New Roman"/>
          <w:bCs/>
          <w:sz w:val="22"/>
          <w:szCs w:val="22"/>
          <w:u w:val="single"/>
          <w:lang w:val="en-GB"/>
        </w:rPr>
      </w:pPr>
    </w:p>
    <w:p w:rsidR="00321FB7" w:rsidRPr="00462986" w:rsidRDefault="00AB066F" w:rsidP="00462986">
      <w:pPr>
        <w:jc w:val="both"/>
        <w:rPr>
          <w:rFonts w:ascii="Times New Roman" w:hAnsi="Times New Roman" w:cs="Times New Roman"/>
          <w:b/>
          <w:bCs/>
          <w:sz w:val="22"/>
          <w:szCs w:val="22"/>
          <w:u w:val="single"/>
          <w:lang w:val="en-GB"/>
        </w:rPr>
      </w:pPr>
      <w:r w:rsidRPr="00462986">
        <w:rPr>
          <w:rFonts w:ascii="Times New Roman" w:hAnsi="Times New Roman" w:cs="Times New Roman"/>
          <w:b/>
          <w:bCs/>
          <w:sz w:val="22"/>
          <w:szCs w:val="22"/>
          <w:u w:val="single"/>
          <w:lang w:val="en-GB"/>
        </w:rPr>
        <w:t>Gender Parity</w:t>
      </w:r>
    </w:p>
    <w:p w:rsidR="00321FB7" w:rsidRPr="00795722" w:rsidRDefault="00321FB7" w:rsidP="00795722">
      <w:pPr>
        <w:pStyle w:val="ListParagraph"/>
        <w:jc w:val="both"/>
        <w:rPr>
          <w:rFonts w:ascii="Times New Roman" w:hAnsi="Times New Roman" w:cs="Times New Roman"/>
          <w:bCs/>
          <w:sz w:val="22"/>
          <w:szCs w:val="22"/>
          <w:lang w:val="en-GB"/>
        </w:rPr>
      </w:pPr>
    </w:p>
    <w:p w:rsidR="00A85662" w:rsidRDefault="00CF318E" w:rsidP="00795722">
      <w:pPr>
        <w:pStyle w:val="ListParagraph"/>
        <w:numPr>
          <w:ilvl w:val="0"/>
          <w:numId w:val="9"/>
        </w:numPr>
        <w:jc w:val="both"/>
        <w:rPr>
          <w:rFonts w:ascii="Times New Roman" w:hAnsi="Times New Roman" w:cs="Times New Roman"/>
          <w:bCs/>
          <w:sz w:val="22"/>
          <w:szCs w:val="22"/>
          <w:lang w:val="en-GB"/>
        </w:rPr>
      </w:pPr>
      <w:r w:rsidRPr="00795722">
        <w:rPr>
          <w:rFonts w:ascii="Times New Roman" w:hAnsi="Times New Roman" w:cs="Times New Roman"/>
          <w:bCs/>
          <w:sz w:val="22"/>
          <w:szCs w:val="22"/>
          <w:lang w:val="en-GB"/>
        </w:rPr>
        <w:t>UNDP has been successful in attaining and maintaining gender parity among its staff</w:t>
      </w:r>
      <w:r w:rsidR="006F69D2" w:rsidRPr="00795722">
        <w:rPr>
          <w:rFonts w:ascii="Times New Roman" w:hAnsi="Times New Roman" w:cs="Times New Roman"/>
          <w:bCs/>
          <w:sz w:val="22"/>
          <w:szCs w:val="22"/>
          <w:lang w:val="en-GB"/>
        </w:rPr>
        <w:t>.</w:t>
      </w:r>
      <w:r w:rsidR="003611EE">
        <w:rPr>
          <w:rFonts w:ascii="Times New Roman" w:hAnsi="Times New Roman" w:cs="Times New Roman"/>
          <w:bCs/>
          <w:sz w:val="22"/>
          <w:szCs w:val="22"/>
          <w:lang w:val="en-GB"/>
        </w:rPr>
        <w:t xml:space="preserve">  </w:t>
      </w:r>
      <w:r w:rsidR="006F69D2" w:rsidRPr="00795722">
        <w:rPr>
          <w:rFonts w:ascii="Times New Roman" w:hAnsi="Times New Roman" w:cs="Times New Roman"/>
          <w:bCs/>
          <w:sz w:val="22"/>
          <w:szCs w:val="22"/>
          <w:lang w:val="en-GB"/>
        </w:rPr>
        <w:t xml:space="preserve">As of </w:t>
      </w:r>
      <w:r w:rsidR="003611EE">
        <w:rPr>
          <w:rFonts w:ascii="Times New Roman" w:hAnsi="Times New Roman" w:cs="Times New Roman"/>
          <w:bCs/>
          <w:sz w:val="22"/>
          <w:szCs w:val="22"/>
          <w:lang w:val="en-GB"/>
        </w:rPr>
        <w:t xml:space="preserve">the </w:t>
      </w:r>
      <w:r w:rsidR="006F69D2" w:rsidRPr="00795722">
        <w:rPr>
          <w:rFonts w:ascii="Times New Roman" w:hAnsi="Times New Roman" w:cs="Times New Roman"/>
          <w:bCs/>
          <w:sz w:val="22"/>
          <w:szCs w:val="22"/>
          <w:lang w:val="en-GB"/>
        </w:rPr>
        <w:t xml:space="preserve">beginning </w:t>
      </w:r>
      <w:r w:rsidR="003611EE">
        <w:rPr>
          <w:rFonts w:ascii="Times New Roman" w:hAnsi="Times New Roman" w:cs="Times New Roman"/>
          <w:bCs/>
          <w:sz w:val="22"/>
          <w:szCs w:val="22"/>
          <w:lang w:val="en-GB"/>
        </w:rPr>
        <w:t xml:space="preserve">of </w:t>
      </w:r>
      <w:r w:rsidR="006F69D2" w:rsidRPr="00795722">
        <w:rPr>
          <w:rFonts w:ascii="Times New Roman" w:hAnsi="Times New Roman" w:cs="Times New Roman"/>
          <w:bCs/>
          <w:sz w:val="22"/>
          <w:szCs w:val="22"/>
          <w:lang w:val="en-GB"/>
        </w:rPr>
        <w:t xml:space="preserve">2018, 51% of all UNDP staff were women and 49% were men. </w:t>
      </w:r>
      <w:r w:rsidR="006F64D3" w:rsidRPr="00795722">
        <w:rPr>
          <w:rFonts w:ascii="Times New Roman" w:hAnsi="Times New Roman" w:cs="Times New Roman"/>
          <w:bCs/>
          <w:sz w:val="22"/>
          <w:szCs w:val="22"/>
          <w:lang w:val="en-GB"/>
        </w:rPr>
        <w:t>Due to dedicated efforts over the life of the Gender Equality Strategy 2014-2017, UNDP has managed to approach parity among senior managers in the field.</w:t>
      </w:r>
      <w:r w:rsidR="00D01781" w:rsidRPr="00795722">
        <w:rPr>
          <w:rFonts w:ascii="Times New Roman" w:hAnsi="Times New Roman" w:cs="Times New Roman"/>
          <w:bCs/>
          <w:sz w:val="22"/>
          <w:szCs w:val="22"/>
          <w:lang w:val="en-GB"/>
        </w:rPr>
        <w:t xml:space="preserve"> The share of women among UNDP Resident Representatives has increased from 42%</w:t>
      </w:r>
      <w:r w:rsidR="00912E40" w:rsidRPr="00795722">
        <w:rPr>
          <w:rFonts w:ascii="Times New Roman" w:hAnsi="Times New Roman" w:cs="Times New Roman"/>
          <w:bCs/>
          <w:sz w:val="22"/>
          <w:szCs w:val="22"/>
          <w:lang w:val="en-GB"/>
        </w:rPr>
        <w:t xml:space="preserve"> in 2013</w:t>
      </w:r>
      <w:r w:rsidR="00D01781" w:rsidRPr="00795722">
        <w:rPr>
          <w:rFonts w:ascii="Times New Roman" w:hAnsi="Times New Roman" w:cs="Times New Roman"/>
          <w:bCs/>
          <w:sz w:val="22"/>
          <w:szCs w:val="22"/>
          <w:lang w:val="en-GB"/>
        </w:rPr>
        <w:t xml:space="preserve"> to 47% in 2017, and among Deputy Resident Representatives/Deputy Country Directors – from 42% to </w:t>
      </w:r>
      <w:r w:rsidR="00912E40" w:rsidRPr="00795722">
        <w:rPr>
          <w:rFonts w:ascii="Times New Roman" w:hAnsi="Times New Roman" w:cs="Times New Roman"/>
          <w:bCs/>
          <w:sz w:val="22"/>
          <w:szCs w:val="22"/>
          <w:lang w:val="en-GB"/>
        </w:rPr>
        <w:t>49</w:t>
      </w:r>
      <w:r w:rsidR="00D01781" w:rsidRPr="00795722">
        <w:rPr>
          <w:rFonts w:ascii="Times New Roman" w:hAnsi="Times New Roman" w:cs="Times New Roman"/>
          <w:bCs/>
          <w:sz w:val="22"/>
          <w:szCs w:val="22"/>
          <w:lang w:val="en-GB"/>
        </w:rPr>
        <w:t xml:space="preserve">%. </w:t>
      </w:r>
      <w:r w:rsidR="00F94EB5" w:rsidRPr="00795722">
        <w:rPr>
          <w:rFonts w:ascii="Times New Roman" w:hAnsi="Times New Roman" w:cs="Times New Roman"/>
          <w:bCs/>
          <w:sz w:val="22"/>
          <w:szCs w:val="22"/>
          <w:lang w:val="en-GB"/>
        </w:rPr>
        <w:t>Some of the reasons for the success include</w:t>
      </w:r>
      <w:r w:rsidR="00A5083D" w:rsidRPr="00795722">
        <w:rPr>
          <w:rFonts w:ascii="Times New Roman" w:hAnsi="Times New Roman" w:cs="Times New Roman"/>
          <w:bCs/>
          <w:sz w:val="22"/>
          <w:szCs w:val="22"/>
          <w:lang w:val="en-GB"/>
        </w:rPr>
        <w:t xml:space="preserve"> robust policy frameworks aimed to support parity, including a recruitment and selection </w:t>
      </w:r>
      <w:r w:rsidR="00A5083D" w:rsidRPr="00795722">
        <w:rPr>
          <w:rFonts w:ascii="Times New Roman" w:hAnsi="Times New Roman" w:cs="Times New Roman"/>
          <w:bCs/>
          <w:sz w:val="22"/>
          <w:szCs w:val="22"/>
          <w:lang w:val="en-GB"/>
        </w:rPr>
        <w:lastRenderedPageBreak/>
        <w:t>policy aimed to reduce biases, a comprehensive flexible working arrangements policy, and a set of leave policies to support staff in balancing their multiple responsibilities at work and personal lives;</w:t>
      </w:r>
      <w:r w:rsidR="00F94EB5" w:rsidRPr="00795722">
        <w:rPr>
          <w:rFonts w:ascii="Times New Roman" w:hAnsi="Times New Roman" w:cs="Times New Roman"/>
          <w:bCs/>
          <w:sz w:val="22"/>
          <w:szCs w:val="22"/>
          <w:lang w:val="en-GB"/>
        </w:rPr>
        <w:t xml:space="preserve"> </w:t>
      </w:r>
      <w:r w:rsidR="008D4F6F">
        <w:rPr>
          <w:rFonts w:ascii="Times New Roman" w:hAnsi="Times New Roman" w:cs="Times New Roman"/>
          <w:bCs/>
          <w:sz w:val="22"/>
          <w:szCs w:val="22"/>
          <w:lang w:val="en-GB"/>
        </w:rPr>
        <w:t xml:space="preserve">and </w:t>
      </w:r>
      <w:r w:rsidR="00A5083D" w:rsidRPr="00795722">
        <w:rPr>
          <w:rFonts w:ascii="Times New Roman" w:hAnsi="Times New Roman" w:cs="Times New Roman"/>
          <w:bCs/>
          <w:sz w:val="22"/>
          <w:szCs w:val="22"/>
          <w:lang w:val="en-GB"/>
        </w:rPr>
        <w:t xml:space="preserve">building a </w:t>
      </w:r>
      <w:r w:rsidR="008D4F6F">
        <w:rPr>
          <w:rFonts w:ascii="Times New Roman" w:hAnsi="Times New Roman" w:cs="Times New Roman"/>
          <w:bCs/>
          <w:sz w:val="22"/>
          <w:szCs w:val="22"/>
          <w:lang w:val="en-GB"/>
        </w:rPr>
        <w:t xml:space="preserve">stronger </w:t>
      </w:r>
      <w:r w:rsidR="00A5083D" w:rsidRPr="00795722">
        <w:rPr>
          <w:rFonts w:ascii="Times New Roman" w:hAnsi="Times New Roman" w:cs="Times New Roman"/>
          <w:bCs/>
          <w:sz w:val="22"/>
          <w:szCs w:val="22"/>
          <w:lang w:val="en-GB"/>
        </w:rPr>
        <w:t>pipeline of female candidates for senior country leade</w:t>
      </w:r>
      <w:r w:rsidR="00160624" w:rsidRPr="00795722">
        <w:rPr>
          <w:rFonts w:ascii="Times New Roman" w:hAnsi="Times New Roman" w:cs="Times New Roman"/>
          <w:bCs/>
          <w:sz w:val="22"/>
          <w:szCs w:val="22"/>
          <w:lang w:val="en-GB"/>
        </w:rPr>
        <w:t>rship roles and</w:t>
      </w:r>
      <w:r w:rsidR="00A5083D" w:rsidRPr="00795722">
        <w:rPr>
          <w:rFonts w:ascii="Times New Roman" w:hAnsi="Times New Roman" w:cs="Times New Roman"/>
          <w:bCs/>
          <w:sz w:val="22"/>
          <w:szCs w:val="22"/>
          <w:lang w:val="en-GB"/>
        </w:rPr>
        <w:t xml:space="preserve"> d</w:t>
      </w:r>
      <w:r w:rsidR="00160624" w:rsidRPr="00795722">
        <w:rPr>
          <w:rFonts w:ascii="Times New Roman" w:hAnsi="Times New Roman" w:cs="Times New Roman"/>
          <w:bCs/>
          <w:sz w:val="22"/>
          <w:szCs w:val="22"/>
          <w:lang w:val="en-GB"/>
        </w:rPr>
        <w:t>evelopment programmes for women</w:t>
      </w:r>
      <w:r w:rsidR="00A5083D" w:rsidRPr="00795722">
        <w:rPr>
          <w:rFonts w:ascii="Times New Roman" w:hAnsi="Times New Roman" w:cs="Times New Roman"/>
          <w:bCs/>
          <w:sz w:val="22"/>
          <w:szCs w:val="22"/>
          <w:lang w:val="en-GB"/>
        </w:rPr>
        <w:t xml:space="preserve">.  </w:t>
      </w:r>
      <w:r w:rsidR="00CE1E67" w:rsidRPr="00795722">
        <w:rPr>
          <w:rFonts w:ascii="Times New Roman" w:hAnsi="Times New Roman" w:cs="Times New Roman"/>
          <w:bCs/>
          <w:sz w:val="22"/>
          <w:szCs w:val="22"/>
          <w:lang w:val="en-GB"/>
        </w:rPr>
        <w:t xml:space="preserve">      </w:t>
      </w:r>
    </w:p>
    <w:p w:rsidR="00843FAB" w:rsidRDefault="00CE1E67" w:rsidP="00A85662">
      <w:pPr>
        <w:pStyle w:val="ListParagraph"/>
        <w:jc w:val="both"/>
        <w:rPr>
          <w:rFonts w:ascii="Times New Roman" w:hAnsi="Times New Roman" w:cs="Times New Roman"/>
          <w:bCs/>
          <w:sz w:val="22"/>
          <w:szCs w:val="22"/>
          <w:lang w:val="en-GB"/>
        </w:rPr>
      </w:pPr>
      <w:r w:rsidRPr="00795722">
        <w:rPr>
          <w:rFonts w:ascii="Times New Roman" w:hAnsi="Times New Roman" w:cs="Times New Roman"/>
          <w:bCs/>
          <w:sz w:val="22"/>
          <w:szCs w:val="22"/>
          <w:lang w:val="en-GB"/>
        </w:rPr>
        <w:t xml:space="preserve">      </w:t>
      </w:r>
    </w:p>
    <w:p w:rsidR="00CE1E67" w:rsidRDefault="00CE1E67" w:rsidP="00843FAB">
      <w:pPr>
        <w:pStyle w:val="ListParagraph"/>
        <w:jc w:val="both"/>
        <w:rPr>
          <w:rFonts w:ascii="Times New Roman" w:hAnsi="Times New Roman" w:cs="Times New Roman"/>
          <w:b/>
          <w:bCs/>
          <w:sz w:val="22"/>
          <w:szCs w:val="22"/>
          <w:lang w:val="en-GB"/>
        </w:rPr>
      </w:pPr>
      <w:r w:rsidRPr="00A85662">
        <w:rPr>
          <w:rFonts w:ascii="Times New Roman" w:hAnsi="Times New Roman" w:cs="Times New Roman"/>
          <w:b/>
          <w:bCs/>
          <w:sz w:val="22"/>
          <w:szCs w:val="22"/>
          <w:lang w:val="en-GB"/>
        </w:rPr>
        <w:t xml:space="preserve">Percentage of women </w:t>
      </w:r>
      <w:r w:rsidR="00C33B37" w:rsidRPr="00A85662">
        <w:rPr>
          <w:rFonts w:ascii="Times New Roman" w:hAnsi="Times New Roman" w:cs="Times New Roman"/>
          <w:b/>
          <w:bCs/>
          <w:sz w:val="22"/>
          <w:szCs w:val="22"/>
          <w:lang w:val="en-GB"/>
        </w:rPr>
        <w:t>in</w:t>
      </w:r>
      <w:r w:rsidRPr="00A85662">
        <w:rPr>
          <w:rFonts w:ascii="Times New Roman" w:hAnsi="Times New Roman" w:cs="Times New Roman"/>
          <w:b/>
          <w:bCs/>
          <w:sz w:val="22"/>
          <w:szCs w:val="22"/>
          <w:lang w:val="en-GB"/>
        </w:rPr>
        <w:t xml:space="preserve"> leadership positions in the field (</w:t>
      </w:r>
      <w:r w:rsidR="00C33B37" w:rsidRPr="00A85662">
        <w:rPr>
          <w:rFonts w:ascii="Times New Roman" w:hAnsi="Times New Roman" w:cs="Times New Roman"/>
          <w:b/>
          <w:bCs/>
          <w:sz w:val="22"/>
          <w:szCs w:val="22"/>
          <w:lang w:val="en-GB"/>
        </w:rPr>
        <w:t>2013-2018</w:t>
      </w:r>
      <w:r w:rsidRPr="00A85662">
        <w:rPr>
          <w:rFonts w:ascii="Times New Roman" w:hAnsi="Times New Roman" w:cs="Times New Roman"/>
          <w:b/>
          <w:bCs/>
          <w:sz w:val="22"/>
          <w:szCs w:val="22"/>
          <w:lang w:val="en-GB"/>
        </w:rPr>
        <w:t>)</w:t>
      </w:r>
    </w:p>
    <w:p w:rsidR="007A77ED" w:rsidRPr="00A85662" w:rsidRDefault="007A77ED" w:rsidP="00843FAB">
      <w:pPr>
        <w:pStyle w:val="ListParagraph"/>
        <w:jc w:val="both"/>
        <w:rPr>
          <w:rFonts w:ascii="Times New Roman" w:hAnsi="Times New Roman" w:cs="Times New Roman"/>
          <w:b/>
          <w:bCs/>
          <w:sz w:val="22"/>
          <w:szCs w:val="22"/>
          <w:lang w:val="en-GB"/>
        </w:rPr>
      </w:pPr>
    </w:p>
    <w:p w:rsidR="00C33B37" w:rsidRPr="00795722" w:rsidRDefault="007A77ED" w:rsidP="00795722">
      <w:pPr>
        <w:pStyle w:val="ListParagraph"/>
        <w:jc w:val="both"/>
        <w:rPr>
          <w:rFonts w:ascii="Times New Roman" w:hAnsi="Times New Roman" w:cs="Times New Roman"/>
          <w:bCs/>
          <w:sz w:val="22"/>
          <w:szCs w:val="22"/>
          <w:lang w:val="en-GB"/>
        </w:rPr>
      </w:pPr>
      <w:r w:rsidRPr="00795722">
        <w:rPr>
          <w:rFonts w:ascii="Times New Roman" w:hAnsi="Times New Roman" w:cs="Times New Roman"/>
          <w:bCs/>
          <w:noProof/>
          <w:sz w:val="22"/>
          <w:szCs w:val="22"/>
          <w:lang w:val="en-GB"/>
        </w:rPr>
        <w:drawing>
          <wp:inline distT="0" distB="0" distL="0" distR="0" wp14:anchorId="213A204A" wp14:editId="4DF570BA">
            <wp:extent cx="3412490" cy="23355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2490" cy="2335530"/>
                    </a:xfrm>
                    <a:prstGeom prst="rect">
                      <a:avLst/>
                    </a:prstGeom>
                    <a:noFill/>
                  </pic:spPr>
                </pic:pic>
              </a:graphicData>
            </a:graphic>
          </wp:inline>
        </w:drawing>
      </w:r>
    </w:p>
    <w:p w:rsidR="007A77ED" w:rsidRPr="007A77ED" w:rsidRDefault="007A77ED" w:rsidP="007A77ED">
      <w:pPr>
        <w:jc w:val="both"/>
        <w:rPr>
          <w:rFonts w:ascii="Times New Roman" w:hAnsi="Times New Roman" w:cs="Times New Roman"/>
          <w:bCs/>
          <w:sz w:val="22"/>
          <w:szCs w:val="22"/>
          <w:lang w:val="en-GB"/>
        </w:rPr>
      </w:pPr>
    </w:p>
    <w:p w:rsidR="00160624" w:rsidRPr="00795722" w:rsidRDefault="00F94EB5" w:rsidP="00795722">
      <w:pPr>
        <w:pStyle w:val="ListParagraph"/>
        <w:numPr>
          <w:ilvl w:val="0"/>
          <w:numId w:val="9"/>
        </w:numPr>
        <w:jc w:val="both"/>
        <w:rPr>
          <w:rFonts w:ascii="Times New Roman" w:hAnsi="Times New Roman" w:cs="Times New Roman"/>
          <w:bCs/>
          <w:sz w:val="22"/>
          <w:szCs w:val="22"/>
          <w:lang w:val="en-GB"/>
        </w:rPr>
      </w:pPr>
      <w:r w:rsidRPr="00795722">
        <w:rPr>
          <w:rFonts w:ascii="Times New Roman" w:hAnsi="Times New Roman" w:cs="Times New Roman"/>
          <w:bCs/>
          <w:sz w:val="22"/>
          <w:szCs w:val="22"/>
          <w:lang w:val="en-GB"/>
        </w:rPr>
        <w:t>Despite progress,</w:t>
      </w:r>
      <w:r w:rsidR="00A5083D" w:rsidRPr="00795722">
        <w:rPr>
          <w:rFonts w:ascii="Times New Roman" w:hAnsi="Times New Roman" w:cs="Times New Roman"/>
          <w:bCs/>
          <w:sz w:val="22"/>
          <w:szCs w:val="22"/>
          <w:lang w:val="en-GB"/>
        </w:rPr>
        <w:t xml:space="preserve"> challenges persist with regard to </w:t>
      </w:r>
      <w:r w:rsidR="00160624" w:rsidRPr="00795722">
        <w:rPr>
          <w:rFonts w:ascii="Times New Roman" w:hAnsi="Times New Roman" w:cs="Times New Roman"/>
          <w:bCs/>
          <w:sz w:val="22"/>
          <w:szCs w:val="22"/>
          <w:lang w:val="en-GB"/>
        </w:rPr>
        <w:t>women’s</w:t>
      </w:r>
      <w:r w:rsidR="00A5083D" w:rsidRPr="00795722">
        <w:rPr>
          <w:rFonts w:ascii="Times New Roman" w:hAnsi="Times New Roman" w:cs="Times New Roman"/>
          <w:bCs/>
          <w:sz w:val="22"/>
          <w:szCs w:val="22"/>
          <w:lang w:val="en-GB"/>
        </w:rPr>
        <w:t xml:space="preserve"> representation in senior positions as well as their experiences as employees. </w:t>
      </w:r>
      <w:r w:rsidRPr="00795722">
        <w:rPr>
          <w:rFonts w:ascii="Times New Roman" w:hAnsi="Times New Roman" w:cs="Times New Roman"/>
          <w:bCs/>
          <w:sz w:val="22"/>
          <w:szCs w:val="22"/>
          <w:lang w:val="en-GB"/>
        </w:rPr>
        <w:t xml:space="preserve"> </w:t>
      </w:r>
      <w:r w:rsidR="00160624" w:rsidRPr="00795722">
        <w:rPr>
          <w:rFonts w:ascii="Times New Roman" w:hAnsi="Times New Roman" w:cs="Times New Roman"/>
          <w:bCs/>
          <w:sz w:val="22"/>
          <w:szCs w:val="22"/>
          <w:lang w:val="en-GB"/>
        </w:rPr>
        <w:t>T</w:t>
      </w:r>
      <w:r w:rsidRPr="00795722">
        <w:rPr>
          <w:rFonts w:ascii="Times New Roman" w:hAnsi="Times New Roman" w:cs="Times New Roman"/>
          <w:bCs/>
          <w:sz w:val="22"/>
          <w:szCs w:val="22"/>
          <w:lang w:val="en-GB"/>
        </w:rPr>
        <w:t>he</w:t>
      </w:r>
      <w:r w:rsidR="00CF318E" w:rsidRPr="00795722">
        <w:rPr>
          <w:rFonts w:ascii="Times New Roman" w:hAnsi="Times New Roman" w:cs="Times New Roman"/>
          <w:bCs/>
          <w:sz w:val="22"/>
          <w:szCs w:val="22"/>
          <w:lang w:val="en-GB"/>
        </w:rPr>
        <w:t xml:space="preserve"> share of women </w:t>
      </w:r>
      <w:r w:rsidR="00A36CF6">
        <w:rPr>
          <w:rFonts w:ascii="Times New Roman" w:hAnsi="Times New Roman" w:cs="Times New Roman"/>
          <w:bCs/>
          <w:sz w:val="22"/>
          <w:szCs w:val="22"/>
          <w:lang w:val="en-GB"/>
        </w:rPr>
        <w:t>declines</w:t>
      </w:r>
      <w:r w:rsidR="00CF318E" w:rsidRPr="00795722">
        <w:rPr>
          <w:rFonts w:ascii="Times New Roman" w:hAnsi="Times New Roman" w:cs="Times New Roman"/>
          <w:bCs/>
          <w:sz w:val="22"/>
          <w:szCs w:val="22"/>
          <w:lang w:val="en-GB"/>
        </w:rPr>
        <w:t xml:space="preserve"> from close-to-parity at the P3 level to 3</w:t>
      </w:r>
      <w:r w:rsidR="00D01781" w:rsidRPr="00795722">
        <w:rPr>
          <w:rFonts w:ascii="Times New Roman" w:hAnsi="Times New Roman" w:cs="Times New Roman"/>
          <w:bCs/>
          <w:sz w:val="22"/>
          <w:szCs w:val="22"/>
          <w:lang w:val="en-GB"/>
        </w:rPr>
        <w:t>5</w:t>
      </w:r>
      <w:r w:rsidR="00CF318E" w:rsidRPr="00795722">
        <w:rPr>
          <w:rFonts w:ascii="Times New Roman" w:hAnsi="Times New Roman" w:cs="Times New Roman"/>
          <w:bCs/>
          <w:sz w:val="22"/>
          <w:szCs w:val="22"/>
          <w:lang w:val="en-GB"/>
        </w:rPr>
        <w:t xml:space="preserve"> percent at the D2 level.</w:t>
      </w:r>
      <w:r w:rsidR="00A85662">
        <w:rPr>
          <w:rFonts w:ascii="Times New Roman" w:hAnsi="Times New Roman" w:cs="Times New Roman"/>
          <w:bCs/>
          <w:sz w:val="22"/>
          <w:szCs w:val="22"/>
          <w:lang w:val="en-GB"/>
        </w:rPr>
        <w:t xml:space="preserve"> This trend is mirrored by national staff, particularly at NOD and NOC levels. </w:t>
      </w:r>
      <w:r w:rsidR="00FE582C" w:rsidRPr="00795722">
        <w:rPr>
          <w:rFonts w:ascii="Times New Roman" w:hAnsi="Times New Roman" w:cs="Times New Roman"/>
          <w:bCs/>
          <w:sz w:val="22"/>
          <w:szCs w:val="22"/>
          <w:lang w:val="en-GB"/>
        </w:rPr>
        <w:t>Some reasons</w:t>
      </w:r>
      <w:r w:rsidRPr="00795722">
        <w:rPr>
          <w:rFonts w:ascii="Times New Roman" w:hAnsi="Times New Roman" w:cs="Times New Roman"/>
          <w:bCs/>
          <w:sz w:val="22"/>
          <w:szCs w:val="22"/>
          <w:lang w:val="en-GB"/>
        </w:rPr>
        <w:t xml:space="preserve"> for this include</w:t>
      </w:r>
      <w:r w:rsidR="00160624" w:rsidRPr="00795722">
        <w:rPr>
          <w:rFonts w:ascii="Times New Roman" w:hAnsi="Times New Roman" w:cs="Times New Roman"/>
          <w:bCs/>
          <w:sz w:val="22"/>
          <w:szCs w:val="22"/>
          <w:lang w:val="en-GB"/>
        </w:rPr>
        <w:t xml:space="preserve"> inconsistency in the implementation of policies and work practices, </w:t>
      </w:r>
      <w:r w:rsidR="00FE582C" w:rsidRPr="00795722">
        <w:rPr>
          <w:rFonts w:ascii="Times New Roman" w:hAnsi="Times New Roman" w:cs="Times New Roman"/>
          <w:bCs/>
          <w:sz w:val="22"/>
          <w:szCs w:val="22"/>
          <w:lang w:val="en-GB"/>
        </w:rPr>
        <w:t>unconscious bias in recruitment practices, an imbalance in the number of women applying for senior posts</w:t>
      </w:r>
      <w:r w:rsidR="008D4F6F">
        <w:rPr>
          <w:rFonts w:ascii="Times New Roman" w:hAnsi="Times New Roman" w:cs="Times New Roman"/>
          <w:bCs/>
          <w:sz w:val="22"/>
          <w:szCs w:val="22"/>
          <w:lang w:val="en-GB"/>
        </w:rPr>
        <w:t xml:space="preserve">, as well as dispersed accountability for reaching gender parity. </w:t>
      </w:r>
      <w:r w:rsidR="00FE582C" w:rsidRPr="00795722">
        <w:rPr>
          <w:rFonts w:ascii="Times New Roman" w:hAnsi="Times New Roman" w:cs="Times New Roman"/>
          <w:bCs/>
          <w:sz w:val="22"/>
          <w:szCs w:val="22"/>
          <w:lang w:val="en-GB"/>
        </w:rPr>
        <w:t xml:space="preserve">The new Gender Parity Strategy calls for strengthening a </w:t>
      </w:r>
      <w:r w:rsidR="00227A96" w:rsidRPr="00795722">
        <w:rPr>
          <w:rFonts w:ascii="Times New Roman" w:hAnsi="Times New Roman" w:cs="Times New Roman"/>
          <w:bCs/>
          <w:sz w:val="22"/>
          <w:szCs w:val="22"/>
          <w:lang w:val="en-GB"/>
        </w:rPr>
        <w:t xml:space="preserve">gender-inclusive culture, </w:t>
      </w:r>
      <w:r w:rsidR="00FE582C" w:rsidRPr="00795722">
        <w:rPr>
          <w:rFonts w:ascii="Times New Roman" w:hAnsi="Times New Roman" w:cs="Times New Roman"/>
          <w:bCs/>
          <w:sz w:val="22"/>
          <w:szCs w:val="22"/>
          <w:lang w:val="en-GB"/>
        </w:rPr>
        <w:t>enhanced</w:t>
      </w:r>
      <w:r w:rsidR="00227A96" w:rsidRPr="00795722">
        <w:rPr>
          <w:rFonts w:ascii="Times New Roman" w:hAnsi="Times New Roman" w:cs="Times New Roman"/>
          <w:bCs/>
          <w:sz w:val="22"/>
          <w:szCs w:val="22"/>
          <w:lang w:val="en-GB"/>
        </w:rPr>
        <w:t xml:space="preserve"> efforts to attract and recruit more qualified women to posts where they are under-represented, improving retention and advancement of qualified personnel and strengthening accountability for gender </w:t>
      </w:r>
      <w:r w:rsidR="00FE582C" w:rsidRPr="00795722">
        <w:rPr>
          <w:rFonts w:ascii="Times New Roman" w:hAnsi="Times New Roman" w:cs="Times New Roman"/>
          <w:bCs/>
          <w:sz w:val="22"/>
          <w:szCs w:val="22"/>
          <w:lang w:val="en-GB"/>
        </w:rPr>
        <w:t>parity results</w:t>
      </w:r>
      <w:r w:rsidR="00227A96" w:rsidRPr="00795722">
        <w:rPr>
          <w:rFonts w:ascii="Times New Roman" w:hAnsi="Times New Roman" w:cs="Times New Roman"/>
          <w:bCs/>
          <w:sz w:val="22"/>
          <w:szCs w:val="22"/>
          <w:lang w:val="en-GB"/>
        </w:rPr>
        <w:t xml:space="preserve"> across the organization</w:t>
      </w:r>
      <w:r w:rsidR="00160624" w:rsidRPr="00795722">
        <w:rPr>
          <w:rFonts w:ascii="Times New Roman" w:hAnsi="Times New Roman" w:cs="Times New Roman"/>
          <w:bCs/>
          <w:sz w:val="22"/>
          <w:szCs w:val="22"/>
          <w:lang w:val="en-GB"/>
        </w:rPr>
        <w:t xml:space="preserve">. </w:t>
      </w:r>
      <w:r w:rsidR="006B3B89">
        <w:rPr>
          <w:rFonts w:ascii="Times New Roman" w:hAnsi="Times New Roman" w:cs="Times New Roman"/>
          <w:bCs/>
          <w:sz w:val="22"/>
          <w:szCs w:val="22"/>
          <w:lang w:val="en-GB"/>
        </w:rPr>
        <w:t xml:space="preserve">Recent appointments </w:t>
      </w:r>
      <w:r w:rsidR="00CC2431">
        <w:rPr>
          <w:rFonts w:ascii="Times New Roman" w:hAnsi="Times New Roman" w:cs="Times New Roman"/>
          <w:bCs/>
          <w:sz w:val="22"/>
          <w:szCs w:val="22"/>
          <w:lang w:val="en-GB"/>
        </w:rPr>
        <w:t xml:space="preserve">by the Administrator </w:t>
      </w:r>
      <w:r w:rsidR="006B3B89">
        <w:rPr>
          <w:rFonts w:ascii="Times New Roman" w:hAnsi="Times New Roman" w:cs="Times New Roman"/>
          <w:bCs/>
          <w:sz w:val="22"/>
          <w:szCs w:val="22"/>
          <w:lang w:val="en-GB"/>
        </w:rPr>
        <w:t>at Assistant Secretary General level</w:t>
      </w:r>
      <w:r w:rsidR="00CC2431">
        <w:rPr>
          <w:rFonts w:ascii="Times New Roman" w:hAnsi="Times New Roman" w:cs="Times New Roman"/>
          <w:bCs/>
          <w:sz w:val="22"/>
          <w:szCs w:val="22"/>
          <w:lang w:val="en-GB"/>
        </w:rPr>
        <w:t xml:space="preserve"> now mean his senior leadership team of Directors is 50:50 gender balanced</w:t>
      </w:r>
      <w:r w:rsidR="00F0151D">
        <w:rPr>
          <w:rFonts w:ascii="Times New Roman" w:hAnsi="Times New Roman" w:cs="Times New Roman"/>
          <w:bCs/>
          <w:sz w:val="22"/>
          <w:szCs w:val="22"/>
          <w:lang w:val="en-GB"/>
        </w:rPr>
        <w:t xml:space="preserve"> as at July 2018</w:t>
      </w:r>
      <w:r w:rsidR="00CC2431">
        <w:rPr>
          <w:rFonts w:ascii="Times New Roman" w:hAnsi="Times New Roman" w:cs="Times New Roman"/>
          <w:bCs/>
          <w:sz w:val="22"/>
          <w:szCs w:val="22"/>
          <w:lang w:val="en-GB"/>
        </w:rPr>
        <w:t xml:space="preserve">. </w:t>
      </w:r>
      <w:r w:rsidR="006B3B89">
        <w:rPr>
          <w:rFonts w:ascii="Times New Roman" w:hAnsi="Times New Roman" w:cs="Times New Roman"/>
          <w:bCs/>
          <w:sz w:val="22"/>
          <w:szCs w:val="22"/>
          <w:lang w:val="en-GB"/>
        </w:rPr>
        <w:t xml:space="preserve"> </w:t>
      </w:r>
    </w:p>
    <w:p w:rsidR="00160624" w:rsidRPr="00795722" w:rsidRDefault="00160624" w:rsidP="00795722">
      <w:pPr>
        <w:pStyle w:val="ListParagraph"/>
        <w:jc w:val="both"/>
        <w:rPr>
          <w:rFonts w:ascii="Times New Roman" w:hAnsi="Times New Roman" w:cs="Times New Roman"/>
          <w:bCs/>
          <w:sz w:val="22"/>
          <w:szCs w:val="22"/>
          <w:lang w:val="en-GB"/>
        </w:rPr>
      </w:pPr>
    </w:p>
    <w:p w:rsidR="00CF318E" w:rsidRPr="00A85662" w:rsidRDefault="00CF318E" w:rsidP="00795722">
      <w:pPr>
        <w:pStyle w:val="ListParagraph"/>
        <w:jc w:val="both"/>
        <w:rPr>
          <w:rFonts w:ascii="Times New Roman" w:hAnsi="Times New Roman" w:cs="Times New Roman"/>
          <w:b/>
          <w:bCs/>
          <w:sz w:val="22"/>
          <w:szCs w:val="22"/>
          <w:lang w:val="en-GB"/>
        </w:rPr>
      </w:pPr>
      <w:r w:rsidRPr="00A85662">
        <w:rPr>
          <w:rFonts w:ascii="Times New Roman" w:hAnsi="Times New Roman" w:cs="Times New Roman"/>
          <w:b/>
          <w:bCs/>
          <w:sz w:val="22"/>
          <w:szCs w:val="22"/>
          <w:lang w:val="en-GB"/>
        </w:rPr>
        <w:t>Percentage of women and men, total UNDP staff, by grade (</w:t>
      </w:r>
      <w:r w:rsidR="00C33B37" w:rsidRPr="00A85662">
        <w:rPr>
          <w:rFonts w:ascii="Times New Roman" w:hAnsi="Times New Roman" w:cs="Times New Roman"/>
          <w:b/>
          <w:bCs/>
          <w:sz w:val="22"/>
          <w:szCs w:val="22"/>
          <w:lang w:val="en-GB"/>
        </w:rPr>
        <w:t>March</w:t>
      </w:r>
      <w:r w:rsidRPr="00A85662">
        <w:rPr>
          <w:rFonts w:ascii="Times New Roman" w:hAnsi="Times New Roman" w:cs="Times New Roman"/>
          <w:b/>
          <w:bCs/>
          <w:sz w:val="22"/>
          <w:szCs w:val="22"/>
          <w:lang w:val="en-GB"/>
        </w:rPr>
        <w:t xml:space="preserve"> 2018)</w:t>
      </w:r>
    </w:p>
    <w:p w:rsidR="00ED03BD" w:rsidRPr="00580229" w:rsidRDefault="00BE4C09" w:rsidP="00D24615">
      <w:pPr>
        <w:pStyle w:val="ListParagraph"/>
        <w:jc w:val="both"/>
        <w:rPr>
          <w:rFonts w:ascii="Times New Roman" w:hAnsi="Times New Roman" w:cs="Times New Roman"/>
          <w:bCs/>
          <w:sz w:val="22"/>
          <w:szCs w:val="22"/>
          <w:lang w:val="en-GB"/>
        </w:rPr>
      </w:pPr>
      <w:r w:rsidRPr="00795722">
        <w:rPr>
          <w:rFonts w:ascii="Times New Roman" w:hAnsi="Times New Roman" w:cs="Times New Roman"/>
          <w:bCs/>
          <w:noProof/>
          <w:sz w:val="22"/>
          <w:szCs w:val="22"/>
          <w:lang w:val="en-GB"/>
        </w:rPr>
        <w:drawing>
          <wp:anchor distT="0" distB="0" distL="114300" distR="114300" simplePos="0" relativeHeight="251661312" behindDoc="0" locked="0" layoutInCell="1" allowOverlap="1" wp14:anchorId="5BF2721A" wp14:editId="7F1023D0">
            <wp:simplePos x="0" y="0"/>
            <wp:positionH relativeFrom="column">
              <wp:posOffset>678180</wp:posOffset>
            </wp:positionH>
            <wp:positionV relativeFrom="paragraph">
              <wp:posOffset>254000</wp:posOffset>
            </wp:positionV>
            <wp:extent cx="4050030" cy="2266950"/>
            <wp:effectExtent l="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30" cy="2266950"/>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ED03BD" w:rsidRPr="00580229" w:rsidSect="00522E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8C1" w:rsidRDefault="00C218C1" w:rsidP="00E51D81">
      <w:r>
        <w:separator/>
      </w:r>
    </w:p>
  </w:endnote>
  <w:endnote w:type="continuationSeparator" w:id="0">
    <w:p w:rsidR="00C218C1" w:rsidRDefault="00C218C1" w:rsidP="00E5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imbus Roman No9 L">
    <w:altName w:val="MS Mincho"/>
    <w:charset w:val="01"/>
    <w:family w:val="auto"/>
    <w:pitch w:val="default"/>
  </w:font>
  <w:font w:name="DejaVu Sans">
    <w:altName w:val="Yu Gothic"/>
    <w:panose1 w:val="00000000000000000000"/>
    <w:charset w:val="00"/>
    <w:family w:val="roman"/>
    <w:notTrueType/>
    <w:pitch w:val="default"/>
  </w:font>
  <w:font w:name="Lohit Hindi">
    <w:altName w:val="MS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8C1" w:rsidRDefault="00C218C1" w:rsidP="00E51D81">
      <w:r>
        <w:separator/>
      </w:r>
    </w:p>
  </w:footnote>
  <w:footnote w:type="continuationSeparator" w:id="0">
    <w:p w:rsidR="00C218C1" w:rsidRDefault="00C218C1" w:rsidP="00E51D81">
      <w:r>
        <w:continuationSeparator/>
      </w:r>
    </w:p>
  </w:footnote>
  <w:footnote w:id="1">
    <w:p w:rsidR="00B62979" w:rsidRPr="00FB1FC3" w:rsidRDefault="00B62979" w:rsidP="00B62979">
      <w:pPr>
        <w:pStyle w:val="Default"/>
        <w:rPr>
          <w:sz w:val="20"/>
          <w:szCs w:val="20"/>
        </w:rPr>
      </w:pPr>
      <w:r w:rsidRPr="00FB1FC3">
        <w:rPr>
          <w:rStyle w:val="FootnoteReference"/>
          <w:sz w:val="20"/>
          <w:szCs w:val="20"/>
        </w:rPr>
        <w:footnoteRef/>
      </w:r>
      <w:r w:rsidRPr="00FB1FC3">
        <w:rPr>
          <w:sz w:val="20"/>
          <w:szCs w:val="20"/>
        </w:rPr>
        <w:t xml:space="preserve"> </w:t>
      </w:r>
      <w:r w:rsidRPr="00FB1FC3">
        <w:rPr>
          <w:bCs/>
          <w:sz w:val="20"/>
          <w:szCs w:val="20"/>
        </w:rPr>
        <w:t>Report of the Administrator on results for 2017 and progress on the Strategic Plan, 2018-2021.</w:t>
      </w:r>
    </w:p>
  </w:footnote>
  <w:footnote w:id="2">
    <w:p w:rsidR="00B62979" w:rsidRPr="00FB1FC3" w:rsidRDefault="00B62979" w:rsidP="00B62979">
      <w:pPr>
        <w:pStyle w:val="FootnoteText"/>
        <w:rPr>
          <w:sz w:val="20"/>
          <w:szCs w:val="20"/>
        </w:rPr>
      </w:pPr>
      <w:r w:rsidRPr="00FB1FC3">
        <w:rPr>
          <w:rStyle w:val="FootnoteReference"/>
          <w:sz w:val="20"/>
          <w:szCs w:val="20"/>
        </w:rPr>
        <w:footnoteRef/>
      </w:r>
      <w:r w:rsidRPr="00FB1FC3">
        <w:rPr>
          <w:sz w:val="20"/>
          <w:szCs w:val="20"/>
        </w:rPr>
        <w:t xml:space="preserve"> Ibid.</w:t>
      </w:r>
    </w:p>
  </w:footnote>
  <w:footnote w:id="3">
    <w:p w:rsidR="00B62979" w:rsidRPr="00FB1FC3" w:rsidRDefault="00B62979" w:rsidP="00B62979">
      <w:pPr>
        <w:pStyle w:val="FootnoteText"/>
        <w:rPr>
          <w:sz w:val="20"/>
          <w:szCs w:val="20"/>
        </w:rPr>
      </w:pPr>
      <w:r w:rsidRPr="00FB1FC3">
        <w:rPr>
          <w:rStyle w:val="FootnoteReference"/>
          <w:sz w:val="20"/>
          <w:szCs w:val="20"/>
        </w:rPr>
        <w:footnoteRef/>
      </w:r>
      <w:r w:rsidR="005570B3">
        <w:rPr>
          <w:sz w:val="20"/>
          <w:szCs w:val="20"/>
        </w:rPr>
        <w:t xml:space="preserve"> UNDP Results-Oriented Annual Reporting (ROAR) </w:t>
      </w:r>
      <w:r w:rsidRPr="00FB1FC3">
        <w:rPr>
          <w:sz w:val="20"/>
          <w:szCs w:val="20"/>
        </w:rPr>
        <w:t>2017</w:t>
      </w:r>
    </w:p>
  </w:footnote>
  <w:footnote w:id="4">
    <w:p w:rsidR="005570B3" w:rsidRPr="00FB1FC3" w:rsidRDefault="005570B3" w:rsidP="005570B3">
      <w:pPr>
        <w:pStyle w:val="FootnoteText"/>
        <w:rPr>
          <w:sz w:val="20"/>
          <w:szCs w:val="20"/>
        </w:rPr>
      </w:pPr>
      <w:r w:rsidRPr="00FB1FC3">
        <w:rPr>
          <w:rStyle w:val="FootnoteReference"/>
          <w:sz w:val="20"/>
          <w:szCs w:val="20"/>
        </w:rPr>
        <w:footnoteRef/>
      </w:r>
      <w:r w:rsidRPr="00FB1FC3">
        <w:rPr>
          <w:sz w:val="20"/>
          <w:szCs w:val="20"/>
        </w:rPr>
        <w:t xml:space="preserve"> </w:t>
      </w:r>
      <w:r>
        <w:rPr>
          <w:sz w:val="20"/>
          <w:szCs w:val="20"/>
        </w:rPr>
        <w:t>Ibid.</w:t>
      </w:r>
    </w:p>
  </w:footnote>
  <w:footnote w:id="5">
    <w:p w:rsidR="00E15CED" w:rsidRPr="00EE0B73" w:rsidRDefault="00E15CED" w:rsidP="00E15CED">
      <w:pPr>
        <w:pStyle w:val="FootnoteText"/>
        <w:rPr>
          <w:sz w:val="20"/>
          <w:szCs w:val="20"/>
        </w:rPr>
      </w:pPr>
      <w:r w:rsidRPr="00EE0B73">
        <w:rPr>
          <w:rStyle w:val="FootnoteReference"/>
          <w:sz w:val="20"/>
          <w:szCs w:val="20"/>
        </w:rPr>
        <w:footnoteRef/>
      </w:r>
      <w:r w:rsidRPr="00EE0B73">
        <w:rPr>
          <w:sz w:val="20"/>
          <w:szCs w:val="20"/>
        </w:rPr>
        <w:t xml:space="preserve"> </w:t>
      </w:r>
      <w:r w:rsidRPr="00EE0B73">
        <w:rPr>
          <w:rFonts w:eastAsiaTheme="minorHAnsi"/>
          <w:bCs/>
          <w:color w:val="000000"/>
          <w:sz w:val="20"/>
          <w:szCs w:val="20"/>
        </w:rPr>
        <w:t>Report of the Administrator on results for 2017 and progress on the Strategic Plan, 2018-2021</w:t>
      </w:r>
      <w:r w:rsidRPr="00EE0B73">
        <w:rPr>
          <w:bCs/>
          <w:sz w:val="20"/>
          <w:szCs w:val="20"/>
        </w:rPr>
        <w:t>.</w:t>
      </w:r>
    </w:p>
  </w:footnote>
  <w:footnote w:id="6">
    <w:p w:rsidR="00E15CED" w:rsidRPr="00EE0B73" w:rsidRDefault="00E15CED" w:rsidP="00E15CED">
      <w:pPr>
        <w:pStyle w:val="FootnoteText"/>
        <w:rPr>
          <w:sz w:val="20"/>
          <w:szCs w:val="20"/>
        </w:rPr>
      </w:pPr>
      <w:r w:rsidRPr="00EE0B73">
        <w:rPr>
          <w:rStyle w:val="FootnoteReference"/>
          <w:sz w:val="20"/>
          <w:szCs w:val="20"/>
        </w:rPr>
        <w:footnoteRef/>
      </w:r>
      <w:r w:rsidRPr="00EE0B73">
        <w:rPr>
          <w:sz w:val="20"/>
          <w:szCs w:val="20"/>
        </w:rPr>
        <w:t xml:space="preserve"> </w:t>
      </w:r>
      <w:r w:rsidR="00EE0B73" w:rsidRPr="00EE0B73">
        <w:rPr>
          <w:sz w:val="20"/>
          <w:szCs w:val="20"/>
        </w:rPr>
        <w:t>UNDP ROAR 2017</w:t>
      </w:r>
    </w:p>
  </w:footnote>
  <w:footnote w:id="7">
    <w:p w:rsidR="00E15CED" w:rsidRPr="00EE0B73" w:rsidRDefault="00E15CED" w:rsidP="00E15CED">
      <w:pPr>
        <w:pStyle w:val="FootnoteText"/>
        <w:rPr>
          <w:sz w:val="20"/>
          <w:szCs w:val="20"/>
        </w:rPr>
      </w:pPr>
      <w:r w:rsidRPr="00EE0B73">
        <w:rPr>
          <w:rStyle w:val="FootnoteReference"/>
          <w:sz w:val="20"/>
          <w:szCs w:val="20"/>
        </w:rPr>
        <w:footnoteRef/>
      </w:r>
      <w:r w:rsidRPr="00EE0B73">
        <w:rPr>
          <w:sz w:val="20"/>
          <w:szCs w:val="20"/>
        </w:rPr>
        <w:t xml:space="preserve"> </w:t>
      </w:r>
      <w:r w:rsidR="00EE0B73" w:rsidRPr="00EE0B73">
        <w:rPr>
          <w:sz w:val="20"/>
          <w:szCs w:val="20"/>
        </w:rPr>
        <w:t>UNDP ROAR 2017</w:t>
      </w:r>
    </w:p>
  </w:footnote>
  <w:footnote w:id="8">
    <w:p w:rsidR="00E15CED" w:rsidRPr="00EE0B73" w:rsidRDefault="00E15CED" w:rsidP="00E15CED">
      <w:pPr>
        <w:pStyle w:val="FootnoteText"/>
        <w:rPr>
          <w:sz w:val="20"/>
          <w:szCs w:val="20"/>
        </w:rPr>
      </w:pPr>
      <w:r w:rsidRPr="00EE0B73">
        <w:rPr>
          <w:rStyle w:val="FootnoteReference"/>
          <w:sz w:val="20"/>
          <w:szCs w:val="20"/>
        </w:rPr>
        <w:footnoteRef/>
      </w:r>
      <w:r w:rsidRPr="00EE0B73">
        <w:rPr>
          <w:sz w:val="20"/>
          <w:szCs w:val="20"/>
        </w:rPr>
        <w:t xml:space="preserve"> </w:t>
      </w:r>
      <w:r w:rsidRPr="00EE0B73">
        <w:rPr>
          <w:rFonts w:eastAsiaTheme="minorHAnsi"/>
          <w:bCs/>
          <w:color w:val="000000"/>
          <w:sz w:val="20"/>
          <w:szCs w:val="20"/>
        </w:rPr>
        <w:t>Report of the Administrator on results for 2017 and progress on the Strategic Plan, 2018-2021</w:t>
      </w:r>
      <w:r w:rsidRPr="00EE0B73">
        <w:rPr>
          <w:bCs/>
          <w:sz w:val="20"/>
          <w:szCs w:val="20"/>
        </w:rPr>
        <w:t>.</w:t>
      </w:r>
    </w:p>
  </w:footnote>
  <w:footnote w:id="9">
    <w:p w:rsidR="0045343A" w:rsidRPr="00EE0B73" w:rsidRDefault="0045343A" w:rsidP="0045343A">
      <w:pPr>
        <w:pStyle w:val="FootnoteText"/>
        <w:rPr>
          <w:sz w:val="20"/>
          <w:szCs w:val="20"/>
        </w:rPr>
      </w:pPr>
      <w:r w:rsidRPr="00EE0B73">
        <w:rPr>
          <w:rStyle w:val="FootnoteReference"/>
          <w:sz w:val="20"/>
          <w:szCs w:val="20"/>
        </w:rPr>
        <w:footnoteRef/>
      </w:r>
      <w:r w:rsidRPr="00EE0B73">
        <w:rPr>
          <w:sz w:val="20"/>
          <w:szCs w:val="20"/>
        </w:rPr>
        <w:t xml:space="preserve"> References to Kosovo shall be understood to be in the context of Security Council Resolution 1244 (1999).</w:t>
      </w:r>
    </w:p>
  </w:footnote>
  <w:footnote w:id="10">
    <w:p w:rsidR="00EE0B73" w:rsidRPr="00D413F9" w:rsidRDefault="00EE0B73" w:rsidP="00EE0B73">
      <w:pPr>
        <w:pStyle w:val="FootnoteText"/>
        <w:rPr>
          <w:sz w:val="20"/>
          <w:szCs w:val="20"/>
        </w:rPr>
      </w:pPr>
      <w:r w:rsidRPr="00D413F9">
        <w:rPr>
          <w:rStyle w:val="FootnoteReference"/>
          <w:sz w:val="20"/>
          <w:szCs w:val="20"/>
        </w:rPr>
        <w:footnoteRef/>
      </w:r>
      <w:r w:rsidRPr="00D413F9">
        <w:rPr>
          <w:sz w:val="20"/>
          <w:szCs w:val="20"/>
        </w:rPr>
        <w:t xml:space="preserve"> </w:t>
      </w:r>
      <w:r w:rsidRPr="00EE0B73">
        <w:rPr>
          <w:sz w:val="20"/>
          <w:szCs w:val="20"/>
        </w:rPr>
        <w:t>UNDP ROAR 2017</w:t>
      </w:r>
    </w:p>
  </w:footnote>
  <w:footnote w:id="11">
    <w:p w:rsidR="002D223A" w:rsidRPr="00D413F9" w:rsidRDefault="002D223A" w:rsidP="002D223A">
      <w:pPr>
        <w:pStyle w:val="FootnoteText"/>
        <w:rPr>
          <w:sz w:val="20"/>
          <w:szCs w:val="20"/>
        </w:rPr>
      </w:pPr>
      <w:r w:rsidRPr="00D413F9">
        <w:rPr>
          <w:rStyle w:val="FootnoteReference"/>
          <w:sz w:val="20"/>
          <w:szCs w:val="20"/>
        </w:rPr>
        <w:footnoteRef/>
      </w:r>
      <w:r w:rsidRPr="00D413F9">
        <w:rPr>
          <w:sz w:val="20"/>
          <w:szCs w:val="20"/>
        </w:rPr>
        <w:t xml:space="preserve"> Ibid</w:t>
      </w:r>
    </w:p>
  </w:footnote>
  <w:footnote w:id="12">
    <w:p w:rsidR="002D223A" w:rsidRPr="00D413F9" w:rsidRDefault="002D223A" w:rsidP="002D223A">
      <w:pPr>
        <w:pStyle w:val="FootnoteText"/>
        <w:rPr>
          <w:sz w:val="20"/>
          <w:szCs w:val="20"/>
        </w:rPr>
      </w:pPr>
      <w:r w:rsidRPr="00D413F9">
        <w:rPr>
          <w:rStyle w:val="FootnoteReference"/>
          <w:sz w:val="20"/>
          <w:szCs w:val="20"/>
        </w:rPr>
        <w:footnoteRef/>
      </w:r>
      <w:r w:rsidRPr="00D413F9">
        <w:rPr>
          <w:sz w:val="20"/>
          <w:szCs w:val="20"/>
        </w:rPr>
        <w:t xml:space="preserve"> </w:t>
      </w:r>
      <w:hyperlink r:id="rId1" w:history="1">
        <w:r w:rsidRPr="005D6E16">
          <w:rPr>
            <w:rStyle w:val="Hyperlink"/>
            <w:sz w:val="20"/>
            <w:szCs w:val="20"/>
          </w:rPr>
          <w:t>https://stories.undp.org/breaking-the-silence</w:t>
        </w:r>
      </w:hyperlink>
      <w:r>
        <w:rPr>
          <w:sz w:val="20"/>
          <w:szCs w:val="20"/>
        </w:rPr>
        <w:t xml:space="preserve"> </w:t>
      </w:r>
    </w:p>
  </w:footnote>
  <w:footnote w:id="13">
    <w:p w:rsidR="002D223A" w:rsidRPr="009E121F" w:rsidRDefault="002D223A" w:rsidP="002D223A">
      <w:pPr>
        <w:pStyle w:val="FootnoteText"/>
        <w:rPr>
          <w:sz w:val="20"/>
          <w:szCs w:val="20"/>
        </w:rPr>
      </w:pPr>
      <w:r w:rsidRPr="009E121F">
        <w:rPr>
          <w:rStyle w:val="FootnoteReference"/>
          <w:sz w:val="20"/>
          <w:szCs w:val="20"/>
        </w:rPr>
        <w:footnoteRef/>
      </w:r>
      <w:r w:rsidRPr="009E121F">
        <w:rPr>
          <w:sz w:val="20"/>
          <w:szCs w:val="20"/>
        </w:rPr>
        <w:t xml:space="preserve"> </w:t>
      </w:r>
      <w:hyperlink r:id="rId2" w:history="1">
        <w:r w:rsidRPr="009E121F">
          <w:rPr>
            <w:rStyle w:val="Hyperlink"/>
            <w:sz w:val="20"/>
            <w:szCs w:val="20"/>
          </w:rPr>
          <w:t>http://www.seesac.org/Gender-in-Security-Sector-Reform/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28"/>
    <w:multiLevelType w:val="hybridMultilevel"/>
    <w:tmpl w:val="CA0CE048"/>
    <w:lvl w:ilvl="0" w:tplc="B69277FC">
      <w:start w:val="1"/>
      <w:numFmt w:val="bullet"/>
      <w:lvlText w:val="•"/>
      <w:lvlJc w:val="left"/>
      <w:pPr>
        <w:tabs>
          <w:tab w:val="num" w:pos="720"/>
        </w:tabs>
        <w:ind w:left="720" w:hanging="360"/>
      </w:pPr>
      <w:rPr>
        <w:rFonts w:ascii="Times New Roman" w:hAnsi="Times New Roman" w:hint="default"/>
      </w:rPr>
    </w:lvl>
    <w:lvl w:ilvl="1" w:tplc="A2FE9492" w:tentative="1">
      <w:start w:val="1"/>
      <w:numFmt w:val="bullet"/>
      <w:lvlText w:val="•"/>
      <w:lvlJc w:val="left"/>
      <w:pPr>
        <w:tabs>
          <w:tab w:val="num" w:pos="1440"/>
        </w:tabs>
        <w:ind w:left="1440" w:hanging="360"/>
      </w:pPr>
      <w:rPr>
        <w:rFonts w:ascii="Times New Roman" w:hAnsi="Times New Roman" w:hint="default"/>
      </w:rPr>
    </w:lvl>
    <w:lvl w:ilvl="2" w:tplc="0E3EBBD2" w:tentative="1">
      <w:start w:val="1"/>
      <w:numFmt w:val="bullet"/>
      <w:lvlText w:val="•"/>
      <w:lvlJc w:val="left"/>
      <w:pPr>
        <w:tabs>
          <w:tab w:val="num" w:pos="2160"/>
        </w:tabs>
        <w:ind w:left="2160" w:hanging="360"/>
      </w:pPr>
      <w:rPr>
        <w:rFonts w:ascii="Times New Roman" w:hAnsi="Times New Roman" w:hint="default"/>
      </w:rPr>
    </w:lvl>
    <w:lvl w:ilvl="3" w:tplc="0A00E7E4" w:tentative="1">
      <w:start w:val="1"/>
      <w:numFmt w:val="bullet"/>
      <w:lvlText w:val="•"/>
      <w:lvlJc w:val="left"/>
      <w:pPr>
        <w:tabs>
          <w:tab w:val="num" w:pos="2880"/>
        </w:tabs>
        <w:ind w:left="2880" w:hanging="360"/>
      </w:pPr>
      <w:rPr>
        <w:rFonts w:ascii="Times New Roman" w:hAnsi="Times New Roman" w:hint="default"/>
      </w:rPr>
    </w:lvl>
    <w:lvl w:ilvl="4" w:tplc="C6589700" w:tentative="1">
      <w:start w:val="1"/>
      <w:numFmt w:val="bullet"/>
      <w:lvlText w:val="•"/>
      <w:lvlJc w:val="left"/>
      <w:pPr>
        <w:tabs>
          <w:tab w:val="num" w:pos="3600"/>
        </w:tabs>
        <w:ind w:left="3600" w:hanging="360"/>
      </w:pPr>
      <w:rPr>
        <w:rFonts w:ascii="Times New Roman" w:hAnsi="Times New Roman" w:hint="default"/>
      </w:rPr>
    </w:lvl>
    <w:lvl w:ilvl="5" w:tplc="798EA568" w:tentative="1">
      <w:start w:val="1"/>
      <w:numFmt w:val="bullet"/>
      <w:lvlText w:val="•"/>
      <w:lvlJc w:val="left"/>
      <w:pPr>
        <w:tabs>
          <w:tab w:val="num" w:pos="4320"/>
        </w:tabs>
        <w:ind w:left="4320" w:hanging="360"/>
      </w:pPr>
      <w:rPr>
        <w:rFonts w:ascii="Times New Roman" w:hAnsi="Times New Roman" w:hint="default"/>
      </w:rPr>
    </w:lvl>
    <w:lvl w:ilvl="6" w:tplc="32FC4D6A" w:tentative="1">
      <w:start w:val="1"/>
      <w:numFmt w:val="bullet"/>
      <w:lvlText w:val="•"/>
      <w:lvlJc w:val="left"/>
      <w:pPr>
        <w:tabs>
          <w:tab w:val="num" w:pos="5040"/>
        </w:tabs>
        <w:ind w:left="5040" w:hanging="360"/>
      </w:pPr>
      <w:rPr>
        <w:rFonts w:ascii="Times New Roman" w:hAnsi="Times New Roman" w:hint="default"/>
      </w:rPr>
    </w:lvl>
    <w:lvl w:ilvl="7" w:tplc="6BE81F3C" w:tentative="1">
      <w:start w:val="1"/>
      <w:numFmt w:val="bullet"/>
      <w:lvlText w:val="•"/>
      <w:lvlJc w:val="left"/>
      <w:pPr>
        <w:tabs>
          <w:tab w:val="num" w:pos="5760"/>
        </w:tabs>
        <w:ind w:left="5760" w:hanging="360"/>
      </w:pPr>
      <w:rPr>
        <w:rFonts w:ascii="Times New Roman" w:hAnsi="Times New Roman" w:hint="default"/>
      </w:rPr>
    </w:lvl>
    <w:lvl w:ilvl="8" w:tplc="CC4028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DA4ADE"/>
    <w:multiLevelType w:val="hybridMultilevel"/>
    <w:tmpl w:val="73889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ED1CD4"/>
    <w:multiLevelType w:val="hybridMultilevel"/>
    <w:tmpl w:val="B9A8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678A0"/>
    <w:multiLevelType w:val="hybridMultilevel"/>
    <w:tmpl w:val="32962100"/>
    <w:lvl w:ilvl="0" w:tplc="F1A88346">
      <w:start w:val="1"/>
      <w:numFmt w:val="decimal"/>
      <w:suff w:val="space"/>
      <w:lvlText w:val="%1."/>
      <w:lvlJc w:val="left"/>
      <w:pPr>
        <w:ind w:left="270" w:hanging="180"/>
      </w:pPr>
      <w:rPr>
        <w:rFonts w:ascii="Times New Roman" w:hAnsi="Times New Roman" w:cs="Times New Roman" w:hint="default"/>
        <w:b w:val="0"/>
        <w:i w:val="0"/>
        <w:sz w:val="20"/>
        <w:lang w:val="en-GB"/>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16A73A80"/>
    <w:multiLevelType w:val="hybridMultilevel"/>
    <w:tmpl w:val="B5DC36D8"/>
    <w:lvl w:ilvl="0" w:tplc="47482716">
      <w:start w:val="1"/>
      <w:numFmt w:val="upperRoman"/>
      <w:lvlText w:val="%1."/>
      <w:lvlJc w:val="left"/>
      <w:pPr>
        <w:ind w:left="1080" w:hanging="720"/>
      </w:pPr>
      <w:rPr>
        <w:rFonts w:hint="default"/>
        <w:b/>
        <w:i w:val="0"/>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A2BD7"/>
    <w:multiLevelType w:val="hybridMultilevel"/>
    <w:tmpl w:val="FFF6242A"/>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99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8A1FC7"/>
    <w:multiLevelType w:val="multilevel"/>
    <w:tmpl w:val="A198F0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9770AB"/>
    <w:multiLevelType w:val="hybridMultilevel"/>
    <w:tmpl w:val="32962100"/>
    <w:lvl w:ilvl="0" w:tplc="F1A88346">
      <w:start w:val="1"/>
      <w:numFmt w:val="decimal"/>
      <w:suff w:val="space"/>
      <w:lvlText w:val="%1."/>
      <w:lvlJc w:val="left"/>
      <w:pPr>
        <w:ind w:left="270" w:hanging="180"/>
      </w:pPr>
      <w:rPr>
        <w:rFonts w:ascii="Times New Roman" w:hAnsi="Times New Roman" w:cs="Times New Roman" w:hint="default"/>
        <w:b w:val="0"/>
        <w:i w:val="0"/>
        <w:sz w:val="20"/>
        <w:lang w:val="en-GB"/>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15:restartNumberingAfterBreak="0">
    <w:nsid w:val="2D50004D"/>
    <w:multiLevelType w:val="hybridMultilevel"/>
    <w:tmpl w:val="8BE45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C0CF4"/>
    <w:multiLevelType w:val="hybridMultilevel"/>
    <w:tmpl w:val="BB5AE6FC"/>
    <w:lvl w:ilvl="0" w:tplc="0B10C0A8">
      <w:start w:val="1"/>
      <w:numFmt w:val="decimal"/>
      <w:lvlText w:val="%1."/>
      <w:lvlJc w:val="left"/>
      <w:pPr>
        <w:ind w:left="72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13CA0"/>
    <w:multiLevelType w:val="hybridMultilevel"/>
    <w:tmpl w:val="3802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B57FA"/>
    <w:multiLevelType w:val="hybridMultilevel"/>
    <w:tmpl w:val="3072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F3091"/>
    <w:multiLevelType w:val="hybridMultilevel"/>
    <w:tmpl w:val="A936F03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673238C0"/>
    <w:multiLevelType w:val="hybridMultilevel"/>
    <w:tmpl w:val="923C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848D8"/>
    <w:multiLevelType w:val="hybridMultilevel"/>
    <w:tmpl w:val="6D28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34B64"/>
    <w:multiLevelType w:val="hybridMultilevel"/>
    <w:tmpl w:val="4CEC8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34F34"/>
    <w:multiLevelType w:val="hybridMultilevel"/>
    <w:tmpl w:val="32962100"/>
    <w:lvl w:ilvl="0" w:tplc="F1A88346">
      <w:start w:val="1"/>
      <w:numFmt w:val="decimal"/>
      <w:suff w:val="space"/>
      <w:lvlText w:val="%1."/>
      <w:lvlJc w:val="left"/>
      <w:pPr>
        <w:ind w:left="270" w:hanging="180"/>
      </w:pPr>
      <w:rPr>
        <w:rFonts w:ascii="Times New Roman" w:hAnsi="Times New Roman" w:cs="Times New Roman" w:hint="default"/>
        <w:b w:val="0"/>
        <w:i w:val="0"/>
        <w:sz w:val="20"/>
        <w:lang w:val="en-GB"/>
      </w:rPr>
    </w:lvl>
    <w:lvl w:ilvl="1" w:tplc="04090019">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7" w15:restartNumberingAfterBreak="0">
    <w:nsid w:val="77740049"/>
    <w:multiLevelType w:val="hybridMultilevel"/>
    <w:tmpl w:val="19F63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3"/>
  </w:num>
  <w:num w:numId="5">
    <w:abstractNumId w:val="7"/>
  </w:num>
  <w:num w:numId="6">
    <w:abstractNumId w:val="10"/>
  </w:num>
  <w:num w:numId="7">
    <w:abstractNumId w:val="2"/>
  </w:num>
  <w:num w:numId="8">
    <w:abstractNumId w:val="15"/>
  </w:num>
  <w:num w:numId="9">
    <w:abstractNumId w:val="11"/>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4"/>
  </w:num>
  <w:num w:numId="15">
    <w:abstractNumId w:val="8"/>
  </w:num>
  <w:num w:numId="16">
    <w:abstractNumId w:val="13"/>
  </w:num>
  <w:num w:numId="17">
    <w:abstractNumId w:val="12"/>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81"/>
    <w:rsid w:val="000004AC"/>
    <w:rsid w:val="00000CE5"/>
    <w:rsid w:val="00050B26"/>
    <w:rsid w:val="00050ECC"/>
    <w:rsid w:val="00061AAF"/>
    <w:rsid w:val="00083096"/>
    <w:rsid w:val="00087BF1"/>
    <w:rsid w:val="000C07A3"/>
    <w:rsid w:val="000D2230"/>
    <w:rsid w:val="000D30F9"/>
    <w:rsid w:val="000F7965"/>
    <w:rsid w:val="001016B1"/>
    <w:rsid w:val="00120261"/>
    <w:rsid w:val="00126F3A"/>
    <w:rsid w:val="00130B4C"/>
    <w:rsid w:val="00136C9C"/>
    <w:rsid w:val="00142E00"/>
    <w:rsid w:val="001537AA"/>
    <w:rsid w:val="00160624"/>
    <w:rsid w:val="00161AD6"/>
    <w:rsid w:val="001952F4"/>
    <w:rsid w:val="001A34D1"/>
    <w:rsid w:val="001A5000"/>
    <w:rsid w:val="001B36F9"/>
    <w:rsid w:val="001D6351"/>
    <w:rsid w:val="002026F8"/>
    <w:rsid w:val="00216C18"/>
    <w:rsid w:val="00227A96"/>
    <w:rsid w:val="0023342B"/>
    <w:rsid w:val="00262BA7"/>
    <w:rsid w:val="00280B23"/>
    <w:rsid w:val="00282AB0"/>
    <w:rsid w:val="00290217"/>
    <w:rsid w:val="002911B1"/>
    <w:rsid w:val="00292CFB"/>
    <w:rsid w:val="002A63F8"/>
    <w:rsid w:val="002B72BC"/>
    <w:rsid w:val="002C601B"/>
    <w:rsid w:val="002D223A"/>
    <w:rsid w:val="002E1CC4"/>
    <w:rsid w:val="002E23BE"/>
    <w:rsid w:val="003031B8"/>
    <w:rsid w:val="003042F7"/>
    <w:rsid w:val="0031320C"/>
    <w:rsid w:val="00321FB7"/>
    <w:rsid w:val="003550E5"/>
    <w:rsid w:val="00356282"/>
    <w:rsid w:val="003611EE"/>
    <w:rsid w:val="00373EFC"/>
    <w:rsid w:val="00377DE6"/>
    <w:rsid w:val="0038211D"/>
    <w:rsid w:val="00382185"/>
    <w:rsid w:val="003913F5"/>
    <w:rsid w:val="003A5E0B"/>
    <w:rsid w:val="003C298C"/>
    <w:rsid w:val="003D32FE"/>
    <w:rsid w:val="003D71CB"/>
    <w:rsid w:val="003F7007"/>
    <w:rsid w:val="00410BF0"/>
    <w:rsid w:val="00450F4D"/>
    <w:rsid w:val="00451D5A"/>
    <w:rsid w:val="0045343A"/>
    <w:rsid w:val="00454A95"/>
    <w:rsid w:val="00462986"/>
    <w:rsid w:val="0046609D"/>
    <w:rsid w:val="00470A8F"/>
    <w:rsid w:val="00474E0B"/>
    <w:rsid w:val="00496557"/>
    <w:rsid w:val="00497ADF"/>
    <w:rsid w:val="004A16BD"/>
    <w:rsid w:val="004B4E51"/>
    <w:rsid w:val="004D4CB2"/>
    <w:rsid w:val="00506C83"/>
    <w:rsid w:val="00522E7F"/>
    <w:rsid w:val="0052794C"/>
    <w:rsid w:val="005356A1"/>
    <w:rsid w:val="00550A4D"/>
    <w:rsid w:val="005570B3"/>
    <w:rsid w:val="00576C80"/>
    <w:rsid w:val="00580229"/>
    <w:rsid w:val="005A6D30"/>
    <w:rsid w:val="005B50C5"/>
    <w:rsid w:val="005B722C"/>
    <w:rsid w:val="005C7DBF"/>
    <w:rsid w:val="005E7162"/>
    <w:rsid w:val="006162F0"/>
    <w:rsid w:val="006242F0"/>
    <w:rsid w:val="0064041A"/>
    <w:rsid w:val="00657CFD"/>
    <w:rsid w:val="00680765"/>
    <w:rsid w:val="006B3B89"/>
    <w:rsid w:val="006B6382"/>
    <w:rsid w:val="006C384E"/>
    <w:rsid w:val="006D0634"/>
    <w:rsid w:val="006E4A7F"/>
    <w:rsid w:val="006E6677"/>
    <w:rsid w:val="006F3101"/>
    <w:rsid w:val="006F64D3"/>
    <w:rsid w:val="006F69D2"/>
    <w:rsid w:val="00734D88"/>
    <w:rsid w:val="007475D9"/>
    <w:rsid w:val="00753A8D"/>
    <w:rsid w:val="007619FB"/>
    <w:rsid w:val="00762075"/>
    <w:rsid w:val="007917AE"/>
    <w:rsid w:val="00795722"/>
    <w:rsid w:val="00795B97"/>
    <w:rsid w:val="007A77ED"/>
    <w:rsid w:val="007B738C"/>
    <w:rsid w:val="007C63B5"/>
    <w:rsid w:val="007D0B33"/>
    <w:rsid w:val="007D175C"/>
    <w:rsid w:val="007D525B"/>
    <w:rsid w:val="007E64ED"/>
    <w:rsid w:val="007F1465"/>
    <w:rsid w:val="008352FF"/>
    <w:rsid w:val="00843FAB"/>
    <w:rsid w:val="008A672B"/>
    <w:rsid w:val="008D4F6F"/>
    <w:rsid w:val="008E6A14"/>
    <w:rsid w:val="00912E40"/>
    <w:rsid w:val="0091312E"/>
    <w:rsid w:val="009179D3"/>
    <w:rsid w:val="00963DD6"/>
    <w:rsid w:val="0097106D"/>
    <w:rsid w:val="009775AE"/>
    <w:rsid w:val="009778BC"/>
    <w:rsid w:val="009839EE"/>
    <w:rsid w:val="009A20CE"/>
    <w:rsid w:val="009A5E8E"/>
    <w:rsid w:val="009C2439"/>
    <w:rsid w:val="009C6566"/>
    <w:rsid w:val="00A03A37"/>
    <w:rsid w:val="00A20BF6"/>
    <w:rsid w:val="00A36CF6"/>
    <w:rsid w:val="00A47775"/>
    <w:rsid w:val="00A5083D"/>
    <w:rsid w:val="00A546CF"/>
    <w:rsid w:val="00A70ADD"/>
    <w:rsid w:val="00A85662"/>
    <w:rsid w:val="00AA4331"/>
    <w:rsid w:val="00AA7323"/>
    <w:rsid w:val="00AB066F"/>
    <w:rsid w:val="00AB77C9"/>
    <w:rsid w:val="00AC1FFC"/>
    <w:rsid w:val="00AD23C1"/>
    <w:rsid w:val="00AE4641"/>
    <w:rsid w:val="00AF5208"/>
    <w:rsid w:val="00AF5BE0"/>
    <w:rsid w:val="00B03A49"/>
    <w:rsid w:val="00B1104B"/>
    <w:rsid w:val="00B24329"/>
    <w:rsid w:val="00B31274"/>
    <w:rsid w:val="00B3716C"/>
    <w:rsid w:val="00B5734C"/>
    <w:rsid w:val="00B62979"/>
    <w:rsid w:val="00B81ED6"/>
    <w:rsid w:val="00B9265A"/>
    <w:rsid w:val="00BA2692"/>
    <w:rsid w:val="00BA5820"/>
    <w:rsid w:val="00BB00C2"/>
    <w:rsid w:val="00BE01E3"/>
    <w:rsid w:val="00BE4C09"/>
    <w:rsid w:val="00C14DF0"/>
    <w:rsid w:val="00C218C1"/>
    <w:rsid w:val="00C33B37"/>
    <w:rsid w:val="00C455EE"/>
    <w:rsid w:val="00C45BBF"/>
    <w:rsid w:val="00C66251"/>
    <w:rsid w:val="00C73C65"/>
    <w:rsid w:val="00C907E1"/>
    <w:rsid w:val="00CC2431"/>
    <w:rsid w:val="00CE1E67"/>
    <w:rsid w:val="00CF2236"/>
    <w:rsid w:val="00CF318E"/>
    <w:rsid w:val="00D01781"/>
    <w:rsid w:val="00D14CEE"/>
    <w:rsid w:val="00D24615"/>
    <w:rsid w:val="00D26556"/>
    <w:rsid w:val="00D32233"/>
    <w:rsid w:val="00D47521"/>
    <w:rsid w:val="00D549CF"/>
    <w:rsid w:val="00D55819"/>
    <w:rsid w:val="00D72CA6"/>
    <w:rsid w:val="00D83F28"/>
    <w:rsid w:val="00DA3593"/>
    <w:rsid w:val="00DC268A"/>
    <w:rsid w:val="00DE154B"/>
    <w:rsid w:val="00DF2888"/>
    <w:rsid w:val="00DF3A63"/>
    <w:rsid w:val="00E140B3"/>
    <w:rsid w:val="00E15CED"/>
    <w:rsid w:val="00E37724"/>
    <w:rsid w:val="00E43209"/>
    <w:rsid w:val="00E45304"/>
    <w:rsid w:val="00E500A7"/>
    <w:rsid w:val="00E51D81"/>
    <w:rsid w:val="00E71731"/>
    <w:rsid w:val="00E954DE"/>
    <w:rsid w:val="00EB33EE"/>
    <w:rsid w:val="00EB707C"/>
    <w:rsid w:val="00ED03BD"/>
    <w:rsid w:val="00ED17F9"/>
    <w:rsid w:val="00EE0B73"/>
    <w:rsid w:val="00EF0A48"/>
    <w:rsid w:val="00EF7FDE"/>
    <w:rsid w:val="00F0151D"/>
    <w:rsid w:val="00F13A58"/>
    <w:rsid w:val="00F14165"/>
    <w:rsid w:val="00F33A34"/>
    <w:rsid w:val="00F6752B"/>
    <w:rsid w:val="00F72A02"/>
    <w:rsid w:val="00F83249"/>
    <w:rsid w:val="00F94EB5"/>
    <w:rsid w:val="00FA4A29"/>
    <w:rsid w:val="00FB43F4"/>
    <w:rsid w:val="00FC36B2"/>
    <w:rsid w:val="00FE5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7750"/>
  <w15:chartTrackingRefBased/>
  <w15:docId w15:val="{16E79251-A42F-534E-B411-0BA807B9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references,Lapis Bulleted List,Dot pt,F5 List Paragraph,No Spacing1,List Paragraph Char Char Char,Indicator Text,Numbered Para 1,Bullet 1,List Paragraph12,Bullet Points,MAIN CONTENT,L"/>
    <w:basedOn w:val="Normal"/>
    <w:link w:val="ListParagraphChar"/>
    <w:uiPriority w:val="34"/>
    <w:qFormat/>
    <w:rsid w:val="00E51D81"/>
    <w:pPr>
      <w:ind w:left="720"/>
      <w:contextualSpacing/>
    </w:p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ft,fn"/>
    <w:basedOn w:val="Normal"/>
    <w:link w:val="FootnoteTextChar"/>
    <w:uiPriority w:val="99"/>
    <w:rsid w:val="00E51D81"/>
    <w:rPr>
      <w:rFonts w:ascii="Times New Roman" w:eastAsia="Times New Roman" w:hAnsi="Times New Roman" w:cs="Times New Roman"/>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rsid w:val="00E51D81"/>
    <w:rPr>
      <w:rFonts w:ascii="Times New Roman" w:eastAsia="Times New Roman" w:hAnsi="Times New Roman" w:cs="Times New Roman"/>
    </w:rPr>
  </w:style>
  <w:style w:type="character" w:styleId="FootnoteReference">
    <w:name w:val="footnote reference"/>
    <w:aliases w:val="ftref,16 Point,Superscript 6 Point"/>
    <w:basedOn w:val="DefaultParagraphFont"/>
    <w:uiPriority w:val="99"/>
    <w:rsid w:val="00E51D81"/>
    <w:rPr>
      <w:vertAlign w:val="superscript"/>
    </w:rPr>
  </w:style>
  <w:style w:type="character" w:customStyle="1" w:styleId="ListParagraphChar">
    <w:name w:val="List Paragraph Char"/>
    <w:aliases w:val="List Paragraph (numbered (a)) Char,List Paragraph1 Char,WB Para Char,references Char,Lapis Bulleted List Char,Dot pt Char,F5 List Paragraph Char,No Spacing1 Char,List Paragraph Char Char Char Char,Indicator Text Char,Bullet 1 Char"/>
    <w:link w:val="ListParagraph"/>
    <w:uiPriority w:val="34"/>
    <w:qFormat/>
    <w:locked/>
    <w:rsid w:val="00E51D81"/>
  </w:style>
  <w:style w:type="paragraph" w:customStyle="1" w:styleId="HCh">
    <w:name w:val="_ H _Ch"/>
    <w:basedOn w:val="Normal"/>
    <w:next w:val="Normal"/>
    <w:rsid w:val="007C63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ascii="Times New Roman" w:hAnsi="Times New Roman" w:cs="Times New Roman"/>
      <w:b/>
      <w:spacing w:val="-2"/>
      <w:w w:val="103"/>
      <w:kern w:val="14"/>
      <w:sz w:val="28"/>
      <w:szCs w:val="20"/>
      <w:lang w:val="en-GB"/>
    </w:rPr>
  </w:style>
  <w:style w:type="character" w:styleId="CommentReference">
    <w:name w:val="annotation reference"/>
    <w:basedOn w:val="DefaultParagraphFont"/>
    <w:uiPriority w:val="99"/>
    <w:semiHidden/>
    <w:unhideWhenUsed/>
    <w:rsid w:val="003913F5"/>
    <w:rPr>
      <w:sz w:val="16"/>
      <w:szCs w:val="16"/>
    </w:rPr>
  </w:style>
  <w:style w:type="paragraph" w:styleId="CommentText">
    <w:name w:val="annotation text"/>
    <w:basedOn w:val="Normal"/>
    <w:link w:val="CommentTextChar"/>
    <w:uiPriority w:val="99"/>
    <w:unhideWhenUsed/>
    <w:rsid w:val="003913F5"/>
    <w:pPr>
      <w:spacing w:after="160"/>
    </w:pPr>
    <w:rPr>
      <w:sz w:val="20"/>
      <w:szCs w:val="20"/>
    </w:rPr>
  </w:style>
  <w:style w:type="character" w:customStyle="1" w:styleId="CommentTextChar">
    <w:name w:val="Comment Text Char"/>
    <w:basedOn w:val="DefaultParagraphFont"/>
    <w:link w:val="CommentText"/>
    <w:uiPriority w:val="99"/>
    <w:rsid w:val="003913F5"/>
    <w:rPr>
      <w:sz w:val="20"/>
      <w:szCs w:val="20"/>
    </w:rPr>
  </w:style>
  <w:style w:type="paragraph" w:styleId="BalloonText">
    <w:name w:val="Balloon Text"/>
    <w:basedOn w:val="Normal"/>
    <w:link w:val="BalloonTextChar"/>
    <w:uiPriority w:val="99"/>
    <w:semiHidden/>
    <w:unhideWhenUsed/>
    <w:rsid w:val="00391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3F5"/>
    <w:rPr>
      <w:rFonts w:ascii="Segoe UI" w:hAnsi="Segoe UI" w:cs="Segoe UI"/>
      <w:sz w:val="18"/>
      <w:szCs w:val="18"/>
    </w:rPr>
  </w:style>
  <w:style w:type="paragraph" w:customStyle="1" w:styleId="ColorfulList-Accent11">
    <w:name w:val="Colorful List - Accent 11"/>
    <w:basedOn w:val="Normal"/>
    <w:uiPriority w:val="99"/>
    <w:qFormat/>
    <w:rsid w:val="003913F5"/>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3913F5"/>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72CA6"/>
    <w:rPr>
      <w:color w:val="0563C1"/>
      <w:u w:val="single"/>
    </w:rPr>
  </w:style>
  <w:style w:type="paragraph" w:customStyle="1" w:styleId="xmsonormal">
    <w:name w:val="x_msonormal"/>
    <w:basedOn w:val="Normal"/>
    <w:uiPriority w:val="99"/>
    <w:rsid w:val="00321FB7"/>
    <w:pPr>
      <w:spacing w:before="100" w:beforeAutospacing="1" w:after="100" w:afterAutospacing="1"/>
    </w:pPr>
    <w:rPr>
      <w:rFonts w:ascii="Times New Roman" w:hAnsi="Times New Roman" w:cs="Times New Roman"/>
    </w:rPr>
  </w:style>
  <w:style w:type="paragraph" w:customStyle="1" w:styleId="paragraph">
    <w:name w:val="paragraph"/>
    <w:basedOn w:val="Normal"/>
    <w:rsid w:val="00BB00C2"/>
    <w:pPr>
      <w:spacing w:before="100" w:beforeAutospacing="1" w:after="100" w:afterAutospacing="1"/>
    </w:pPr>
    <w:rPr>
      <w:rFonts w:ascii="Times New Roman" w:hAnsi="Times New Roman" w:cs="Times New Roman"/>
    </w:rPr>
  </w:style>
  <w:style w:type="character" w:customStyle="1" w:styleId="FootnoteAnchor">
    <w:name w:val="Footnote Anchor"/>
    <w:rsid w:val="00BB00C2"/>
    <w:rPr>
      <w:vertAlign w:val="superscript"/>
    </w:rPr>
  </w:style>
  <w:style w:type="paragraph" w:customStyle="1" w:styleId="FootnoteText1">
    <w:name w:val="Footnote Text1"/>
    <w:basedOn w:val="Normal"/>
    <w:qFormat/>
    <w:rsid w:val="00BB00C2"/>
    <w:pPr>
      <w:widowControl w:val="0"/>
      <w:suppressAutoHyphens/>
    </w:pPr>
    <w:rPr>
      <w:rFonts w:ascii="Nimbus Roman No9 L" w:eastAsia="DejaVu Sans" w:hAnsi="Nimbus Roman No9 L" w:cs="Lohit Hindi"/>
      <w:color w:val="00000A"/>
      <w:lang w:val="en-GB" w:eastAsia="zh-CN" w:bidi="hi-IN"/>
    </w:rPr>
  </w:style>
  <w:style w:type="paragraph" w:styleId="CommentSubject">
    <w:name w:val="annotation subject"/>
    <w:basedOn w:val="CommentText"/>
    <w:next w:val="CommentText"/>
    <w:link w:val="CommentSubjectChar"/>
    <w:uiPriority w:val="99"/>
    <w:semiHidden/>
    <w:unhideWhenUsed/>
    <w:rsid w:val="00BB00C2"/>
    <w:pPr>
      <w:spacing w:after="0"/>
    </w:pPr>
    <w:rPr>
      <w:b/>
      <w:bCs/>
    </w:rPr>
  </w:style>
  <w:style w:type="character" w:customStyle="1" w:styleId="CommentSubjectChar">
    <w:name w:val="Comment Subject Char"/>
    <w:basedOn w:val="CommentTextChar"/>
    <w:link w:val="CommentSubject"/>
    <w:uiPriority w:val="99"/>
    <w:semiHidden/>
    <w:rsid w:val="00BB00C2"/>
    <w:rPr>
      <w:b/>
      <w:bCs/>
      <w:sz w:val="20"/>
      <w:szCs w:val="20"/>
    </w:rPr>
  </w:style>
  <w:style w:type="character" w:styleId="UnresolvedMention">
    <w:name w:val="Unresolved Mention"/>
    <w:basedOn w:val="DefaultParagraphFont"/>
    <w:uiPriority w:val="99"/>
    <w:rsid w:val="00373E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12038">
      <w:bodyDiv w:val="1"/>
      <w:marLeft w:val="0"/>
      <w:marRight w:val="0"/>
      <w:marTop w:val="0"/>
      <w:marBottom w:val="0"/>
      <w:divBdr>
        <w:top w:val="none" w:sz="0" w:space="0" w:color="auto"/>
        <w:left w:val="none" w:sz="0" w:space="0" w:color="auto"/>
        <w:bottom w:val="none" w:sz="0" w:space="0" w:color="auto"/>
        <w:right w:val="none" w:sz="0" w:space="0" w:color="auto"/>
      </w:divBdr>
    </w:div>
    <w:div w:id="384186375">
      <w:bodyDiv w:val="1"/>
      <w:marLeft w:val="0"/>
      <w:marRight w:val="0"/>
      <w:marTop w:val="0"/>
      <w:marBottom w:val="0"/>
      <w:divBdr>
        <w:top w:val="none" w:sz="0" w:space="0" w:color="auto"/>
        <w:left w:val="none" w:sz="0" w:space="0" w:color="auto"/>
        <w:bottom w:val="none" w:sz="0" w:space="0" w:color="auto"/>
        <w:right w:val="none" w:sz="0" w:space="0" w:color="auto"/>
      </w:divBdr>
    </w:div>
    <w:div w:id="803044617">
      <w:bodyDiv w:val="1"/>
      <w:marLeft w:val="0"/>
      <w:marRight w:val="0"/>
      <w:marTop w:val="0"/>
      <w:marBottom w:val="0"/>
      <w:divBdr>
        <w:top w:val="none" w:sz="0" w:space="0" w:color="auto"/>
        <w:left w:val="none" w:sz="0" w:space="0" w:color="auto"/>
        <w:bottom w:val="none" w:sz="0" w:space="0" w:color="auto"/>
        <w:right w:val="none" w:sz="0" w:space="0" w:color="auto"/>
      </w:divBdr>
    </w:div>
    <w:div w:id="974717161">
      <w:bodyDiv w:val="1"/>
      <w:marLeft w:val="0"/>
      <w:marRight w:val="0"/>
      <w:marTop w:val="0"/>
      <w:marBottom w:val="0"/>
      <w:divBdr>
        <w:top w:val="none" w:sz="0" w:space="0" w:color="auto"/>
        <w:left w:val="none" w:sz="0" w:space="0" w:color="auto"/>
        <w:bottom w:val="none" w:sz="0" w:space="0" w:color="auto"/>
        <w:right w:val="none" w:sz="0" w:space="0" w:color="auto"/>
      </w:divBdr>
    </w:div>
    <w:div w:id="986125016">
      <w:bodyDiv w:val="1"/>
      <w:marLeft w:val="0"/>
      <w:marRight w:val="0"/>
      <w:marTop w:val="0"/>
      <w:marBottom w:val="0"/>
      <w:divBdr>
        <w:top w:val="none" w:sz="0" w:space="0" w:color="auto"/>
        <w:left w:val="none" w:sz="0" w:space="0" w:color="auto"/>
        <w:bottom w:val="none" w:sz="0" w:space="0" w:color="auto"/>
        <w:right w:val="none" w:sz="0" w:space="0" w:color="auto"/>
      </w:divBdr>
    </w:div>
    <w:div w:id="1139495799">
      <w:bodyDiv w:val="1"/>
      <w:marLeft w:val="0"/>
      <w:marRight w:val="0"/>
      <w:marTop w:val="0"/>
      <w:marBottom w:val="0"/>
      <w:divBdr>
        <w:top w:val="none" w:sz="0" w:space="0" w:color="auto"/>
        <w:left w:val="none" w:sz="0" w:space="0" w:color="auto"/>
        <w:bottom w:val="none" w:sz="0" w:space="0" w:color="auto"/>
        <w:right w:val="none" w:sz="0" w:space="0" w:color="auto"/>
      </w:divBdr>
    </w:div>
    <w:div w:id="13115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seesac.org/Gender-in-Security-Sector-Reform/" TargetMode="External"/><Relationship Id="rId1" Type="http://schemas.openxmlformats.org/officeDocument/2006/relationships/hyperlink" Target="https://stories.undp.org/breaking-the-silen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nayo%20Nakano\AppData\Local\Microsoft\Windows\INetCache\Content.Outlook\4IPJS9PF\financials.additio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Gender.revised!$M$38</c:f>
              <c:strCache>
                <c:ptCount val="1"/>
                <c:pt idx="0">
                  <c:v>GEN2</c:v>
                </c:pt>
              </c:strCache>
            </c:strRef>
          </c:tx>
          <c:spPr>
            <a:ln w="76200" cap="rnd">
              <a:solidFill>
                <a:schemeClr val="accent1">
                  <a:lumMod val="75000"/>
                </a:schemeClr>
              </a:solidFill>
              <a:round/>
            </a:ln>
            <a:effectLst/>
          </c:spPr>
          <c:marker>
            <c:symbol val="circle"/>
            <c:size val="10"/>
            <c:spPr>
              <a:solidFill>
                <a:schemeClr val="bg1"/>
              </a:solidFill>
              <a:ln w="63500">
                <a:solidFill>
                  <a:schemeClr val="accent1">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Gender.revised!$N$37:$Q$37</c:f>
              <c:numCache>
                <c:formatCode>General</c:formatCode>
                <c:ptCount val="4"/>
                <c:pt idx="0">
                  <c:v>2014</c:v>
                </c:pt>
                <c:pt idx="1">
                  <c:v>2015</c:v>
                </c:pt>
                <c:pt idx="2">
                  <c:v>2016</c:v>
                </c:pt>
                <c:pt idx="3">
                  <c:v>2017</c:v>
                </c:pt>
              </c:numCache>
            </c:numRef>
          </c:cat>
          <c:val>
            <c:numRef>
              <c:f>Gender.revised!$N$38:$Q$38</c:f>
              <c:numCache>
                <c:formatCode>0%</c:formatCode>
                <c:ptCount val="4"/>
                <c:pt idx="0">
                  <c:v>0.29109005879304067</c:v>
                </c:pt>
                <c:pt idx="1">
                  <c:v>0.30862058077498694</c:v>
                </c:pt>
                <c:pt idx="2">
                  <c:v>0.33</c:v>
                </c:pt>
                <c:pt idx="3">
                  <c:v>0.43524335882916909</c:v>
                </c:pt>
              </c:numCache>
            </c:numRef>
          </c:val>
          <c:smooth val="0"/>
          <c:extLst>
            <c:ext xmlns:c16="http://schemas.microsoft.com/office/drawing/2014/chart" uri="{C3380CC4-5D6E-409C-BE32-E72D297353CC}">
              <c16:uniqueId val="{00000000-C6BB-4CB0-A14F-C26F7473D5C7}"/>
            </c:ext>
          </c:extLst>
        </c:ser>
        <c:ser>
          <c:idx val="2"/>
          <c:order val="1"/>
          <c:tx>
            <c:strRef>
              <c:f>Gender.revised!$M$39</c:f>
              <c:strCache>
                <c:ptCount val="1"/>
                <c:pt idx="0">
                  <c:v>GEN3</c:v>
                </c:pt>
              </c:strCache>
            </c:strRef>
          </c:tx>
          <c:spPr>
            <a:ln w="76200" cap="rnd">
              <a:solidFill>
                <a:schemeClr val="accent6">
                  <a:lumMod val="75000"/>
                </a:schemeClr>
              </a:solidFill>
              <a:round/>
            </a:ln>
            <a:effectLst/>
          </c:spPr>
          <c:marker>
            <c:symbol val="circle"/>
            <c:size val="10"/>
            <c:spPr>
              <a:solidFill>
                <a:schemeClr val="bg1"/>
              </a:solidFill>
              <a:ln w="63500">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Gender.revised!$N$37:$Q$37</c:f>
              <c:numCache>
                <c:formatCode>General</c:formatCode>
                <c:ptCount val="4"/>
                <c:pt idx="0">
                  <c:v>2014</c:v>
                </c:pt>
                <c:pt idx="1">
                  <c:v>2015</c:v>
                </c:pt>
                <c:pt idx="2">
                  <c:v>2016</c:v>
                </c:pt>
                <c:pt idx="3">
                  <c:v>2017</c:v>
                </c:pt>
              </c:numCache>
            </c:numRef>
          </c:cat>
          <c:val>
            <c:numRef>
              <c:f>Gender.revised!$N$39:$Q$39</c:f>
              <c:numCache>
                <c:formatCode>0%</c:formatCode>
                <c:ptCount val="4"/>
                <c:pt idx="0">
                  <c:v>4.8481255416534738E-2</c:v>
                </c:pt>
                <c:pt idx="1">
                  <c:v>4.2861087201878867E-2</c:v>
                </c:pt>
                <c:pt idx="2">
                  <c:v>4.276569067055104E-2</c:v>
                </c:pt>
                <c:pt idx="3">
                  <c:v>4.1850703050168594E-2</c:v>
                </c:pt>
              </c:numCache>
            </c:numRef>
          </c:val>
          <c:smooth val="0"/>
          <c:extLst>
            <c:ext xmlns:c16="http://schemas.microsoft.com/office/drawing/2014/chart" uri="{C3380CC4-5D6E-409C-BE32-E72D297353CC}">
              <c16:uniqueId val="{00000001-C6BB-4CB0-A14F-C26F7473D5C7}"/>
            </c:ext>
          </c:extLst>
        </c:ser>
        <c:dLbls>
          <c:showLegendKey val="0"/>
          <c:showVal val="0"/>
          <c:showCatName val="0"/>
          <c:showSerName val="0"/>
          <c:showPercent val="0"/>
          <c:showBubbleSize val="0"/>
        </c:dLbls>
        <c:marker val="1"/>
        <c:smooth val="0"/>
        <c:axId val="707041720"/>
        <c:axId val="707041328"/>
      </c:lineChart>
      <c:catAx>
        <c:axId val="70704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7041328"/>
        <c:crosses val="autoZero"/>
        <c:auto val="1"/>
        <c:lblAlgn val="ctr"/>
        <c:lblOffset val="100"/>
        <c:noMultiLvlLbl val="0"/>
      </c:catAx>
      <c:valAx>
        <c:axId val="707041328"/>
        <c:scaling>
          <c:orientation val="minMax"/>
          <c:max val="0.4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704172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accent1">
                    <a:lumMod val="7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41322186842911846"/>
          <c:y val="0.88944440030154981"/>
          <c:w val="0.50119080601921184"/>
          <c:h val="0.1081726585801190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289E-9876-4FC0-97AA-999870B5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Svetlana Iazykova</cp:lastModifiedBy>
  <cp:revision>4</cp:revision>
  <cp:lastPrinted>2018-07-06T17:23:00Z</cp:lastPrinted>
  <dcterms:created xsi:type="dcterms:W3CDTF">2018-07-13T20:35:00Z</dcterms:created>
  <dcterms:modified xsi:type="dcterms:W3CDTF">2018-07-13T20:35:00Z</dcterms:modified>
</cp:coreProperties>
</file>