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7B5EC" w14:textId="77777777" w:rsidR="000C2817" w:rsidRDefault="000C2817" w:rsidP="000C2817">
      <w:pPr>
        <w:jc w:val="center"/>
        <w:rPr>
          <w:rFonts w:cs="Times New Roman"/>
          <w:b/>
          <w:sz w:val="28"/>
          <w:szCs w:val="28"/>
        </w:rPr>
      </w:pPr>
    </w:p>
    <w:p w14:paraId="6DDAF7D2" w14:textId="77777777" w:rsidR="00E1271E" w:rsidRDefault="00E1271E" w:rsidP="000C2817">
      <w:pPr>
        <w:jc w:val="center"/>
        <w:rPr>
          <w:rFonts w:cs="Times New Roman"/>
          <w:b/>
          <w:sz w:val="28"/>
          <w:szCs w:val="28"/>
        </w:rPr>
      </w:pPr>
    </w:p>
    <w:p w14:paraId="0462325F" w14:textId="77777777" w:rsidR="00E1271E" w:rsidRDefault="00E1271E" w:rsidP="000C2817">
      <w:pPr>
        <w:jc w:val="center"/>
        <w:rPr>
          <w:rFonts w:cs="Times New Roman"/>
          <w:b/>
          <w:sz w:val="28"/>
          <w:szCs w:val="28"/>
        </w:rPr>
      </w:pPr>
    </w:p>
    <w:p w14:paraId="46331C63" w14:textId="77777777" w:rsidR="00E1271E" w:rsidRDefault="00E1271E" w:rsidP="000C2817">
      <w:pPr>
        <w:jc w:val="center"/>
        <w:rPr>
          <w:rFonts w:cs="Times New Roman"/>
          <w:b/>
          <w:sz w:val="28"/>
          <w:szCs w:val="28"/>
        </w:rPr>
      </w:pPr>
    </w:p>
    <w:p w14:paraId="31D4CC72" w14:textId="77777777" w:rsidR="00E1271E" w:rsidRDefault="00E1271E" w:rsidP="000C2817">
      <w:pPr>
        <w:jc w:val="center"/>
        <w:rPr>
          <w:rFonts w:cs="Times New Roman"/>
          <w:b/>
          <w:sz w:val="28"/>
          <w:szCs w:val="28"/>
        </w:rPr>
      </w:pPr>
    </w:p>
    <w:p w14:paraId="4BB3FA05" w14:textId="77777777" w:rsidR="009830B4" w:rsidRDefault="0044738E" w:rsidP="000C2817">
      <w:pPr>
        <w:jc w:val="center"/>
        <w:rPr>
          <w:rFonts w:cs="Times New Roman"/>
          <w:b/>
          <w:sz w:val="28"/>
          <w:szCs w:val="28"/>
        </w:rPr>
      </w:pPr>
      <w:r w:rsidRPr="00472446">
        <w:rPr>
          <w:rFonts w:cs="Times New Roman"/>
          <w:b/>
          <w:sz w:val="28"/>
          <w:szCs w:val="28"/>
        </w:rPr>
        <w:t xml:space="preserve">UNOPS </w:t>
      </w:r>
      <w:r w:rsidR="004079BD" w:rsidRPr="005D60DC">
        <w:rPr>
          <w:rFonts w:cs="Times New Roman"/>
          <w:b/>
          <w:sz w:val="28"/>
          <w:szCs w:val="28"/>
        </w:rPr>
        <w:t>Audit Advisory Committee</w:t>
      </w:r>
    </w:p>
    <w:p w14:paraId="528B6C07" w14:textId="77777777" w:rsidR="009830B4" w:rsidRPr="005D60DC" w:rsidRDefault="004079BD" w:rsidP="000C2817">
      <w:pPr>
        <w:jc w:val="center"/>
        <w:rPr>
          <w:rFonts w:cs="Times New Roman"/>
          <w:b/>
          <w:sz w:val="28"/>
          <w:szCs w:val="28"/>
        </w:rPr>
      </w:pPr>
      <w:r w:rsidRPr="005D60DC">
        <w:rPr>
          <w:rFonts w:cs="Times New Roman"/>
          <w:b/>
          <w:sz w:val="28"/>
          <w:szCs w:val="28"/>
        </w:rPr>
        <w:t>Annual Report 201</w:t>
      </w:r>
      <w:r w:rsidR="0028084E">
        <w:rPr>
          <w:rFonts w:cs="Times New Roman"/>
          <w:b/>
          <w:sz w:val="28"/>
          <w:szCs w:val="28"/>
        </w:rPr>
        <w:t>9</w:t>
      </w:r>
    </w:p>
    <w:p w14:paraId="49BC3D0E" w14:textId="77777777" w:rsidR="004079BD" w:rsidRDefault="004079BD" w:rsidP="000C2817">
      <w:pPr>
        <w:autoSpaceDE w:val="0"/>
        <w:autoSpaceDN w:val="0"/>
        <w:adjustRightInd w:val="0"/>
        <w:jc w:val="center"/>
        <w:rPr>
          <w:rFonts w:eastAsia="Times New Roman" w:cs="Times New Roman"/>
          <w:b/>
          <w:bCs/>
          <w:sz w:val="24"/>
          <w:szCs w:val="24"/>
          <w:lang w:val="en-GB" w:eastAsia="en-GB"/>
        </w:rPr>
      </w:pPr>
      <w:r w:rsidRPr="00C20A3B">
        <w:rPr>
          <w:rFonts w:eastAsia="Times New Roman" w:cs="Times New Roman"/>
          <w:b/>
          <w:bCs/>
          <w:sz w:val="24"/>
          <w:szCs w:val="24"/>
          <w:lang w:val="en-GB" w:eastAsia="en-GB"/>
        </w:rPr>
        <w:t>(</w:t>
      </w:r>
      <w:r w:rsidR="00F637D3">
        <w:rPr>
          <w:rFonts w:eastAsia="Times New Roman" w:cs="Times New Roman"/>
          <w:b/>
          <w:bCs/>
          <w:sz w:val="24"/>
          <w:szCs w:val="24"/>
          <w:lang w:val="en-GB" w:eastAsia="en-GB"/>
        </w:rPr>
        <w:t>DP/OPS</w:t>
      </w:r>
      <w:r w:rsidR="00F637D3" w:rsidRPr="00E223C3">
        <w:rPr>
          <w:rFonts w:eastAsia="Times New Roman" w:cs="Times New Roman"/>
          <w:b/>
          <w:bCs/>
          <w:sz w:val="24"/>
          <w:szCs w:val="24"/>
          <w:lang w:val="en-GB" w:eastAsia="en-GB"/>
        </w:rPr>
        <w:t>/20</w:t>
      </w:r>
      <w:r w:rsidR="0028084E">
        <w:rPr>
          <w:rFonts w:eastAsia="Times New Roman" w:cs="Times New Roman"/>
          <w:b/>
          <w:bCs/>
          <w:sz w:val="24"/>
          <w:szCs w:val="24"/>
          <w:lang w:val="en-GB" w:eastAsia="en-GB"/>
        </w:rPr>
        <w:t>20</w:t>
      </w:r>
      <w:r w:rsidR="00F637D3" w:rsidRPr="00E223C3">
        <w:rPr>
          <w:rFonts w:eastAsia="Times New Roman" w:cs="Times New Roman"/>
          <w:b/>
          <w:bCs/>
          <w:sz w:val="24"/>
          <w:szCs w:val="24"/>
          <w:lang w:val="en-GB" w:eastAsia="en-GB"/>
        </w:rPr>
        <w:t>/</w:t>
      </w:r>
      <w:r w:rsidR="00AA2DAE">
        <w:rPr>
          <w:rFonts w:eastAsia="Times New Roman" w:cs="Times New Roman"/>
          <w:b/>
          <w:bCs/>
          <w:sz w:val="24"/>
          <w:szCs w:val="24"/>
          <w:lang w:val="en-GB" w:eastAsia="en-GB"/>
        </w:rPr>
        <w:t>2</w:t>
      </w:r>
      <w:r w:rsidR="00F637D3" w:rsidRPr="00E223C3">
        <w:rPr>
          <w:rFonts w:eastAsia="Times New Roman" w:cs="Times New Roman"/>
          <w:b/>
          <w:bCs/>
          <w:sz w:val="24"/>
          <w:szCs w:val="24"/>
          <w:lang w:val="en-GB" w:eastAsia="en-GB"/>
        </w:rPr>
        <w:t xml:space="preserve"> – </w:t>
      </w:r>
      <w:r w:rsidR="00F637D3" w:rsidRPr="00A15900">
        <w:rPr>
          <w:rFonts w:eastAsia="Times New Roman" w:cs="Times New Roman"/>
          <w:b/>
          <w:bCs/>
          <w:sz w:val="24"/>
          <w:szCs w:val="24"/>
          <w:lang w:val="en-GB" w:eastAsia="en-GB"/>
        </w:rPr>
        <w:t xml:space="preserve">Annex </w:t>
      </w:r>
      <w:r w:rsidR="00A15900" w:rsidRPr="00A15900">
        <w:rPr>
          <w:rFonts w:eastAsia="Times New Roman" w:cs="Times New Roman"/>
          <w:b/>
          <w:bCs/>
          <w:sz w:val="24"/>
          <w:szCs w:val="24"/>
          <w:lang w:val="en-GB" w:eastAsia="en-GB"/>
        </w:rPr>
        <w:t>3</w:t>
      </w:r>
      <w:r w:rsidRPr="00A15900">
        <w:rPr>
          <w:rFonts w:eastAsia="Times New Roman" w:cs="Times New Roman"/>
          <w:b/>
          <w:bCs/>
          <w:sz w:val="24"/>
          <w:szCs w:val="24"/>
          <w:lang w:val="en-GB" w:eastAsia="en-GB"/>
        </w:rPr>
        <w:t>)</w:t>
      </w:r>
    </w:p>
    <w:p w14:paraId="557F2D3B" w14:textId="77777777" w:rsidR="004A7273" w:rsidRDefault="004A7273" w:rsidP="000C2817">
      <w:pPr>
        <w:autoSpaceDE w:val="0"/>
        <w:autoSpaceDN w:val="0"/>
        <w:adjustRightInd w:val="0"/>
        <w:jc w:val="center"/>
        <w:rPr>
          <w:rFonts w:eastAsia="Times New Roman" w:cs="Times New Roman"/>
          <w:b/>
          <w:bCs/>
          <w:sz w:val="24"/>
          <w:szCs w:val="24"/>
          <w:lang w:val="en-GB" w:eastAsia="en-GB"/>
        </w:rPr>
      </w:pPr>
    </w:p>
    <w:p w14:paraId="0AF726E6" w14:textId="77777777" w:rsidR="00E1271E" w:rsidRDefault="00E1271E" w:rsidP="000C2817">
      <w:pPr>
        <w:autoSpaceDE w:val="0"/>
        <w:autoSpaceDN w:val="0"/>
        <w:adjustRightInd w:val="0"/>
        <w:jc w:val="center"/>
        <w:rPr>
          <w:rFonts w:eastAsia="Times New Roman" w:cs="Times New Roman"/>
          <w:b/>
          <w:bCs/>
          <w:sz w:val="24"/>
          <w:szCs w:val="24"/>
          <w:lang w:val="en-GB" w:eastAsia="en-GB"/>
        </w:rPr>
      </w:pPr>
    </w:p>
    <w:p w14:paraId="469BFFB3" w14:textId="77777777" w:rsidR="00E1271E" w:rsidRDefault="00E1271E" w:rsidP="000C2817">
      <w:pPr>
        <w:autoSpaceDE w:val="0"/>
        <w:autoSpaceDN w:val="0"/>
        <w:adjustRightInd w:val="0"/>
        <w:jc w:val="center"/>
        <w:rPr>
          <w:rFonts w:eastAsia="Times New Roman" w:cs="Times New Roman"/>
          <w:b/>
          <w:bCs/>
          <w:sz w:val="24"/>
          <w:szCs w:val="24"/>
          <w:lang w:val="en-GB" w:eastAsia="en-GB"/>
        </w:rPr>
      </w:pPr>
    </w:p>
    <w:p w14:paraId="69AD4E11" w14:textId="77777777" w:rsidR="00E1271E" w:rsidRPr="00C20A3B" w:rsidRDefault="00E1271E" w:rsidP="000C2817">
      <w:pPr>
        <w:autoSpaceDE w:val="0"/>
        <w:autoSpaceDN w:val="0"/>
        <w:adjustRightInd w:val="0"/>
        <w:jc w:val="center"/>
        <w:rPr>
          <w:rFonts w:eastAsia="Times New Roman" w:cs="Times New Roman"/>
          <w:b/>
          <w:bCs/>
          <w:sz w:val="24"/>
          <w:szCs w:val="24"/>
          <w:lang w:val="en-GB" w:eastAsia="en-GB"/>
        </w:rPr>
      </w:pPr>
    </w:p>
    <w:p w14:paraId="3898CC6D" w14:textId="77777777" w:rsidR="00E5368D" w:rsidRDefault="00E5368D" w:rsidP="009830B4">
      <w:pPr>
        <w:rPr>
          <w:lang w:val="en-GB" w:eastAsia="en-GB"/>
        </w:rPr>
      </w:pPr>
    </w:p>
    <w:p w14:paraId="58E73ACD" w14:textId="77777777" w:rsidR="007356AD" w:rsidRDefault="002604D8">
      <w:pPr>
        <w:pStyle w:val="TOC1"/>
        <w:rPr>
          <w:rFonts w:asciiTheme="minorHAnsi" w:eastAsiaTheme="minorEastAsia" w:hAnsiTheme="minorHAnsi"/>
          <w:bCs w:val="0"/>
          <w:noProof/>
          <w:sz w:val="22"/>
          <w:szCs w:val="22"/>
        </w:rPr>
      </w:pPr>
      <w:r w:rsidRPr="00B2113F">
        <w:rPr>
          <w:rFonts w:cs="Times New Roman"/>
          <w:lang w:val="en-GB" w:eastAsia="en-GB"/>
        </w:rPr>
        <w:fldChar w:fldCharType="begin"/>
      </w:r>
      <w:r w:rsidRPr="00B2113F">
        <w:rPr>
          <w:rFonts w:cs="Times New Roman"/>
          <w:lang w:val="en-GB" w:eastAsia="en-GB"/>
        </w:rPr>
        <w:instrText xml:space="preserve"> TOC \o "1-3" \h \z \u </w:instrText>
      </w:r>
      <w:r w:rsidRPr="00B2113F">
        <w:rPr>
          <w:rFonts w:cs="Times New Roman"/>
          <w:lang w:val="en-GB" w:eastAsia="en-GB"/>
        </w:rPr>
        <w:fldChar w:fldCharType="separate"/>
      </w:r>
      <w:hyperlink w:anchor="_Toc34638429" w:history="1">
        <w:r w:rsidR="007356AD" w:rsidRPr="00556757">
          <w:rPr>
            <w:rStyle w:val="Hyperlink"/>
            <w:noProof/>
          </w:rPr>
          <w:t>A.</w:t>
        </w:r>
        <w:r w:rsidR="007356AD">
          <w:rPr>
            <w:rFonts w:asciiTheme="minorHAnsi" w:eastAsiaTheme="minorEastAsia" w:hAnsiTheme="minorHAnsi"/>
            <w:bCs w:val="0"/>
            <w:noProof/>
            <w:sz w:val="22"/>
            <w:szCs w:val="22"/>
          </w:rPr>
          <w:tab/>
        </w:r>
        <w:r w:rsidR="007356AD" w:rsidRPr="00556757">
          <w:rPr>
            <w:rStyle w:val="Hyperlink"/>
            <w:noProof/>
          </w:rPr>
          <w:t>Introduction</w:t>
        </w:r>
        <w:r w:rsidR="007356AD">
          <w:rPr>
            <w:noProof/>
            <w:webHidden/>
          </w:rPr>
          <w:tab/>
        </w:r>
        <w:r w:rsidR="007356AD">
          <w:rPr>
            <w:noProof/>
            <w:webHidden/>
          </w:rPr>
          <w:fldChar w:fldCharType="begin"/>
        </w:r>
        <w:r w:rsidR="007356AD">
          <w:rPr>
            <w:noProof/>
            <w:webHidden/>
          </w:rPr>
          <w:instrText xml:space="preserve"> PAGEREF _Toc34638429 \h </w:instrText>
        </w:r>
        <w:r w:rsidR="007356AD">
          <w:rPr>
            <w:noProof/>
            <w:webHidden/>
          </w:rPr>
        </w:r>
        <w:r w:rsidR="007356AD">
          <w:rPr>
            <w:noProof/>
            <w:webHidden/>
          </w:rPr>
          <w:fldChar w:fldCharType="separate"/>
        </w:r>
        <w:r w:rsidR="007356AD">
          <w:rPr>
            <w:noProof/>
            <w:webHidden/>
          </w:rPr>
          <w:t>2</w:t>
        </w:r>
        <w:r w:rsidR="007356AD">
          <w:rPr>
            <w:noProof/>
            <w:webHidden/>
          </w:rPr>
          <w:fldChar w:fldCharType="end"/>
        </w:r>
      </w:hyperlink>
    </w:p>
    <w:p w14:paraId="39C7B612" w14:textId="77777777" w:rsidR="007356AD" w:rsidRDefault="00AA795A">
      <w:pPr>
        <w:pStyle w:val="TOC1"/>
        <w:rPr>
          <w:rFonts w:asciiTheme="minorHAnsi" w:eastAsiaTheme="minorEastAsia" w:hAnsiTheme="minorHAnsi"/>
          <w:bCs w:val="0"/>
          <w:noProof/>
          <w:sz w:val="22"/>
          <w:szCs w:val="22"/>
        </w:rPr>
      </w:pPr>
      <w:hyperlink w:anchor="_Toc34638430" w:history="1">
        <w:r w:rsidR="007356AD" w:rsidRPr="00556757">
          <w:rPr>
            <w:rStyle w:val="Hyperlink"/>
            <w:noProof/>
          </w:rPr>
          <w:t>B.</w:t>
        </w:r>
        <w:r w:rsidR="007356AD">
          <w:rPr>
            <w:rFonts w:asciiTheme="minorHAnsi" w:eastAsiaTheme="minorEastAsia" w:hAnsiTheme="minorHAnsi"/>
            <w:bCs w:val="0"/>
            <w:noProof/>
            <w:sz w:val="22"/>
            <w:szCs w:val="22"/>
          </w:rPr>
          <w:tab/>
        </w:r>
        <w:r w:rsidR="007356AD" w:rsidRPr="00556757">
          <w:rPr>
            <w:rStyle w:val="Hyperlink"/>
            <w:noProof/>
          </w:rPr>
          <w:t>External governance by the Executive Board</w:t>
        </w:r>
        <w:r w:rsidR="007356AD">
          <w:rPr>
            <w:noProof/>
            <w:webHidden/>
          </w:rPr>
          <w:tab/>
        </w:r>
        <w:r w:rsidR="007356AD">
          <w:rPr>
            <w:noProof/>
            <w:webHidden/>
          </w:rPr>
          <w:fldChar w:fldCharType="begin"/>
        </w:r>
        <w:r w:rsidR="007356AD">
          <w:rPr>
            <w:noProof/>
            <w:webHidden/>
          </w:rPr>
          <w:instrText xml:space="preserve"> PAGEREF _Toc34638430 \h </w:instrText>
        </w:r>
        <w:r w:rsidR="007356AD">
          <w:rPr>
            <w:noProof/>
            <w:webHidden/>
          </w:rPr>
        </w:r>
        <w:r w:rsidR="007356AD">
          <w:rPr>
            <w:noProof/>
            <w:webHidden/>
          </w:rPr>
          <w:fldChar w:fldCharType="separate"/>
        </w:r>
        <w:r w:rsidR="007356AD">
          <w:rPr>
            <w:noProof/>
            <w:webHidden/>
          </w:rPr>
          <w:t>2</w:t>
        </w:r>
        <w:r w:rsidR="007356AD">
          <w:rPr>
            <w:noProof/>
            <w:webHidden/>
          </w:rPr>
          <w:fldChar w:fldCharType="end"/>
        </w:r>
      </w:hyperlink>
    </w:p>
    <w:p w14:paraId="3DA0A416" w14:textId="77777777" w:rsidR="007356AD" w:rsidRDefault="00AA795A">
      <w:pPr>
        <w:pStyle w:val="TOC1"/>
        <w:rPr>
          <w:rFonts w:asciiTheme="minorHAnsi" w:eastAsiaTheme="minorEastAsia" w:hAnsiTheme="minorHAnsi"/>
          <w:bCs w:val="0"/>
          <w:noProof/>
          <w:sz w:val="22"/>
          <w:szCs w:val="22"/>
        </w:rPr>
      </w:pPr>
      <w:hyperlink w:anchor="_Toc34638431" w:history="1">
        <w:r w:rsidR="007356AD" w:rsidRPr="00556757">
          <w:rPr>
            <w:rStyle w:val="Hyperlink"/>
            <w:noProof/>
          </w:rPr>
          <w:t>C.</w:t>
        </w:r>
        <w:r w:rsidR="007356AD">
          <w:rPr>
            <w:rFonts w:asciiTheme="minorHAnsi" w:eastAsiaTheme="minorEastAsia" w:hAnsiTheme="minorHAnsi"/>
            <w:bCs w:val="0"/>
            <w:noProof/>
            <w:sz w:val="22"/>
            <w:szCs w:val="22"/>
          </w:rPr>
          <w:tab/>
        </w:r>
        <w:r w:rsidR="007356AD" w:rsidRPr="00556757">
          <w:rPr>
            <w:rStyle w:val="Hyperlink"/>
            <w:noProof/>
          </w:rPr>
          <w:t>Strategy implementation</w:t>
        </w:r>
        <w:r w:rsidR="007356AD">
          <w:rPr>
            <w:noProof/>
            <w:webHidden/>
          </w:rPr>
          <w:tab/>
        </w:r>
        <w:r w:rsidR="007356AD">
          <w:rPr>
            <w:noProof/>
            <w:webHidden/>
          </w:rPr>
          <w:fldChar w:fldCharType="begin"/>
        </w:r>
        <w:r w:rsidR="007356AD">
          <w:rPr>
            <w:noProof/>
            <w:webHidden/>
          </w:rPr>
          <w:instrText xml:space="preserve"> PAGEREF _Toc34638431 \h </w:instrText>
        </w:r>
        <w:r w:rsidR="007356AD">
          <w:rPr>
            <w:noProof/>
            <w:webHidden/>
          </w:rPr>
        </w:r>
        <w:r w:rsidR="007356AD">
          <w:rPr>
            <w:noProof/>
            <w:webHidden/>
          </w:rPr>
          <w:fldChar w:fldCharType="separate"/>
        </w:r>
        <w:r w:rsidR="007356AD">
          <w:rPr>
            <w:noProof/>
            <w:webHidden/>
          </w:rPr>
          <w:t>3</w:t>
        </w:r>
        <w:r w:rsidR="007356AD">
          <w:rPr>
            <w:noProof/>
            <w:webHidden/>
          </w:rPr>
          <w:fldChar w:fldCharType="end"/>
        </w:r>
      </w:hyperlink>
    </w:p>
    <w:p w14:paraId="56C3A7C6" w14:textId="77777777" w:rsidR="007356AD" w:rsidRDefault="00AA795A">
      <w:pPr>
        <w:pStyle w:val="TOC1"/>
        <w:rPr>
          <w:rFonts w:asciiTheme="minorHAnsi" w:eastAsiaTheme="minorEastAsia" w:hAnsiTheme="minorHAnsi"/>
          <w:bCs w:val="0"/>
          <w:noProof/>
          <w:sz w:val="22"/>
          <w:szCs w:val="22"/>
        </w:rPr>
      </w:pPr>
      <w:hyperlink w:anchor="_Toc34638432" w:history="1">
        <w:r w:rsidR="007356AD" w:rsidRPr="00556757">
          <w:rPr>
            <w:rStyle w:val="Hyperlink"/>
            <w:noProof/>
          </w:rPr>
          <w:t>D.</w:t>
        </w:r>
        <w:r w:rsidR="007356AD">
          <w:rPr>
            <w:rFonts w:asciiTheme="minorHAnsi" w:eastAsiaTheme="minorEastAsia" w:hAnsiTheme="minorHAnsi"/>
            <w:bCs w:val="0"/>
            <w:noProof/>
            <w:sz w:val="22"/>
            <w:szCs w:val="22"/>
          </w:rPr>
          <w:tab/>
        </w:r>
        <w:r w:rsidR="007356AD" w:rsidRPr="00556757">
          <w:rPr>
            <w:rStyle w:val="Hyperlink"/>
            <w:noProof/>
          </w:rPr>
          <w:t>External audit and review</w:t>
        </w:r>
        <w:r w:rsidR="007356AD">
          <w:rPr>
            <w:noProof/>
            <w:webHidden/>
          </w:rPr>
          <w:tab/>
        </w:r>
        <w:r w:rsidR="007356AD">
          <w:rPr>
            <w:noProof/>
            <w:webHidden/>
          </w:rPr>
          <w:fldChar w:fldCharType="begin"/>
        </w:r>
        <w:r w:rsidR="007356AD">
          <w:rPr>
            <w:noProof/>
            <w:webHidden/>
          </w:rPr>
          <w:instrText xml:space="preserve"> PAGEREF _Toc34638432 \h </w:instrText>
        </w:r>
        <w:r w:rsidR="007356AD">
          <w:rPr>
            <w:noProof/>
            <w:webHidden/>
          </w:rPr>
        </w:r>
        <w:r w:rsidR="007356AD">
          <w:rPr>
            <w:noProof/>
            <w:webHidden/>
          </w:rPr>
          <w:fldChar w:fldCharType="separate"/>
        </w:r>
        <w:r w:rsidR="007356AD">
          <w:rPr>
            <w:noProof/>
            <w:webHidden/>
          </w:rPr>
          <w:t>5</w:t>
        </w:r>
        <w:r w:rsidR="007356AD">
          <w:rPr>
            <w:noProof/>
            <w:webHidden/>
          </w:rPr>
          <w:fldChar w:fldCharType="end"/>
        </w:r>
      </w:hyperlink>
    </w:p>
    <w:p w14:paraId="2B083138" w14:textId="77777777" w:rsidR="007356AD" w:rsidRDefault="00AA795A">
      <w:pPr>
        <w:pStyle w:val="TOC1"/>
        <w:rPr>
          <w:rFonts w:asciiTheme="minorHAnsi" w:eastAsiaTheme="minorEastAsia" w:hAnsiTheme="minorHAnsi"/>
          <w:bCs w:val="0"/>
          <w:noProof/>
          <w:sz w:val="22"/>
          <w:szCs w:val="22"/>
        </w:rPr>
      </w:pPr>
      <w:hyperlink w:anchor="_Toc34638433" w:history="1">
        <w:r w:rsidR="007356AD" w:rsidRPr="00556757">
          <w:rPr>
            <w:rStyle w:val="Hyperlink"/>
            <w:noProof/>
          </w:rPr>
          <w:t>E.</w:t>
        </w:r>
        <w:r w:rsidR="007356AD">
          <w:rPr>
            <w:rFonts w:asciiTheme="minorHAnsi" w:eastAsiaTheme="minorEastAsia" w:hAnsiTheme="minorHAnsi"/>
            <w:bCs w:val="0"/>
            <w:noProof/>
            <w:sz w:val="22"/>
            <w:szCs w:val="22"/>
          </w:rPr>
          <w:tab/>
        </w:r>
        <w:r w:rsidR="007356AD" w:rsidRPr="00556757">
          <w:rPr>
            <w:rStyle w:val="Hyperlink"/>
            <w:noProof/>
          </w:rPr>
          <w:t>Internal audit and investigations</w:t>
        </w:r>
        <w:r w:rsidR="007356AD">
          <w:rPr>
            <w:noProof/>
            <w:webHidden/>
          </w:rPr>
          <w:tab/>
        </w:r>
        <w:r w:rsidR="007356AD">
          <w:rPr>
            <w:noProof/>
            <w:webHidden/>
          </w:rPr>
          <w:fldChar w:fldCharType="begin"/>
        </w:r>
        <w:r w:rsidR="007356AD">
          <w:rPr>
            <w:noProof/>
            <w:webHidden/>
          </w:rPr>
          <w:instrText xml:space="preserve"> PAGEREF _Toc34638433 \h </w:instrText>
        </w:r>
        <w:r w:rsidR="007356AD">
          <w:rPr>
            <w:noProof/>
            <w:webHidden/>
          </w:rPr>
        </w:r>
        <w:r w:rsidR="007356AD">
          <w:rPr>
            <w:noProof/>
            <w:webHidden/>
          </w:rPr>
          <w:fldChar w:fldCharType="separate"/>
        </w:r>
        <w:r w:rsidR="007356AD">
          <w:rPr>
            <w:noProof/>
            <w:webHidden/>
          </w:rPr>
          <w:t>5</w:t>
        </w:r>
        <w:r w:rsidR="007356AD">
          <w:rPr>
            <w:noProof/>
            <w:webHidden/>
          </w:rPr>
          <w:fldChar w:fldCharType="end"/>
        </w:r>
      </w:hyperlink>
    </w:p>
    <w:p w14:paraId="74550676" w14:textId="77777777" w:rsidR="007356AD" w:rsidRDefault="00AA795A">
      <w:pPr>
        <w:pStyle w:val="TOC1"/>
        <w:rPr>
          <w:rFonts w:asciiTheme="minorHAnsi" w:eastAsiaTheme="minorEastAsia" w:hAnsiTheme="minorHAnsi"/>
          <w:bCs w:val="0"/>
          <w:noProof/>
          <w:sz w:val="22"/>
          <w:szCs w:val="22"/>
        </w:rPr>
      </w:pPr>
      <w:hyperlink w:anchor="_Toc34638434" w:history="1">
        <w:r w:rsidR="007356AD" w:rsidRPr="00556757">
          <w:rPr>
            <w:rStyle w:val="Hyperlink"/>
            <w:noProof/>
          </w:rPr>
          <w:t>F.</w:t>
        </w:r>
        <w:r w:rsidR="007356AD">
          <w:rPr>
            <w:rFonts w:asciiTheme="minorHAnsi" w:eastAsiaTheme="minorEastAsia" w:hAnsiTheme="minorHAnsi"/>
            <w:bCs w:val="0"/>
            <w:noProof/>
            <w:sz w:val="22"/>
            <w:szCs w:val="22"/>
          </w:rPr>
          <w:tab/>
        </w:r>
        <w:r w:rsidR="007356AD" w:rsidRPr="00556757">
          <w:rPr>
            <w:rStyle w:val="Hyperlink"/>
            <w:noProof/>
          </w:rPr>
          <w:t>Ethics and compliance</w:t>
        </w:r>
        <w:r w:rsidR="007356AD">
          <w:rPr>
            <w:noProof/>
            <w:webHidden/>
          </w:rPr>
          <w:tab/>
        </w:r>
        <w:r w:rsidR="007356AD">
          <w:rPr>
            <w:noProof/>
            <w:webHidden/>
          </w:rPr>
          <w:fldChar w:fldCharType="begin"/>
        </w:r>
        <w:r w:rsidR="007356AD">
          <w:rPr>
            <w:noProof/>
            <w:webHidden/>
          </w:rPr>
          <w:instrText xml:space="preserve"> PAGEREF _Toc34638434 \h </w:instrText>
        </w:r>
        <w:r w:rsidR="007356AD">
          <w:rPr>
            <w:noProof/>
            <w:webHidden/>
          </w:rPr>
        </w:r>
        <w:r w:rsidR="007356AD">
          <w:rPr>
            <w:noProof/>
            <w:webHidden/>
          </w:rPr>
          <w:fldChar w:fldCharType="separate"/>
        </w:r>
        <w:r w:rsidR="007356AD">
          <w:rPr>
            <w:noProof/>
            <w:webHidden/>
          </w:rPr>
          <w:t>6</w:t>
        </w:r>
        <w:r w:rsidR="007356AD">
          <w:rPr>
            <w:noProof/>
            <w:webHidden/>
          </w:rPr>
          <w:fldChar w:fldCharType="end"/>
        </w:r>
      </w:hyperlink>
    </w:p>
    <w:p w14:paraId="7CE5C3E4" w14:textId="77777777" w:rsidR="007356AD" w:rsidRDefault="00AA795A">
      <w:pPr>
        <w:pStyle w:val="TOC1"/>
        <w:rPr>
          <w:rFonts w:asciiTheme="minorHAnsi" w:eastAsiaTheme="minorEastAsia" w:hAnsiTheme="minorHAnsi"/>
          <w:bCs w:val="0"/>
          <w:noProof/>
          <w:sz w:val="22"/>
          <w:szCs w:val="22"/>
        </w:rPr>
      </w:pPr>
      <w:hyperlink w:anchor="_Toc34638435" w:history="1">
        <w:r w:rsidR="007356AD" w:rsidRPr="00556757">
          <w:rPr>
            <w:rStyle w:val="Hyperlink"/>
            <w:noProof/>
          </w:rPr>
          <w:t>G.</w:t>
        </w:r>
        <w:r w:rsidR="007356AD">
          <w:rPr>
            <w:rFonts w:asciiTheme="minorHAnsi" w:eastAsiaTheme="minorEastAsia" w:hAnsiTheme="minorHAnsi"/>
            <w:bCs w:val="0"/>
            <w:noProof/>
            <w:sz w:val="22"/>
            <w:szCs w:val="22"/>
          </w:rPr>
          <w:tab/>
        </w:r>
        <w:r w:rsidR="007356AD" w:rsidRPr="00556757">
          <w:rPr>
            <w:rStyle w:val="Hyperlink"/>
            <w:noProof/>
          </w:rPr>
          <w:t>Internal governance and risk management</w:t>
        </w:r>
        <w:r w:rsidR="007356AD">
          <w:rPr>
            <w:noProof/>
            <w:webHidden/>
          </w:rPr>
          <w:tab/>
        </w:r>
        <w:r w:rsidR="007356AD">
          <w:rPr>
            <w:noProof/>
            <w:webHidden/>
          </w:rPr>
          <w:fldChar w:fldCharType="begin"/>
        </w:r>
        <w:r w:rsidR="007356AD">
          <w:rPr>
            <w:noProof/>
            <w:webHidden/>
          </w:rPr>
          <w:instrText xml:space="preserve"> PAGEREF _Toc34638435 \h </w:instrText>
        </w:r>
        <w:r w:rsidR="007356AD">
          <w:rPr>
            <w:noProof/>
            <w:webHidden/>
          </w:rPr>
        </w:r>
        <w:r w:rsidR="007356AD">
          <w:rPr>
            <w:noProof/>
            <w:webHidden/>
          </w:rPr>
          <w:fldChar w:fldCharType="separate"/>
        </w:r>
        <w:r w:rsidR="007356AD">
          <w:rPr>
            <w:noProof/>
            <w:webHidden/>
          </w:rPr>
          <w:t>6</w:t>
        </w:r>
        <w:r w:rsidR="007356AD">
          <w:rPr>
            <w:noProof/>
            <w:webHidden/>
          </w:rPr>
          <w:fldChar w:fldCharType="end"/>
        </w:r>
      </w:hyperlink>
    </w:p>
    <w:p w14:paraId="1598F8BE" w14:textId="77777777" w:rsidR="007356AD" w:rsidRDefault="00AA795A">
      <w:pPr>
        <w:pStyle w:val="TOC1"/>
        <w:rPr>
          <w:rFonts w:asciiTheme="minorHAnsi" w:eastAsiaTheme="minorEastAsia" w:hAnsiTheme="minorHAnsi"/>
          <w:bCs w:val="0"/>
          <w:noProof/>
          <w:sz w:val="22"/>
          <w:szCs w:val="22"/>
        </w:rPr>
      </w:pPr>
      <w:hyperlink w:anchor="_Toc34638436" w:history="1">
        <w:r w:rsidR="007356AD" w:rsidRPr="00556757">
          <w:rPr>
            <w:rStyle w:val="Hyperlink"/>
            <w:noProof/>
          </w:rPr>
          <w:t>H.</w:t>
        </w:r>
        <w:r w:rsidR="007356AD">
          <w:rPr>
            <w:rFonts w:asciiTheme="minorHAnsi" w:eastAsiaTheme="minorEastAsia" w:hAnsiTheme="minorHAnsi"/>
            <w:bCs w:val="0"/>
            <w:noProof/>
            <w:sz w:val="22"/>
            <w:szCs w:val="22"/>
          </w:rPr>
          <w:tab/>
        </w:r>
        <w:r w:rsidR="007356AD" w:rsidRPr="00556757">
          <w:rPr>
            <w:rStyle w:val="Hyperlink"/>
            <w:noProof/>
          </w:rPr>
          <w:t>Financial matters</w:t>
        </w:r>
        <w:r w:rsidR="007356AD">
          <w:rPr>
            <w:noProof/>
            <w:webHidden/>
          </w:rPr>
          <w:tab/>
        </w:r>
        <w:r w:rsidR="007356AD">
          <w:rPr>
            <w:noProof/>
            <w:webHidden/>
          </w:rPr>
          <w:fldChar w:fldCharType="begin"/>
        </w:r>
        <w:r w:rsidR="007356AD">
          <w:rPr>
            <w:noProof/>
            <w:webHidden/>
          </w:rPr>
          <w:instrText xml:space="preserve"> PAGEREF _Toc34638436 \h </w:instrText>
        </w:r>
        <w:r w:rsidR="007356AD">
          <w:rPr>
            <w:noProof/>
            <w:webHidden/>
          </w:rPr>
        </w:r>
        <w:r w:rsidR="007356AD">
          <w:rPr>
            <w:noProof/>
            <w:webHidden/>
          </w:rPr>
          <w:fldChar w:fldCharType="separate"/>
        </w:r>
        <w:r w:rsidR="007356AD">
          <w:rPr>
            <w:noProof/>
            <w:webHidden/>
          </w:rPr>
          <w:t>8</w:t>
        </w:r>
        <w:r w:rsidR="007356AD">
          <w:rPr>
            <w:noProof/>
            <w:webHidden/>
          </w:rPr>
          <w:fldChar w:fldCharType="end"/>
        </w:r>
      </w:hyperlink>
    </w:p>
    <w:p w14:paraId="288B4EB1" w14:textId="77777777" w:rsidR="007356AD" w:rsidRDefault="00AA795A">
      <w:pPr>
        <w:pStyle w:val="TOC1"/>
        <w:rPr>
          <w:rFonts w:asciiTheme="minorHAnsi" w:eastAsiaTheme="minorEastAsia" w:hAnsiTheme="minorHAnsi"/>
          <w:bCs w:val="0"/>
          <w:noProof/>
          <w:sz w:val="22"/>
          <w:szCs w:val="22"/>
        </w:rPr>
      </w:pPr>
      <w:hyperlink w:anchor="_Toc34638437" w:history="1">
        <w:r w:rsidR="007356AD" w:rsidRPr="00556757">
          <w:rPr>
            <w:rStyle w:val="Hyperlink"/>
            <w:noProof/>
          </w:rPr>
          <w:t>I.</w:t>
        </w:r>
        <w:r w:rsidR="007356AD">
          <w:rPr>
            <w:rFonts w:asciiTheme="minorHAnsi" w:eastAsiaTheme="minorEastAsia" w:hAnsiTheme="minorHAnsi"/>
            <w:bCs w:val="0"/>
            <w:noProof/>
            <w:sz w:val="22"/>
            <w:szCs w:val="22"/>
          </w:rPr>
          <w:tab/>
        </w:r>
        <w:r w:rsidR="007356AD" w:rsidRPr="00556757">
          <w:rPr>
            <w:rStyle w:val="Hyperlink"/>
            <w:noProof/>
          </w:rPr>
          <w:t>Conclusion</w:t>
        </w:r>
        <w:r w:rsidR="007356AD">
          <w:rPr>
            <w:noProof/>
            <w:webHidden/>
          </w:rPr>
          <w:tab/>
        </w:r>
        <w:r w:rsidR="007356AD">
          <w:rPr>
            <w:noProof/>
            <w:webHidden/>
          </w:rPr>
          <w:fldChar w:fldCharType="begin"/>
        </w:r>
        <w:r w:rsidR="007356AD">
          <w:rPr>
            <w:noProof/>
            <w:webHidden/>
          </w:rPr>
          <w:instrText xml:space="preserve"> PAGEREF _Toc34638437 \h </w:instrText>
        </w:r>
        <w:r w:rsidR="007356AD">
          <w:rPr>
            <w:noProof/>
            <w:webHidden/>
          </w:rPr>
        </w:r>
        <w:r w:rsidR="007356AD">
          <w:rPr>
            <w:noProof/>
            <w:webHidden/>
          </w:rPr>
          <w:fldChar w:fldCharType="separate"/>
        </w:r>
        <w:r w:rsidR="007356AD">
          <w:rPr>
            <w:noProof/>
            <w:webHidden/>
          </w:rPr>
          <w:t>9</w:t>
        </w:r>
        <w:r w:rsidR="007356AD">
          <w:rPr>
            <w:noProof/>
            <w:webHidden/>
          </w:rPr>
          <w:fldChar w:fldCharType="end"/>
        </w:r>
      </w:hyperlink>
    </w:p>
    <w:p w14:paraId="0356A296" w14:textId="77777777" w:rsidR="002604D8" w:rsidRPr="006562DE" w:rsidRDefault="002604D8" w:rsidP="009830B4">
      <w:pPr>
        <w:rPr>
          <w:lang w:val="en-GB" w:eastAsia="en-GB"/>
        </w:rPr>
      </w:pPr>
      <w:r w:rsidRPr="00B2113F">
        <w:rPr>
          <w:rFonts w:cs="Times New Roman"/>
          <w:lang w:val="en-GB" w:eastAsia="en-GB"/>
        </w:rPr>
        <w:fldChar w:fldCharType="end"/>
      </w:r>
    </w:p>
    <w:p w14:paraId="2DA81681" w14:textId="77777777" w:rsidR="007356AD" w:rsidRDefault="007356AD" w:rsidP="00E95149">
      <w:pPr>
        <w:ind w:left="142"/>
        <w:rPr>
          <w:rFonts w:cs="Times New Roman"/>
        </w:rPr>
        <w:sectPr w:rsidR="007356AD" w:rsidSect="007356AD">
          <w:headerReference w:type="default" r:id="rId11"/>
          <w:footerReference w:type="default" r:id="rId12"/>
          <w:pgSz w:w="12240" w:h="15840" w:code="1"/>
          <w:pgMar w:top="1134" w:right="1985" w:bottom="1134" w:left="1985" w:header="709" w:footer="709" w:gutter="0"/>
          <w:cols w:space="720"/>
          <w:titlePg/>
          <w:docGrid w:linePitch="360"/>
        </w:sectPr>
      </w:pPr>
    </w:p>
    <w:p w14:paraId="24742DAE" w14:textId="77777777" w:rsidR="009208D7" w:rsidRDefault="008B3DF8" w:rsidP="005F044A">
      <w:pPr>
        <w:pStyle w:val="Heading1"/>
      </w:pPr>
      <w:bookmarkStart w:id="0" w:name="_Toc3541960"/>
      <w:bookmarkStart w:id="1" w:name="_Toc34638429"/>
      <w:r>
        <w:lastRenderedPageBreak/>
        <w:t>Introduction</w:t>
      </w:r>
      <w:bookmarkEnd w:id="0"/>
      <w:bookmarkEnd w:id="1"/>
    </w:p>
    <w:p w14:paraId="18092562" w14:textId="77777777" w:rsidR="008B3DF8" w:rsidRPr="00317448" w:rsidRDefault="00F26A58" w:rsidP="00CE62E0">
      <w:pPr>
        <w:tabs>
          <w:tab w:val="clear" w:pos="284"/>
          <w:tab w:val="left" w:pos="426"/>
        </w:tabs>
      </w:pPr>
      <w:r>
        <w:t>1.</w:t>
      </w:r>
      <w:r>
        <w:tab/>
      </w:r>
      <w:r w:rsidR="0041677D">
        <w:t xml:space="preserve">The UNOPS Audit Advisory Committee (the </w:t>
      </w:r>
      <w:r w:rsidR="00D64B13" w:rsidRPr="00BB0030">
        <w:t>Committee)</w:t>
      </w:r>
      <w:r w:rsidR="00E87DA5">
        <w:t xml:space="preserve"> </w:t>
      </w:r>
      <w:r w:rsidR="00A37354" w:rsidRPr="00BB0030">
        <w:t xml:space="preserve">was established in </w:t>
      </w:r>
      <w:r w:rsidR="00D64B13" w:rsidRPr="00BB0030">
        <w:t>2015</w:t>
      </w:r>
      <w:r w:rsidR="00A0691B">
        <w:t xml:space="preserve"> </w:t>
      </w:r>
      <w:r w:rsidR="00AD15D6">
        <w:t>in accordance with</w:t>
      </w:r>
      <w:r w:rsidR="00D64B13" w:rsidRPr="00BB0030">
        <w:t xml:space="preserve"> Executive Boar</w:t>
      </w:r>
      <w:r w:rsidR="00A37354" w:rsidRPr="00BB0030">
        <w:t>d</w:t>
      </w:r>
      <w:r w:rsidR="006609AC" w:rsidRPr="00BB0030">
        <w:t xml:space="preserve"> decisio</w:t>
      </w:r>
      <w:r w:rsidR="00CF5EB1" w:rsidRPr="00BB0030">
        <w:t>n</w:t>
      </w:r>
      <w:r w:rsidR="00A37354" w:rsidRPr="00BB0030">
        <w:t>s</w:t>
      </w:r>
      <w:r w:rsidR="00CF5EB1" w:rsidRPr="00BB0030">
        <w:t xml:space="preserve"> </w:t>
      </w:r>
      <w:r w:rsidR="00833938" w:rsidRPr="00BB0030">
        <w:t xml:space="preserve">2015/4 and </w:t>
      </w:r>
      <w:r w:rsidR="004551FD" w:rsidRPr="00BB0030">
        <w:t>2015/12</w:t>
      </w:r>
      <w:r w:rsidR="008B3DF8" w:rsidRPr="00317448">
        <w:t>.</w:t>
      </w:r>
      <w:r w:rsidR="008B3DF8" w:rsidRPr="00317448">
        <w:rPr>
          <w:rStyle w:val="FootnoteReference"/>
          <w:rFonts w:cs="Times New Roman"/>
        </w:rPr>
        <w:footnoteReference w:id="1"/>
      </w:r>
    </w:p>
    <w:p w14:paraId="31EBEAC8" w14:textId="77777777" w:rsidR="00006FE9" w:rsidRPr="00ED1CA8" w:rsidRDefault="008B3DF8" w:rsidP="00CE62E0">
      <w:pPr>
        <w:tabs>
          <w:tab w:val="clear" w:pos="284"/>
          <w:tab w:val="left" w:pos="426"/>
        </w:tabs>
      </w:pPr>
      <w:r>
        <w:t>2</w:t>
      </w:r>
      <w:r w:rsidR="00F26A58">
        <w:t>.</w:t>
      </w:r>
      <w:r w:rsidR="00F26A58">
        <w:tab/>
      </w:r>
      <w:r w:rsidR="00CE28C4" w:rsidRPr="00ED1CA8">
        <w:t>This annual report</w:t>
      </w:r>
      <w:r w:rsidR="00002DF7">
        <w:t xml:space="preserve"> </w:t>
      </w:r>
      <w:r w:rsidR="00CE28C4" w:rsidRPr="00ED1CA8">
        <w:t>cover</w:t>
      </w:r>
      <w:r w:rsidR="00002DF7">
        <w:t>s</w:t>
      </w:r>
      <w:r w:rsidR="00CE28C4" w:rsidRPr="00ED1CA8">
        <w:t xml:space="preserve"> the </w:t>
      </w:r>
      <w:r>
        <w:t xml:space="preserve">Committee’s activities in </w:t>
      </w:r>
      <w:r w:rsidR="00067A60">
        <w:t>201</w:t>
      </w:r>
      <w:r w:rsidR="005D525A">
        <w:t>9</w:t>
      </w:r>
      <w:r w:rsidR="00002DF7">
        <w:t>. It is</w:t>
      </w:r>
      <w:r w:rsidR="00CE28C4" w:rsidRPr="00ED1CA8">
        <w:t xml:space="preserve"> submitted at the request of the Executive Board </w:t>
      </w:r>
      <w:r w:rsidR="00811BDE" w:rsidRPr="00ED1CA8">
        <w:t>(decision</w:t>
      </w:r>
      <w:r w:rsidR="00700AAE">
        <w:t>s 2008/37 and 2015/4</w:t>
      </w:r>
      <w:r w:rsidR="00CE28C4" w:rsidRPr="00ED1CA8">
        <w:t>)</w:t>
      </w:r>
      <w:r w:rsidR="00DD69B2">
        <w:t>,</w:t>
      </w:r>
      <w:r w:rsidR="001C2E9C" w:rsidRPr="00ED1CA8">
        <w:t xml:space="preserve"> </w:t>
      </w:r>
      <w:r w:rsidR="00700AAE">
        <w:t xml:space="preserve">and in accordance with </w:t>
      </w:r>
      <w:r w:rsidR="001C2E9C" w:rsidRPr="00ED1CA8">
        <w:t>section 3</w:t>
      </w:r>
      <w:r w:rsidR="005D525A">
        <w:t>7</w:t>
      </w:r>
      <w:r w:rsidR="001C2E9C" w:rsidRPr="00ED1CA8">
        <w:t xml:space="preserve"> of the </w:t>
      </w:r>
      <w:r w:rsidR="005D525A">
        <w:t>Committee’s t</w:t>
      </w:r>
      <w:r w:rsidR="00945616">
        <w:t xml:space="preserve">erms of </w:t>
      </w:r>
      <w:r w:rsidR="005D525A">
        <w:t>r</w:t>
      </w:r>
      <w:r w:rsidR="00945616" w:rsidRPr="006D352C">
        <w:t>eference.</w:t>
      </w:r>
    </w:p>
    <w:p w14:paraId="429ACDC0" w14:textId="77777777" w:rsidR="00247105" w:rsidRDefault="00E54E8A" w:rsidP="00CE62E0">
      <w:pPr>
        <w:tabs>
          <w:tab w:val="clear" w:pos="284"/>
          <w:tab w:val="left" w:pos="426"/>
        </w:tabs>
      </w:pPr>
      <w:r>
        <w:t>3</w:t>
      </w:r>
      <w:r w:rsidR="00F26A58">
        <w:t>.</w:t>
      </w:r>
      <w:r w:rsidR="00F26A58">
        <w:tab/>
      </w:r>
      <w:r w:rsidR="005D525A">
        <w:t>The Committee is composed of members who are external to UNOPS</w:t>
      </w:r>
      <w:r w:rsidR="0044738E">
        <w:t xml:space="preserve">. </w:t>
      </w:r>
      <w:r w:rsidR="00A402B5">
        <w:t>In 2019, a</w:t>
      </w:r>
      <w:r w:rsidR="0044738E">
        <w:t xml:space="preserve">ll members </w:t>
      </w:r>
      <w:r w:rsidR="00AA183F" w:rsidRPr="007B2E47">
        <w:t>confirmed the</w:t>
      </w:r>
      <w:r w:rsidR="00796E62" w:rsidRPr="007B2E47">
        <w:t>ir</w:t>
      </w:r>
      <w:r w:rsidR="00AA183F" w:rsidRPr="007B2E47">
        <w:t xml:space="preserve"> independen</w:t>
      </w:r>
      <w:r w:rsidR="00247105" w:rsidRPr="007B2E47">
        <w:t>ce in fulfilling their function</w:t>
      </w:r>
      <w:r w:rsidR="008B3DF8">
        <w:t>. The members are</w:t>
      </w:r>
      <w:r w:rsidR="00247105" w:rsidRPr="007B2E47">
        <w:t>:</w:t>
      </w:r>
    </w:p>
    <w:p w14:paraId="47D42973" w14:textId="77777777" w:rsidR="00A56269" w:rsidRDefault="008B7173" w:rsidP="006D008F">
      <w:pPr>
        <w:pStyle w:val="ListParagraph"/>
        <w:numPr>
          <w:ilvl w:val="0"/>
          <w:numId w:val="40"/>
        </w:numPr>
      </w:pPr>
      <w:proofErr w:type="spellStart"/>
      <w:r>
        <w:t>Bente</w:t>
      </w:r>
      <w:proofErr w:type="spellEnd"/>
      <w:r>
        <w:t xml:space="preserve"> </w:t>
      </w:r>
      <w:proofErr w:type="spellStart"/>
      <w:r>
        <w:t>Svensson</w:t>
      </w:r>
      <w:proofErr w:type="spellEnd"/>
      <w:r w:rsidR="008E2F5E">
        <w:t xml:space="preserve"> </w:t>
      </w:r>
      <w:r w:rsidR="00474016">
        <w:t>(</w:t>
      </w:r>
      <w:r w:rsidR="00351BAE">
        <w:t>Chair</w:t>
      </w:r>
      <w:r w:rsidR="00474016">
        <w:t>)</w:t>
      </w:r>
    </w:p>
    <w:p w14:paraId="3146ED6E" w14:textId="77777777" w:rsidR="00474016" w:rsidRDefault="006C1E55" w:rsidP="00055181">
      <w:pPr>
        <w:pStyle w:val="ListParagraph"/>
        <w:numPr>
          <w:ilvl w:val="0"/>
          <w:numId w:val="40"/>
        </w:numPr>
        <w:tabs>
          <w:tab w:val="left" w:pos="7513"/>
          <w:tab w:val="left" w:pos="7655"/>
        </w:tabs>
      </w:pPr>
      <w:r w:rsidRPr="00474016">
        <w:t>S. Bhaskar</w:t>
      </w:r>
    </w:p>
    <w:p w14:paraId="090F67D6" w14:textId="77777777" w:rsidR="005D525A" w:rsidRDefault="005D525A" w:rsidP="005D525A">
      <w:pPr>
        <w:pStyle w:val="ListParagraph"/>
        <w:numPr>
          <w:ilvl w:val="0"/>
          <w:numId w:val="40"/>
        </w:numPr>
      </w:pPr>
      <w:r>
        <w:t>Sheila Khama</w:t>
      </w:r>
    </w:p>
    <w:p w14:paraId="2F0F2C2C" w14:textId="77777777" w:rsidR="00826F14" w:rsidRPr="00474016" w:rsidRDefault="00826F14" w:rsidP="006D008F">
      <w:pPr>
        <w:pStyle w:val="ListParagraph"/>
        <w:numPr>
          <w:ilvl w:val="0"/>
          <w:numId w:val="40"/>
        </w:numPr>
      </w:pPr>
      <w:r w:rsidRPr="00474016">
        <w:t xml:space="preserve">Pablo Sanchez-Lozano </w:t>
      </w:r>
    </w:p>
    <w:p w14:paraId="741E6CFF" w14:textId="77777777" w:rsidR="005D525A" w:rsidRPr="00826F14" w:rsidRDefault="005D525A" w:rsidP="005D525A">
      <w:pPr>
        <w:pStyle w:val="ListParagraph"/>
        <w:numPr>
          <w:ilvl w:val="0"/>
          <w:numId w:val="40"/>
        </w:numPr>
      </w:pPr>
      <w:proofErr w:type="spellStart"/>
      <w:r>
        <w:t>Paivi</w:t>
      </w:r>
      <w:proofErr w:type="spellEnd"/>
      <w:r>
        <w:t xml:space="preserve"> </w:t>
      </w:r>
      <w:proofErr w:type="spellStart"/>
      <w:r>
        <w:t>Re</w:t>
      </w:r>
      <w:r w:rsidR="008B3DF8">
        <w:t>k</w:t>
      </w:r>
      <w:r>
        <w:t>onen</w:t>
      </w:r>
      <w:proofErr w:type="spellEnd"/>
    </w:p>
    <w:p w14:paraId="4E486ABF" w14:textId="77777777" w:rsidR="005D525A" w:rsidRDefault="005D525A" w:rsidP="006D008F">
      <w:pPr>
        <w:pStyle w:val="ListParagraph"/>
        <w:numPr>
          <w:ilvl w:val="0"/>
          <w:numId w:val="40"/>
        </w:numPr>
      </w:pPr>
      <w:r>
        <w:t xml:space="preserve">James </w:t>
      </w:r>
      <w:r w:rsidR="008B3DF8">
        <w:t>H</w:t>
      </w:r>
      <w:r>
        <w:t>. Cottre</w:t>
      </w:r>
      <w:r w:rsidR="008B3DF8">
        <w:t>l</w:t>
      </w:r>
      <w:r>
        <w:t>l</w:t>
      </w:r>
    </w:p>
    <w:p w14:paraId="4B3401D2" w14:textId="77777777" w:rsidR="008B3DF8" w:rsidRDefault="00E54E8A" w:rsidP="00CE62E0">
      <w:pPr>
        <w:tabs>
          <w:tab w:val="clear" w:pos="284"/>
          <w:tab w:val="left" w:pos="426"/>
        </w:tabs>
      </w:pPr>
      <w:r>
        <w:t>4</w:t>
      </w:r>
      <w:r w:rsidR="008B3DF8">
        <w:t>.</w:t>
      </w:r>
      <w:r w:rsidR="008B3DF8">
        <w:tab/>
      </w:r>
      <w:r w:rsidR="00A402B5">
        <w:t xml:space="preserve">During </w:t>
      </w:r>
      <w:r w:rsidR="008B3DF8">
        <w:t xml:space="preserve">2019, the Executive Director </w:t>
      </w:r>
      <w:r w:rsidR="00A402B5">
        <w:t xml:space="preserve">completed the </w:t>
      </w:r>
      <w:r w:rsidR="008B3DF8">
        <w:t>revis</w:t>
      </w:r>
      <w:r w:rsidR="00A402B5">
        <w:t xml:space="preserve">ion of </w:t>
      </w:r>
      <w:r w:rsidR="008B3DF8">
        <w:t>the Committee’s term</w:t>
      </w:r>
      <w:r>
        <w:t>s</w:t>
      </w:r>
      <w:r w:rsidR="008B3DF8">
        <w:t xml:space="preserve"> of reference</w:t>
      </w:r>
      <w:r w:rsidR="00A402B5">
        <w:t xml:space="preserve">, </w:t>
      </w:r>
      <w:r w:rsidR="008B3DF8">
        <w:t>announced to the Executive Board at the first regular session in 2019. The term</w:t>
      </w:r>
      <w:r>
        <w:t>s</w:t>
      </w:r>
      <w:r w:rsidR="008B3DF8">
        <w:t xml:space="preserve"> of reference is laid out in Executive Office Instruction</w:t>
      </w:r>
      <w:r w:rsidR="000A1751">
        <w:t xml:space="preserve"> “Audit Advisory Committee”</w:t>
      </w:r>
      <w:r w:rsidR="008B3DF8">
        <w:t xml:space="preserve"> (</w:t>
      </w:r>
      <w:hyperlink r:id="rId13" w:history="1">
        <w:r w:rsidR="008B3DF8" w:rsidRPr="005D525A">
          <w:rPr>
            <w:rStyle w:val="Hyperlink"/>
          </w:rPr>
          <w:t>EOI.ED.2019.02</w:t>
        </w:r>
      </w:hyperlink>
      <w:r w:rsidR="008B3DF8">
        <w:t>).</w:t>
      </w:r>
    </w:p>
    <w:p w14:paraId="2536A65D" w14:textId="77777777" w:rsidR="008B3DF8" w:rsidRDefault="00E54E8A" w:rsidP="00CE62E0">
      <w:pPr>
        <w:tabs>
          <w:tab w:val="clear" w:pos="284"/>
          <w:tab w:val="left" w:pos="426"/>
        </w:tabs>
      </w:pPr>
      <w:r>
        <w:t>5</w:t>
      </w:r>
      <w:r w:rsidR="008B3DF8">
        <w:t>.</w:t>
      </w:r>
      <w:r w:rsidR="008B3DF8">
        <w:tab/>
      </w:r>
      <w:r w:rsidR="008B3DF8" w:rsidRPr="00BB0030">
        <w:t xml:space="preserve">Pursuant to </w:t>
      </w:r>
      <w:r>
        <w:t xml:space="preserve">the </w:t>
      </w:r>
      <w:r w:rsidR="008B3DF8">
        <w:t>term</w:t>
      </w:r>
      <w:r>
        <w:t>s</w:t>
      </w:r>
      <w:r w:rsidR="008B3DF8">
        <w:t xml:space="preserve"> of reference</w:t>
      </w:r>
      <w:r w:rsidR="008B3DF8" w:rsidRPr="00BB0030">
        <w:t xml:space="preserve">, </w:t>
      </w:r>
      <w:r>
        <w:t xml:space="preserve">the </w:t>
      </w:r>
      <w:r w:rsidR="008B3DF8" w:rsidRPr="00BB0030">
        <w:t xml:space="preserve">purpose </w:t>
      </w:r>
      <w:r>
        <w:t xml:space="preserve">of the Committee </w:t>
      </w:r>
      <w:r w:rsidR="008B3DF8" w:rsidRPr="00BB0030">
        <w:t>is to assist the Executive Director in fulfilling his/her responsibilities regarding oversight, financial management and reporting, internal audit and investigation, external audit, risk management, systems of internal control and accountability</w:t>
      </w:r>
      <w:r w:rsidR="008B3DF8">
        <w:t>, and application of best practices and industry standards for strategy implementation</w:t>
      </w:r>
      <w:r w:rsidR="00467A82">
        <w:t>.</w:t>
      </w:r>
    </w:p>
    <w:p w14:paraId="3C9905CB" w14:textId="77777777" w:rsidR="008B3DF8" w:rsidRPr="00317448" w:rsidRDefault="00E54E8A" w:rsidP="00CE62E0">
      <w:pPr>
        <w:tabs>
          <w:tab w:val="clear" w:pos="284"/>
          <w:tab w:val="left" w:pos="426"/>
        </w:tabs>
      </w:pPr>
      <w:r>
        <w:t>6</w:t>
      </w:r>
      <w:r w:rsidR="008B3DF8">
        <w:t>.</w:t>
      </w:r>
      <w:r w:rsidR="008B3DF8">
        <w:tab/>
      </w:r>
      <w:r w:rsidR="008B3DF8" w:rsidRPr="00BB0030">
        <w:t>The primary role of the Committee is to advise the Executive Director, taking into consideration the Financial and Staff Regulation</w:t>
      </w:r>
      <w:r w:rsidR="008B3DF8" w:rsidRPr="00317448">
        <w:t>s</w:t>
      </w:r>
      <w:r w:rsidR="008B3DF8" w:rsidRPr="00BB0030">
        <w:t xml:space="preserve"> and Rules as well as the policies and procedures applicable to UNOPS and its operating </w:t>
      </w:r>
      <w:r w:rsidR="008B3DF8" w:rsidRPr="00317448">
        <w:t>environment.</w:t>
      </w:r>
    </w:p>
    <w:p w14:paraId="55800593" w14:textId="77777777" w:rsidR="007C4F5C" w:rsidRDefault="00420C9D" w:rsidP="00CE62E0">
      <w:pPr>
        <w:tabs>
          <w:tab w:val="clear" w:pos="284"/>
          <w:tab w:val="left" w:pos="426"/>
        </w:tabs>
      </w:pPr>
      <w:r>
        <w:t>7.</w:t>
      </w:r>
      <w:r>
        <w:tab/>
        <w:t xml:space="preserve">During </w:t>
      </w:r>
      <w:r w:rsidR="007C4F5C">
        <w:t>20</w:t>
      </w:r>
      <w:r>
        <w:t>19</w:t>
      </w:r>
      <w:r w:rsidR="007C4F5C">
        <w:t>, the Committee held four meetings (March, May, September and December). Through these meetings the Committee was able to carry out its mandate of providing advice to the UNO</w:t>
      </w:r>
      <w:r>
        <w:t>PS Executive Director in mandated</w:t>
      </w:r>
      <w:r w:rsidR="007C4F5C">
        <w:t xml:space="preserve"> areas.</w:t>
      </w:r>
    </w:p>
    <w:p w14:paraId="2B62C786" w14:textId="77777777" w:rsidR="0056043B" w:rsidRDefault="007C4F5C" w:rsidP="00CE62E0">
      <w:pPr>
        <w:tabs>
          <w:tab w:val="clear" w:pos="284"/>
          <w:tab w:val="left" w:pos="426"/>
        </w:tabs>
      </w:pPr>
      <w:r>
        <w:t>8</w:t>
      </w:r>
      <w:r w:rsidR="0056043B">
        <w:t>.</w:t>
      </w:r>
      <w:r w:rsidR="0056043B">
        <w:tab/>
      </w:r>
      <w:r w:rsidR="005B7009" w:rsidRPr="00450D57">
        <w:t xml:space="preserve">In </w:t>
      </w:r>
      <w:r>
        <w:t xml:space="preserve">December </w:t>
      </w:r>
      <w:r w:rsidR="005B7009" w:rsidRPr="00450D57">
        <w:t>201</w:t>
      </w:r>
      <w:r w:rsidR="008B3DF8">
        <w:t>9</w:t>
      </w:r>
      <w:r w:rsidR="005B7009" w:rsidRPr="00450D57">
        <w:t xml:space="preserve">, the </w:t>
      </w:r>
      <w:r w:rsidR="005B7009">
        <w:t>C</w:t>
      </w:r>
      <w:r w:rsidR="005B7009" w:rsidRPr="00450D57">
        <w:t xml:space="preserve">hair participated in the </w:t>
      </w:r>
      <w:r w:rsidR="008B3DF8">
        <w:t>fourth</w:t>
      </w:r>
      <w:r w:rsidR="005B7009">
        <w:t xml:space="preserve"> </w:t>
      </w:r>
      <w:r w:rsidR="005B7009" w:rsidRPr="00450D57">
        <w:t xml:space="preserve">meeting of </w:t>
      </w:r>
      <w:r w:rsidR="00F74B90">
        <w:t>the United Nations sy</w:t>
      </w:r>
      <w:r w:rsidR="005B7009" w:rsidRPr="00450D57">
        <w:t xml:space="preserve">stem </w:t>
      </w:r>
      <w:r w:rsidR="00F74B90">
        <w:t>o</w:t>
      </w:r>
      <w:r w:rsidR="005B7009" w:rsidRPr="00450D57">
        <w:t xml:space="preserve">versight </w:t>
      </w:r>
      <w:r w:rsidR="00F74B90">
        <w:t>c</w:t>
      </w:r>
      <w:r w:rsidR="005B7009" w:rsidRPr="00450D57">
        <w:t>ommittees</w:t>
      </w:r>
      <w:r w:rsidR="0056043B">
        <w:t>.</w:t>
      </w:r>
    </w:p>
    <w:p w14:paraId="078D2178" w14:textId="77777777" w:rsidR="00E54E8A" w:rsidRDefault="007C4F5C" w:rsidP="00CE62E0">
      <w:pPr>
        <w:tabs>
          <w:tab w:val="clear" w:pos="284"/>
          <w:tab w:val="left" w:pos="426"/>
        </w:tabs>
      </w:pPr>
      <w:r>
        <w:t>9</w:t>
      </w:r>
      <w:r w:rsidR="00E54E8A">
        <w:t>.</w:t>
      </w:r>
      <w:r w:rsidR="00E54E8A">
        <w:tab/>
      </w:r>
      <w:r>
        <w:t>Throughout the year th</w:t>
      </w:r>
      <w:r w:rsidR="00E54E8A">
        <w:t xml:space="preserve">e Executive Director </w:t>
      </w:r>
      <w:r w:rsidR="00E54E8A" w:rsidRPr="00AD5CA0">
        <w:t>pro</w:t>
      </w:r>
      <w:r w:rsidR="00E54E8A">
        <w:t xml:space="preserve">vided </w:t>
      </w:r>
      <w:r w:rsidR="00E54E8A" w:rsidRPr="00AD5CA0">
        <w:t xml:space="preserve">secretariat </w:t>
      </w:r>
      <w:r w:rsidR="00E54E8A">
        <w:t>for the C</w:t>
      </w:r>
      <w:r w:rsidR="00420C9D">
        <w:t>ommittee. The Committee commended</w:t>
      </w:r>
      <w:r w:rsidR="00E54E8A">
        <w:t xml:space="preserve"> the substantive quality, effectiveness and timeliness of support provided by the executive secretariat.</w:t>
      </w:r>
    </w:p>
    <w:p w14:paraId="4C49BE80" w14:textId="77777777" w:rsidR="005F0309" w:rsidRDefault="007356AD" w:rsidP="005F044A">
      <w:pPr>
        <w:pStyle w:val="Heading1"/>
      </w:pPr>
      <w:bookmarkStart w:id="2" w:name="_Toc3541962"/>
      <w:bookmarkStart w:id="3" w:name="_Toc34638430"/>
      <w:r>
        <w:t>External g</w:t>
      </w:r>
      <w:r w:rsidR="00EE1159">
        <w:t xml:space="preserve">overnance </w:t>
      </w:r>
      <w:r>
        <w:t xml:space="preserve">by the </w:t>
      </w:r>
      <w:r w:rsidR="005F0309" w:rsidRPr="009F75D2">
        <w:t>Executive Board</w:t>
      </w:r>
      <w:bookmarkEnd w:id="2"/>
      <w:bookmarkEnd w:id="3"/>
    </w:p>
    <w:p w14:paraId="441E2066" w14:textId="77777777" w:rsidR="007833F3" w:rsidRDefault="0044738E" w:rsidP="00CE62E0">
      <w:pPr>
        <w:tabs>
          <w:tab w:val="clear" w:pos="284"/>
          <w:tab w:val="left" w:pos="426"/>
        </w:tabs>
      </w:pPr>
      <w:r>
        <w:t>10</w:t>
      </w:r>
      <w:r w:rsidR="00F26A58">
        <w:t>.</w:t>
      </w:r>
      <w:r w:rsidR="00F26A58">
        <w:tab/>
      </w:r>
      <w:r w:rsidR="009874DC" w:rsidRPr="00ED1CA8">
        <w:t xml:space="preserve">Throughout the year, the Committee reviewed and provided advice on </w:t>
      </w:r>
      <w:r w:rsidR="00083EDC" w:rsidRPr="00ED1CA8">
        <w:t>relevant governance</w:t>
      </w:r>
      <w:r w:rsidR="009874DC" w:rsidRPr="00ED1CA8">
        <w:t xml:space="preserve"> reports and followed the outcomes of UNOPS official reporting to the Executive Board</w:t>
      </w:r>
      <w:r w:rsidR="00B20DB0">
        <w:t>, including</w:t>
      </w:r>
      <w:r w:rsidR="009874DC" w:rsidRPr="00C220E0">
        <w:t>:</w:t>
      </w:r>
    </w:p>
    <w:p w14:paraId="52CDB21C" w14:textId="77777777" w:rsidR="0076370F" w:rsidRDefault="00252DCC" w:rsidP="0076370F">
      <w:pPr>
        <w:pStyle w:val="ListParagraph"/>
        <w:numPr>
          <w:ilvl w:val="0"/>
          <w:numId w:val="39"/>
        </w:numPr>
        <w:ind w:left="714" w:hanging="357"/>
        <w:rPr>
          <w:szCs w:val="20"/>
        </w:rPr>
      </w:pPr>
      <w:r w:rsidRPr="0076370F">
        <w:rPr>
          <w:szCs w:val="20"/>
        </w:rPr>
        <w:t>Annual report of the Executive Director</w:t>
      </w:r>
      <w:r w:rsidR="00502527" w:rsidRPr="0076370F">
        <w:rPr>
          <w:szCs w:val="20"/>
        </w:rPr>
        <w:t xml:space="preserve"> </w:t>
      </w:r>
      <w:r w:rsidR="000C1938" w:rsidRPr="0076370F">
        <w:rPr>
          <w:szCs w:val="20"/>
        </w:rPr>
        <w:t>(</w:t>
      </w:r>
      <w:hyperlink r:id="rId14" w:history="1">
        <w:r w:rsidR="000A3C1A" w:rsidRPr="00467A82">
          <w:rPr>
            <w:rStyle w:val="Hyperlink"/>
            <w:szCs w:val="20"/>
          </w:rPr>
          <w:t>DP/OPS/201</w:t>
        </w:r>
        <w:r w:rsidR="00E33D72" w:rsidRPr="00467A82">
          <w:rPr>
            <w:rStyle w:val="Hyperlink"/>
            <w:szCs w:val="20"/>
          </w:rPr>
          <w:t>9</w:t>
        </w:r>
        <w:r w:rsidR="00D31AC3" w:rsidRPr="00467A82">
          <w:rPr>
            <w:rStyle w:val="Hyperlink"/>
            <w:szCs w:val="20"/>
          </w:rPr>
          <w:t>/2</w:t>
        </w:r>
      </w:hyperlink>
      <w:r w:rsidR="00C64A24" w:rsidRPr="0076370F">
        <w:rPr>
          <w:szCs w:val="20"/>
        </w:rPr>
        <w:t>)</w:t>
      </w:r>
    </w:p>
    <w:p w14:paraId="3836B9D5" w14:textId="77777777" w:rsidR="0076370F" w:rsidRDefault="0076370F" w:rsidP="0076370F">
      <w:pPr>
        <w:pStyle w:val="ListParagraph"/>
        <w:numPr>
          <w:ilvl w:val="0"/>
          <w:numId w:val="39"/>
        </w:numPr>
        <w:ind w:left="714" w:hanging="357"/>
        <w:rPr>
          <w:szCs w:val="20"/>
        </w:rPr>
      </w:pPr>
      <w:r>
        <w:rPr>
          <w:szCs w:val="20"/>
        </w:rPr>
        <w:t>UNOPS annual report on the recommendations of the Joint Inspection Unit (</w:t>
      </w:r>
      <w:hyperlink r:id="rId15" w:history="1">
        <w:r w:rsidRPr="00467A82">
          <w:rPr>
            <w:rStyle w:val="Hyperlink"/>
            <w:szCs w:val="20"/>
          </w:rPr>
          <w:t>DP/OPS/2019/2 – Annex 4</w:t>
        </w:r>
      </w:hyperlink>
      <w:r>
        <w:rPr>
          <w:szCs w:val="20"/>
        </w:rPr>
        <w:t>)</w:t>
      </w:r>
    </w:p>
    <w:p w14:paraId="2683FC2B" w14:textId="77777777" w:rsidR="009874DC" w:rsidRPr="0076370F" w:rsidRDefault="0076370F" w:rsidP="0076370F">
      <w:pPr>
        <w:pStyle w:val="ListParagraph"/>
        <w:numPr>
          <w:ilvl w:val="0"/>
          <w:numId w:val="39"/>
        </w:numPr>
        <w:ind w:left="714" w:hanging="357"/>
        <w:rPr>
          <w:szCs w:val="20"/>
        </w:rPr>
      </w:pPr>
      <w:r>
        <w:rPr>
          <w:szCs w:val="20"/>
        </w:rPr>
        <w:t xml:space="preserve">Proposal to establish a UNOPS Client Board to replace the Policy Advisory Committee </w:t>
      </w:r>
      <w:hyperlink r:id="rId16" w:history="1">
        <w:r w:rsidRPr="00467A82">
          <w:rPr>
            <w:rStyle w:val="Hyperlink"/>
            <w:szCs w:val="20"/>
          </w:rPr>
          <w:t>(DP/OPS/209/CRP.1</w:t>
        </w:r>
      </w:hyperlink>
      <w:r>
        <w:rPr>
          <w:szCs w:val="20"/>
        </w:rPr>
        <w:t xml:space="preserve">) </w:t>
      </w:r>
      <w:r w:rsidR="00252DCC" w:rsidRPr="0076370F">
        <w:rPr>
          <w:szCs w:val="20"/>
        </w:rPr>
        <w:t xml:space="preserve"> </w:t>
      </w:r>
    </w:p>
    <w:p w14:paraId="306DC4A8" w14:textId="77777777" w:rsidR="0015105F" w:rsidRPr="0076370F" w:rsidRDefault="0015105F" w:rsidP="0076370F">
      <w:pPr>
        <w:pStyle w:val="ListParagraph"/>
        <w:numPr>
          <w:ilvl w:val="0"/>
          <w:numId w:val="39"/>
        </w:numPr>
        <w:ind w:left="714" w:hanging="357"/>
        <w:rPr>
          <w:szCs w:val="20"/>
        </w:rPr>
      </w:pPr>
      <w:r w:rsidRPr="0076370F">
        <w:rPr>
          <w:szCs w:val="20"/>
        </w:rPr>
        <w:t>Activities of the UNOPS Ethics Office</w:t>
      </w:r>
      <w:r w:rsidR="00C64A24" w:rsidRPr="0076370F">
        <w:rPr>
          <w:szCs w:val="20"/>
        </w:rPr>
        <w:t xml:space="preserve"> in 201</w:t>
      </w:r>
      <w:r w:rsidR="0076370F">
        <w:rPr>
          <w:szCs w:val="20"/>
        </w:rPr>
        <w:t>8</w:t>
      </w:r>
      <w:r w:rsidRPr="0076370F">
        <w:rPr>
          <w:szCs w:val="20"/>
        </w:rPr>
        <w:t xml:space="preserve"> (</w:t>
      </w:r>
      <w:hyperlink r:id="rId17" w:history="1">
        <w:r w:rsidR="009B061B" w:rsidRPr="00467A82">
          <w:rPr>
            <w:rStyle w:val="Hyperlink"/>
            <w:szCs w:val="20"/>
          </w:rPr>
          <w:t>DP/OPS/201</w:t>
        </w:r>
        <w:r w:rsidR="00E33D72" w:rsidRPr="00467A82">
          <w:rPr>
            <w:rStyle w:val="Hyperlink"/>
            <w:szCs w:val="20"/>
          </w:rPr>
          <w:t>9</w:t>
        </w:r>
        <w:r w:rsidR="00960FAB" w:rsidRPr="00467A82">
          <w:rPr>
            <w:rStyle w:val="Hyperlink"/>
            <w:szCs w:val="20"/>
          </w:rPr>
          <w:t>/</w:t>
        </w:r>
        <w:r w:rsidR="0076370F" w:rsidRPr="00467A82">
          <w:rPr>
            <w:rStyle w:val="Hyperlink"/>
            <w:szCs w:val="20"/>
          </w:rPr>
          <w:t>3</w:t>
        </w:r>
      </w:hyperlink>
      <w:r w:rsidRPr="0076370F">
        <w:rPr>
          <w:szCs w:val="20"/>
        </w:rPr>
        <w:t>)</w:t>
      </w:r>
    </w:p>
    <w:p w14:paraId="7E1E1BFF" w14:textId="77777777" w:rsidR="0076370F" w:rsidRPr="0076370F" w:rsidRDefault="0076370F" w:rsidP="0076370F">
      <w:pPr>
        <w:pStyle w:val="ListParagraph"/>
        <w:numPr>
          <w:ilvl w:val="0"/>
          <w:numId w:val="39"/>
        </w:numPr>
        <w:ind w:left="714" w:hanging="357"/>
        <w:rPr>
          <w:szCs w:val="20"/>
        </w:rPr>
      </w:pPr>
      <w:r>
        <w:rPr>
          <w:szCs w:val="20"/>
        </w:rPr>
        <w:t xml:space="preserve">UNOPS: Annual report of the </w:t>
      </w:r>
      <w:r w:rsidRPr="0076370F">
        <w:rPr>
          <w:szCs w:val="20"/>
        </w:rPr>
        <w:t>Internal Audit and Investigations Group</w:t>
      </w:r>
      <w:r>
        <w:rPr>
          <w:szCs w:val="20"/>
        </w:rPr>
        <w:t xml:space="preserve"> on internal audit and investigations activities in 2018</w:t>
      </w:r>
      <w:r w:rsidRPr="0076370F">
        <w:rPr>
          <w:szCs w:val="20"/>
        </w:rPr>
        <w:t xml:space="preserve"> (</w:t>
      </w:r>
      <w:hyperlink r:id="rId18" w:history="1">
        <w:r w:rsidRPr="00467A82">
          <w:rPr>
            <w:rStyle w:val="Hyperlink"/>
            <w:szCs w:val="20"/>
          </w:rPr>
          <w:t>DP/OPS/2019/4</w:t>
        </w:r>
      </w:hyperlink>
      <w:r w:rsidRPr="0076370F">
        <w:rPr>
          <w:szCs w:val="20"/>
        </w:rPr>
        <w:t>)</w:t>
      </w:r>
    </w:p>
    <w:p w14:paraId="642503F7" w14:textId="77777777" w:rsidR="003D3FEE" w:rsidRPr="0076370F" w:rsidRDefault="00E33D72" w:rsidP="0076370F">
      <w:pPr>
        <w:pStyle w:val="ListParagraph"/>
        <w:numPr>
          <w:ilvl w:val="0"/>
          <w:numId w:val="39"/>
        </w:numPr>
        <w:ind w:left="714" w:hanging="357"/>
        <w:rPr>
          <w:szCs w:val="20"/>
        </w:rPr>
      </w:pPr>
      <w:r w:rsidRPr="0076370F">
        <w:rPr>
          <w:szCs w:val="20"/>
        </w:rPr>
        <w:lastRenderedPageBreak/>
        <w:t xml:space="preserve">UNOPS budget estimates for the biennium 2020-2021 </w:t>
      </w:r>
      <w:r w:rsidR="003D3FEE" w:rsidRPr="0076370F">
        <w:rPr>
          <w:szCs w:val="20"/>
        </w:rPr>
        <w:t>(</w:t>
      </w:r>
      <w:hyperlink r:id="rId19" w:history="1">
        <w:r w:rsidR="003D3FEE" w:rsidRPr="00467A82">
          <w:rPr>
            <w:rStyle w:val="Hyperlink"/>
            <w:szCs w:val="20"/>
          </w:rPr>
          <w:t>DP/OPS/201</w:t>
        </w:r>
        <w:r w:rsidRPr="00467A82">
          <w:rPr>
            <w:rStyle w:val="Hyperlink"/>
            <w:szCs w:val="20"/>
          </w:rPr>
          <w:t>9</w:t>
        </w:r>
        <w:r w:rsidR="003D3FEE" w:rsidRPr="00467A82">
          <w:rPr>
            <w:rStyle w:val="Hyperlink"/>
            <w:szCs w:val="20"/>
          </w:rPr>
          <w:t>/</w:t>
        </w:r>
        <w:r w:rsidRPr="00467A82">
          <w:rPr>
            <w:rStyle w:val="Hyperlink"/>
            <w:szCs w:val="20"/>
          </w:rPr>
          <w:t>5</w:t>
        </w:r>
      </w:hyperlink>
      <w:r w:rsidR="003D3FEE" w:rsidRPr="0076370F">
        <w:rPr>
          <w:szCs w:val="20"/>
        </w:rPr>
        <w:t>)</w:t>
      </w:r>
    </w:p>
    <w:p w14:paraId="7B15FE28" w14:textId="77777777" w:rsidR="00E33D72" w:rsidRPr="0076370F" w:rsidRDefault="00E33D72" w:rsidP="0076370F">
      <w:pPr>
        <w:pStyle w:val="ListParagraph"/>
        <w:numPr>
          <w:ilvl w:val="0"/>
          <w:numId w:val="39"/>
        </w:numPr>
        <w:ind w:left="714" w:hanging="357"/>
        <w:rPr>
          <w:szCs w:val="20"/>
        </w:rPr>
      </w:pPr>
      <w:r w:rsidRPr="0076370F">
        <w:rPr>
          <w:szCs w:val="20"/>
        </w:rPr>
        <w:t xml:space="preserve">Report of the </w:t>
      </w:r>
      <w:r w:rsidR="0076370F" w:rsidRPr="0076370F">
        <w:rPr>
          <w:szCs w:val="20"/>
        </w:rPr>
        <w:t>Advisory Committee on Administrative and Budgetary Questions on the UNOPS budget estimates for the biennium 2020-2021 (</w:t>
      </w:r>
      <w:hyperlink r:id="rId20" w:history="1">
        <w:r w:rsidR="0076370F" w:rsidRPr="00467A82">
          <w:rPr>
            <w:rStyle w:val="Hyperlink"/>
            <w:szCs w:val="20"/>
          </w:rPr>
          <w:t>DP/OPS/2019/6</w:t>
        </w:r>
      </w:hyperlink>
      <w:r w:rsidR="0076370F" w:rsidRPr="0076370F">
        <w:rPr>
          <w:szCs w:val="20"/>
        </w:rPr>
        <w:t>)</w:t>
      </w:r>
    </w:p>
    <w:p w14:paraId="15C44629" w14:textId="77777777" w:rsidR="00C841E2" w:rsidRPr="0076370F" w:rsidRDefault="00C841E2" w:rsidP="0076370F">
      <w:pPr>
        <w:pStyle w:val="ListParagraph"/>
        <w:numPr>
          <w:ilvl w:val="0"/>
          <w:numId w:val="39"/>
        </w:numPr>
        <w:ind w:left="714" w:hanging="357"/>
        <w:rPr>
          <w:szCs w:val="20"/>
        </w:rPr>
      </w:pPr>
      <w:r w:rsidRPr="0076370F">
        <w:rPr>
          <w:szCs w:val="20"/>
        </w:rPr>
        <w:t>Financial report and audited financial statements for the year ended 31 December 201</w:t>
      </w:r>
      <w:r w:rsidR="00E33D72" w:rsidRPr="0076370F">
        <w:rPr>
          <w:szCs w:val="20"/>
        </w:rPr>
        <w:t>8</w:t>
      </w:r>
      <w:r w:rsidRPr="0076370F">
        <w:rPr>
          <w:szCs w:val="20"/>
        </w:rPr>
        <w:t xml:space="preserve"> and Report of the Board of Auditors (</w:t>
      </w:r>
      <w:hyperlink r:id="rId21" w:history="1">
        <w:r w:rsidRPr="007C6E4C">
          <w:rPr>
            <w:rStyle w:val="Hyperlink"/>
            <w:szCs w:val="20"/>
          </w:rPr>
          <w:t>A/7</w:t>
        </w:r>
        <w:r w:rsidR="00E33D72" w:rsidRPr="007C6E4C">
          <w:rPr>
            <w:rStyle w:val="Hyperlink"/>
            <w:szCs w:val="20"/>
          </w:rPr>
          <w:t>4</w:t>
        </w:r>
        <w:r w:rsidRPr="007C6E4C">
          <w:rPr>
            <w:rStyle w:val="Hyperlink"/>
            <w:szCs w:val="20"/>
          </w:rPr>
          <w:t>/5/Add.11</w:t>
        </w:r>
      </w:hyperlink>
      <w:r w:rsidRPr="0076370F">
        <w:rPr>
          <w:szCs w:val="20"/>
        </w:rPr>
        <w:t>)</w:t>
      </w:r>
    </w:p>
    <w:p w14:paraId="25C44FAA" w14:textId="77777777" w:rsidR="00351BAE" w:rsidRPr="0076370F" w:rsidRDefault="00351BAE" w:rsidP="0076370F">
      <w:pPr>
        <w:pStyle w:val="ListParagraph"/>
        <w:numPr>
          <w:ilvl w:val="0"/>
          <w:numId w:val="39"/>
        </w:numPr>
        <w:ind w:left="714" w:hanging="357"/>
        <w:rPr>
          <w:szCs w:val="20"/>
        </w:rPr>
      </w:pPr>
      <w:r w:rsidRPr="0076370F">
        <w:rPr>
          <w:szCs w:val="20"/>
        </w:rPr>
        <w:t>Report of UNOPS on the status of implementation of the recommendations of the Board of Auditors for 201</w:t>
      </w:r>
      <w:r w:rsidR="00E33D72" w:rsidRPr="0076370F">
        <w:rPr>
          <w:szCs w:val="20"/>
        </w:rPr>
        <w:t>8</w:t>
      </w:r>
      <w:r w:rsidRPr="0076370F">
        <w:rPr>
          <w:szCs w:val="20"/>
        </w:rPr>
        <w:t xml:space="preserve"> (</w:t>
      </w:r>
      <w:hyperlink r:id="rId22" w:history="1">
        <w:r w:rsidRPr="007C6E4C">
          <w:rPr>
            <w:rStyle w:val="Hyperlink"/>
            <w:szCs w:val="20"/>
          </w:rPr>
          <w:t>DP/OPS/20</w:t>
        </w:r>
        <w:r w:rsidR="00E33D72" w:rsidRPr="007C6E4C">
          <w:rPr>
            <w:rStyle w:val="Hyperlink"/>
            <w:szCs w:val="20"/>
          </w:rPr>
          <w:t>20</w:t>
        </w:r>
        <w:r w:rsidRPr="007C6E4C">
          <w:rPr>
            <w:rStyle w:val="Hyperlink"/>
            <w:szCs w:val="20"/>
          </w:rPr>
          <w:t>/1</w:t>
        </w:r>
      </w:hyperlink>
      <w:r w:rsidRPr="0076370F">
        <w:rPr>
          <w:szCs w:val="20"/>
        </w:rPr>
        <w:t>)</w:t>
      </w:r>
    </w:p>
    <w:p w14:paraId="7730EC25" w14:textId="77777777" w:rsidR="00113D59" w:rsidRDefault="0044738E" w:rsidP="00CE62E0">
      <w:pPr>
        <w:tabs>
          <w:tab w:val="clear" w:pos="284"/>
          <w:tab w:val="left" w:pos="426"/>
        </w:tabs>
      </w:pPr>
      <w:r>
        <w:t>1</w:t>
      </w:r>
      <w:r w:rsidR="0001100F">
        <w:t>1</w:t>
      </w:r>
      <w:r w:rsidR="00113D59">
        <w:t>.</w:t>
      </w:r>
      <w:r w:rsidR="00113D59">
        <w:tab/>
        <w:t xml:space="preserve">In overall reflection on the </w:t>
      </w:r>
      <w:r>
        <w:t>manda</w:t>
      </w:r>
      <w:r w:rsidR="00420C9D">
        <w:t>ted</w:t>
      </w:r>
      <w:r>
        <w:t xml:space="preserve"> </w:t>
      </w:r>
      <w:r w:rsidR="00113D59">
        <w:t>governance reports, the Committee note</w:t>
      </w:r>
      <w:r w:rsidR="00420C9D">
        <w:t>d</w:t>
      </w:r>
      <w:r w:rsidR="00113D59">
        <w:t xml:space="preserve"> the organization’s diligence in ensuring compliance therewith</w:t>
      </w:r>
      <w:r w:rsidR="007E52BF">
        <w:t>,</w:t>
      </w:r>
      <w:r w:rsidR="00113D59">
        <w:t xml:space="preserve"> and </w:t>
      </w:r>
      <w:r w:rsidR="00BB3423">
        <w:t xml:space="preserve">to the extent possible </w:t>
      </w:r>
      <w:r w:rsidR="007E52BF">
        <w:t xml:space="preserve">enabling </w:t>
      </w:r>
      <w:r w:rsidR="00113D59">
        <w:t>the Committee’s engagement while the reports are still in draft. At the same time the Committee note</w:t>
      </w:r>
      <w:r w:rsidR="00420C9D">
        <w:t>d</w:t>
      </w:r>
      <w:r w:rsidR="00113D59">
        <w:t xml:space="preserve"> that the reporting requirements</w:t>
      </w:r>
      <w:r w:rsidR="007E52BF">
        <w:t>, when compared to experience from other sectors, seem</w:t>
      </w:r>
      <w:r w:rsidR="00420C9D">
        <w:t>ed</w:t>
      </w:r>
      <w:r w:rsidR="007E52BF">
        <w:t xml:space="preserve"> very elaborate and at times of a highly technical nature.</w:t>
      </w:r>
    </w:p>
    <w:p w14:paraId="2AE03AE8" w14:textId="77777777" w:rsidR="00387515" w:rsidRDefault="00387515" w:rsidP="005F044A">
      <w:pPr>
        <w:pStyle w:val="Heading1"/>
      </w:pPr>
      <w:bookmarkStart w:id="4" w:name="_Toc34638431"/>
      <w:r>
        <w:t>Strategy implementation</w:t>
      </w:r>
      <w:bookmarkEnd w:id="4"/>
    </w:p>
    <w:p w14:paraId="7740ACAC" w14:textId="77777777" w:rsidR="00062356" w:rsidRDefault="0044738E" w:rsidP="00CE62E0">
      <w:pPr>
        <w:tabs>
          <w:tab w:val="clear" w:pos="284"/>
          <w:tab w:val="left" w:pos="426"/>
        </w:tabs>
      </w:pPr>
      <w:r>
        <w:t>12</w:t>
      </w:r>
      <w:r w:rsidR="00387515">
        <w:t xml:space="preserve">. 2019 was the second year of the four-year UNOPS strategic plan, 2018-2021. Throughout the year the Executive Director kept the Committee abreast of </w:t>
      </w:r>
      <w:r w:rsidR="00083C14">
        <w:t xml:space="preserve">the progress in strategy implementation, including on </w:t>
      </w:r>
      <w:r w:rsidR="00387515">
        <w:t xml:space="preserve">special initiatives and focus areas. </w:t>
      </w:r>
      <w:r w:rsidR="001E1A9B">
        <w:t xml:space="preserve">The Committee noted that </w:t>
      </w:r>
      <w:r w:rsidR="00062356">
        <w:t>the organization</w:t>
      </w:r>
      <w:r w:rsidR="005A4A8A">
        <w:t>’</w:t>
      </w:r>
      <w:r w:rsidR="00062356">
        <w:t xml:space="preserve">s </w:t>
      </w:r>
      <w:r w:rsidR="001E1A9B">
        <w:t xml:space="preserve">overall </w:t>
      </w:r>
      <w:r w:rsidR="00062356">
        <w:t xml:space="preserve">activities </w:t>
      </w:r>
      <w:r w:rsidR="005A4A8A">
        <w:t xml:space="preserve">had been </w:t>
      </w:r>
      <w:r w:rsidR="001E1A9B">
        <w:t xml:space="preserve">very </w:t>
      </w:r>
      <w:r w:rsidR="00062356">
        <w:t xml:space="preserve">well aligned with the </w:t>
      </w:r>
      <w:r w:rsidR="005A4A8A">
        <w:t xml:space="preserve">value proposition and </w:t>
      </w:r>
      <w:r w:rsidR="00062356">
        <w:t>contribution goal</w:t>
      </w:r>
      <w:r w:rsidR="005A4A8A">
        <w:t>s</w:t>
      </w:r>
      <w:r w:rsidR="00062356">
        <w:t xml:space="preserve"> </w:t>
      </w:r>
      <w:r w:rsidR="001E1A9B">
        <w:t xml:space="preserve">in </w:t>
      </w:r>
      <w:r w:rsidR="00062356">
        <w:t>the strategic plan, with a clear focus on</w:t>
      </w:r>
      <w:r w:rsidR="00062356" w:rsidRPr="00062356">
        <w:t xml:space="preserve"> </w:t>
      </w:r>
      <w:r w:rsidR="00062356">
        <w:t xml:space="preserve">efficiency, effectiveness and </w:t>
      </w:r>
      <w:r w:rsidR="00574ADA">
        <w:t xml:space="preserve">expanding </w:t>
      </w:r>
      <w:r w:rsidR="00062356">
        <w:t>the pool of resources.</w:t>
      </w:r>
    </w:p>
    <w:p w14:paraId="072D2CE3" w14:textId="77777777" w:rsidR="000F7E54" w:rsidRPr="000F7E54" w:rsidRDefault="000F7E54" w:rsidP="00CE62E0">
      <w:pPr>
        <w:tabs>
          <w:tab w:val="clear" w:pos="284"/>
          <w:tab w:val="left" w:pos="426"/>
        </w:tabs>
        <w:rPr>
          <w:i/>
        </w:rPr>
      </w:pPr>
      <w:r w:rsidRPr="000F7E54">
        <w:rPr>
          <w:i/>
        </w:rPr>
        <w:t>Partnerships</w:t>
      </w:r>
    </w:p>
    <w:p w14:paraId="6B1FB13E" w14:textId="77777777" w:rsidR="005A4A8A" w:rsidRDefault="00736536" w:rsidP="00CE62E0">
      <w:pPr>
        <w:tabs>
          <w:tab w:val="clear" w:pos="284"/>
          <w:tab w:val="left" w:pos="426"/>
        </w:tabs>
      </w:pPr>
      <w:r>
        <w:t>13</w:t>
      </w:r>
      <w:r w:rsidR="00BC0A15">
        <w:t>.</w:t>
      </w:r>
      <w:r w:rsidR="00BC0A15">
        <w:tab/>
      </w:r>
      <w:r w:rsidR="00062356">
        <w:t xml:space="preserve">Briefed on the continued development of collaborative strategic partnerships, the Committee </w:t>
      </w:r>
      <w:r w:rsidR="00BC0A15">
        <w:t xml:space="preserve">noted </w:t>
      </w:r>
      <w:r w:rsidR="00062356">
        <w:t>that the partnership with the World Bank had been expanded</w:t>
      </w:r>
      <w:r w:rsidR="00546D0B">
        <w:t xml:space="preserve"> beyond</w:t>
      </w:r>
      <w:r w:rsidR="00062356">
        <w:t xml:space="preserve"> the Middle East</w:t>
      </w:r>
      <w:r w:rsidR="00546D0B">
        <w:t>,</w:t>
      </w:r>
      <w:r w:rsidR="00062356">
        <w:t xml:space="preserve"> and that partnerships where UNOPS work</w:t>
      </w:r>
      <w:r w:rsidR="000A1751">
        <w:t>s</w:t>
      </w:r>
      <w:r w:rsidR="00062356">
        <w:t xml:space="preserve"> directly with national governments had develop</w:t>
      </w:r>
      <w:r w:rsidR="000A1751">
        <w:t xml:space="preserve">ed particularly in </w:t>
      </w:r>
      <w:r w:rsidR="00062356">
        <w:t>Latin America</w:t>
      </w:r>
      <w:r w:rsidR="001E1A9B">
        <w:t xml:space="preserve">. The latter particularly in </w:t>
      </w:r>
      <w:r w:rsidR="00BC0A15">
        <w:t>the area of sustainable public procurement.</w:t>
      </w:r>
      <w:r w:rsidR="005A4A8A">
        <w:t xml:space="preserve"> The Committee commended the added emphasis on the organization</w:t>
      </w:r>
      <w:r w:rsidR="001E1A9B">
        <w:t>’</w:t>
      </w:r>
      <w:r w:rsidR="005A4A8A">
        <w:t>s ability to help governments fight fraud and corruption.</w:t>
      </w:r>
    </w:p>
    <w:p w14:paraId="39DF7AE1" w14:textId="77777777" w:rsidR="005A4A8A" w:rsidRDefault="00736536" w:rsidP="00CE62E0">
      <w:pPr>
        <w:tabs>
          <w:tab w:val="clear" w:pos="284"/>
          <w:tab w:val="left" w:pos="426"/>
        </w:tabs>
      </w:pPr>
      <w:r>
        <w:t>14</w:t>
      </w:r>
      <w:r w:rsidR="005A4A8A">
        <w:t>.</w:t>
      </w:r>
      <w:r w:rsidR="005A4A8A">
        <w:tab/>
      </w:r>
      <w:r w:rsidR="00BC0A15">
        <w:t>In relat</w:t>
      </w:r>
      <w:r w:rsidR="005A4A8A">
        <w:t xml:space="preserve">ion </w:t>
      </w:r>
      <w:r w:rsidR="00BC0A15">
        <w:t xml:space="preserve">to collaborative partnerships with sister agencies in the UN the Committee noted that </w:t>
      </w:r>
      <w:r w:rsidR="005A4A8A">
        <w:t>as the overall UNOPS portfolio has grown the UN share of activities had remained relatively stable.</w:t>
      </w:r>
    </w:p>
    <w:p w14:paraId="4D79DE2F" w14:textId="77777777" w:rsidR="000F7E54" w:rsidRPr="000F7E54" w:rsidRDefault="00574ADA" w:rsidP="00CE62E0">
      <w:pPr>
        <w:tabs>
          <w:tab w:val="clear" w:pos="284"/>
          <w:tab w:val="left" w:pos="426"/>
        </w:tabs>
        <w:rPr>
          <w:i/>
        </w:rPr>
      </w:pPr>
      <w:r>
        <w:rPr>
          <w:i/>
        </w:rPr>
        <w:t>Strategic g</w:t>
      </w:r>
      <w:r w:rsidR="000F7E54" w:rsidRPr="000F7E54">
        <w:rPr>
          <w:i/>
        </w:rPr>
        <w:t>oals and initiatives</w:t>
      </w:r>
    </w:p>
    <w:p w14:paraId="574D7FBF" w14:textId="77777777" w:rsidR="00BC0A15" w:rsidRDefault="00736536" w:rsidP="00CE62E0">
      <w:pPr>
        <w:tabs>
          <w:tab w:val="clear" w:pos="284"/>
          <w:tab w:val="left" w:pos="426"/>
        </w:tabs>
        <w:rPr>
          <w:lang w:val="en-GB"/>
        </w:rPr>
      </w:pPr>
      <w:r>
        <w:rPr>
          <w:lang w:val="en-GB"/>
        </w:rPr>
        <w:t>15</w:t>
      </w:r>
      <w:r w:rsidR="00050EFC" w:rsidRPr="006D352C">
        <w:rPr>
          <w:lang w:val="en-GB"/>
        </w:rPr>
        <w:t>.</w:t>
      </w:r>
      <w:r w:rsidR="00050EFC" w:rsidRPr="006D352C">
        <w:rPr>
          <w:lang w:val="en-GB"/>
        </w:rPr>
        <w:tab/>
        <w:t>During the year</w:t>
      </w:r>
      <w:r w:rsidR="00EE7684">
        <w:rPr>
          <w:lang w:val="en-GB"/>
        </w:rPr>
        <w:t>,</w:t>
      </w:r>
      <w:r w:rsidR="00050EFC" w:rsidRPr="006D352C">
        <w:rPr>
          <w:lang w:val="en-GB"/>
        </w:rPr>
        <w:t xml:space="preserve"> the Committee was kept abreast of the continued progress of the social impact investment initiative (S3I). </w:t>
      </w:r>
      <w:r w:rsidR="00BC0A15">
        <w:rPr>
          <w:lang w:val="en-GB"/>
        </w:rPr>
        <w:t>The Committee noted that 2018 had been a breakthrough year for the initiative</w:t>
      </w:r>
      <w:r w:rsidR="00EE7684">
        <w:rPr>
          <w:lang w:val="en-GB"/>
        </w:rPr>
        <w:t xml:space="preserve">, with the engagement in </w:t>
      </w:r>
      <w:r w:rsidR="00BC0A15">
        <w:rPr>
          <w:lang w:val="en-GB"/>
        </w:rPr>
        <w:t xml:space="preserve">a renewable energy initiative in Mexico, and </w:t>
      </w:r>
      <w:r w:rsidR="00EE7684">
        <w:rPr>
          <w:lang w:val="en-GB"/>
        </w:rPr>
        <w:t xml:space="preserve">in </w:t>
      </w:r>
      <w:r w:rsidR="00BC0A15">
        <w:rPr>
          <w:lang w:val="en-GB"/>
        </w:rPr>
        <w:t>social housing initiatives sponsored at the highest level</w:t>
      </w:r>
      <w:r w:rsidR="00EE7684">
        <w:rPr>
          <w:lang w:val="en-GB"/>
        </w:rPr>
        <w:t>s</w:t>
      </w:r>
      <w:r w:rsidR="00BC0A15">
        <w:rPr>
          <w:lang w:val="en-GB"/>
        </w:rPr>
        <w:t xml:space="preserve"> of government in Ghana and Kenya. In relation to the latter, it noted that UNOPS following a rigorous due diligence process had formed a strategic partnership with Sustainable Housing Solutions Holding</w:t>
      </w:r>
      <w:r w:rsidR="000A1751">
        <w:rPr>
          <w:lang w:val="en-GB"/>
        </w:rPr>
        <w:t xml:space="preserve"> (SHS)</w:t>
      </w:r>
      <w:r w:rsidR="00BC0A15">
        <w:rPr>
          <w:lang w:val="en-GB"/>
        </w:rPr>
        <w:t>.</w:t>
      </w:r>
      <w:r w:rsidR="000F7E54">
        <w:rPr>
          <w:lang w:val="en-GB"/>
        </w:rPr>
        <w:t xml:space="preserve"> During 2019</w:t>
      </w:r>
      <w:r w:rsidR="00EE7684">
        <w:rPr>
          <w:lang w:val="en-GB"/>
        </w:rPr>
        <w:t>,</w:t>
      </w:r>
      <w:r w:rsidR="000F7E54">
        <w:rPr>
          <w:lang w:val="en-GB"/>
        </w:rPr>
        <w:t xml:space="preserve"> the Committee continued to be kep</w:t>
      </w:r>
      <w:r w:rsidR="000A1751">
        <w:rPr>
          <w:lang w:val="en-GB"/>
        </w:rPr>
        <w:t>t</w:t>
      </w:r>
      <w:r w:rsidR="000F7E54">
        <w:rPr>
          <w:lang w:val="en-GB"/>
        </w:rPr>
        <w:t xml:space="preserve"> abreast of the initiative as it expanded into </w:t>
      </w:r>
      <w:r w:rsidR="00BC0A15">
        <w:rPr>
          <w:lang w:val="en-GB"/>
        </w:rPr>
        <w:t>India, Pakistan and the Caribbean</w:t>
      </w:r>
      <w:r w:rsidR="00EE7684">
        <w:rPr>
          <w:lang w:val="en-GB"/>
        </w:rPr>
        <w:t xml:space="preserve">, bringing the number of planned housing units to 860,000, </w:t>
      </w:r>
      <w:r w:rsidR="000A1751">
        <w:rPr>
          <w:lang w:val="en-GB"/>
        </w:rPr>
        <w:t xml:space="preserve">and thus </w:t>
      </w:r>
      <w:r w:rsidR="00EE7684">
        <w:rPr>
          <w:lang w:val="en-GB"/>
        </w:rPr>
        <w:t>making the initiative the biggest of its kind</w:t>
      </w:r>
      <w:r w:rsidR="000F7E54">
        <w:rPr>
          <w:lang w:val="en-GB"/>
        </w:rPr>
        <w:t>.</w:t>
      </w:r>
    </w:p>
    <w:p w14:paraId="532AB7F3" w14:textId="77777777" w:rsidR="00964729" w:rsidRDefault="00736536" w:rsidP="00CE62E0">
      <w:pPr>
        <w:tabs>
          <w:tab w:val="clear" w:pos="284"/>
          <w:tab w:val="left" w:pos="426"/>
        </w:tabs>
        <w:rPr>
          <w:lang w:val="en-GB"/>
        </w:rPr>
      </w:pPr>
      <w:r>
        <w:rPr>
          <w:lang w:val="en-GB"/>
        </w:rPr>
        <w:t>16</w:t>
      </w:r>
      <w:r w:rsidR="00964729">
        <w:rPr>
          <w:lang w:val="en-GB"/>
        </w:rPr>
        <w:t xml:space="preserve">. The Committee noted that </w:t>
      </w:r>
      <w:r w:rsidR="000A1751">
        <w:rPr>
          <w:lang w:val="en-GB"/>
        </w:rPr>
        <w:t xml:space="preserve">the </w:t>
      </w:r>
      <w:r w:rsidR="00964729">
        <w:rPr>
          <w:lang w:val="en-GB"/>
        </w:rPr>
        <w:t>S3I concept after having been shared with UN entities</w:t>
      </w:r>
      <w:r w:rsidR="000A1751">
        <w:rPr>
          <w:lang w:val="en-GB"/>
        </w:rPr>
        <w:t>,</w:t>
      </w:r>
      <w:r w:rsidR="00964729">
        <w:rPr>
          <w:lang w:val="en-GB"/>
        </w:rPr>
        <w:t xml:space="preserve"> had received strong endorsement and positive feedback by the Secretary-General and Deputy Secretary-General. By the end of 2019</w:t>
      </w:r>
      <w:r w:rsidR="00EE7684">
        <w:rPr>
          <w:lang w:val="en-GB"/>
        </w:rPr>
        <w:t>,</w:t>
      </w:r>
      <w:r w:rsidR="00964729">
        <w:rPr>
          <w:lang w:val="en-GB"/>
        </w:rPr>
        <w:t xml:space="preserve"> the initiative had reached a level of maturity justifying that it be established as a separate business unit </w:t>
      </w:r>
      <w:r w:rsidR="000A1751">
        <w:rPr>
          <w:lang w:val="en-GB"/>
        </w:rPr>
        <w:t xml:space="preserve">under the auspices of </w:t>
      </w:r>
      <w:r w:rsidR="00964729">
        <w:rPr>
          <w:lang w:val="en-GB"/>
        </w:rPr>
        <w:t xml:space="preserve">UNOPS.  </w:t>
      </w:r>
    </w:p>
    <w:p w14:paraId="28DFBEE5" w14:textId="77777777" w:rsidR="003E54BF" w:rsidRDefault="00736536" w:rsidP="00BF1C45">
      <w:pPr>
        <w:tabs>
          <w:tab w:val="clear" w:pos="284"/>
          <w:tab w:val="left" w:pos="426"/>
        </w:tabs>
      </w:pPr>
      <w:r>
        <w:t>17</w:t>
      </w:r>
      <w:r w:rsidR="000F7E54">
        <w:t>.</w:t>
      </w:r>
      <w:r w:rsidR="000F7E54">
        <w:tab/>
      </w:r>
      <w:r w:rsidR="00083C14">
        <w:t xml:space="preserve">The Committee noted </w:t>
      </w:r>
      <w:r w:rsidR="000F7E54">
        <w:t xml:space="preserve">the </w:t>
      </w:r>
      <w:r w:rsidR="00083C14">
        <w:t>significant progress in the implementation of the UNOPS social impact investment initiative</w:t>
      </w:r>
      <w:r w:rsidR="000F7E54">
        <w:t>. It noted that the initiative</w:t>
      </w:r>
      <w:r w:rsidR="003E54BF">
        <w:t xml:space="preserve"> is spearheading </w:t>
      </w:r>
      <w:r w:rsidR="000F7E54">
        <w:t xml:space="preserve">progress towards </w:t>
      </w:r>
      <w:r w:rsidR="003E54BF">
        <w:t xml:space="preserve">the UNOPS goal </w:t>
      </w:r>
      <w:r w:rsidR="00574ADA">
        <w:t>–</w:t>
      </w:r>
      <w:r w:rsidR="00553C65">
        <w:t xml:space="preserve"> </w:t>
      </w:r>
      <w:r w:rsidR="00574ADA">
        <w:t xml:space="preserve">to </w:t>
      </w:r>
      <w:r w:rsidR="003E54BF">
        <w:t xml:space="preserve">support countries </w:t>
      </w:r>
      <w:r w:rsidR="00870C83">
        <w:t xml:space="preserve">in </w:t>
      </w:r>
      <w:r w:rsidR="003E54BF">
        <w:t>expanding the pool and effect of resources available for the 2030 agenda.</w:t>
      </w:r>
      <w:r w:rsidR="000F7E54">
        <w:t xml:space="preserve"> Seconded by efforts in </w:t>
      </w:r>
      <w:r w:rsidR="003E54BF">
        <w:t>relation to sustainable public procurement and quality infrastructure</w:t>
      </w:r>
      <w:r w:rsidR="00BF1C45">
        <w:t xml:space="preserve">, the initiative is already making tangible </w:t>
      </w:r>
      <w:r w:rsidR="000F7E54">
        <w:t>contribution to the capacity of the domestic enabling environments</w:t>
      </w:r>
      <w:r w:rsidR="00964729">
        <w:t xml:space="preserve"> and is a novel in</w:t>
      </w:r>
      <w:r w:rsidR="00870C83">
        <w:t>itiative</w:t>
      </w:r>
      <w:r w:rsidR="00964729">
        <w:t xml:space="preserve"> not only within UNOPS, but within the wider UN system.</w:t>
      </w:r>
    </w:p>
    <w:p w14:paraId="2AAB13F6" w14:textId="77777777" w:rsidR="00553C65" w:rsidRDefault="00736536" w:rsidP="00CE62E0">
      <w:pPr>
        <w:tabs>
          <w:tab w:val="clear" w:pos="284"/>
          <w:tab w:val="left" w:pos="426"/>
        </w:tabs>
      </w:pPr>
      <w:r>
        <w:t>18</w:t>
      </w:r>
      <w:r w:rsidR="00EE7684">
        <w:t>.</w:t>
      </w:r>
      <w:r w:rsidR="00EE7684">
        <w:tab/>
        <w:t>T</w:t>
      </w:r>
      <w:r w:rsidR="00553C65">
        <w:t>he Committee noted that</w:t>
      </w:r>
      <w:r w:rsidR="00EE7684">
        <w:t>, due to the</w:t>
      </w:r>
      <w:r w:rsidR="00553C65">
        <w:t xml:space="preserve"> clear </w:t>
      </w:r>
      <w:r w:rsidR="00EE7684">
        <w:t xml:space="preserve">UNOPS </w:t>
      </w:r>
      <w:r w:rsidR="00553C65">
        <w:t>mandate and technical capacity</w:t>
      </w:r>
      <w:r w:rsidR="00EE7684">
        <w:t>,</w:t>
      </w:r>
      <w:r w:rsidR="00553C65">
        <w:t xml:space="preserve"> </w:t>
      </w:r>
      <w:r w:rsidR="00EE7684">
        <w:t xml:space="preserve">quality infrastructure </w:t>
      </w:r>
      <w:r w:rsidR="00553C65">
        <w:t xml:space="preserve">was increasingly being recognized by its partners as an area for collaboration. At the same </w:t>
      </w:r>
      <w:r w:rsidR="00553C65">
        <w:lastRenderedPageBreak/>
        <w:t>time</w:t>
      </w:r>
      <w:r w:rsidR="00870C83">
        <w:t>,</w:t>
      </w:r>
      <w:r w:rsidR="00553C65">
        <w:t xml:space="preserve"> it noted that the significant upfront investments </w:t>
      </w:r>
      <w:r w:rsidR="00870C83">
        <w:t>typically associated with quality infrastructure</w:t>
      </w:r>
      <w:r w:rsidR="00553C65">
        <w:t xml:space="preserve"> created hesitation </w:t>
      </w:r>
      <w:r w:rsidR="00870C83">
        <w:t>among</w:t>
      </w:r>
      <w:r w:rsidR="00553C65">
        <w:t xml:space="preserve"> government partners</w:t>
      </w:r>
      <w:r w:rsidR="00870C83">
        <w:t>,</w:t>
      </w:r>
      <w:r w:rsidR="00553C65">
        <w:t xml:space="preserve"> </w:t>
      </w:r>
      <w:r w:rsidR="00870C83">
        <w:t xml:space="preserve">thereby </w:t>
      </w:r>
      <w:r w:rsidR="00553C65">
        <w:t>exacerbating the need for clear messag</w:t>
      </w:r>
      <w:r w:rsidR="00870C83">
        <w:t>ing</w:t>
      </w:r>
      <w:r w:rsidR="00553C65">
        <w:t xml:space="preserve"> and high-level engagement.   </w:t>
      </w:r>
    </w:p>
    <w:p w14:paraId="002983C3" w14:textId="77777777" w:rsidR="008025A0" w:rsidRDefault="00736536" w:rsidP="008025A0">
      <w:pPr>
        <w:tabs>
          <w:tab w:val="clear" w:pos="284"/>
          <w:tab w:val="left" w:pos="426"/>
        </w:tabs>
      </w:pPr>
      <w:r>
        <w:t>19</w:t>
      </w:r>
      <w:r w:rsidR="008025A0">
        <w:t>.</w:t>
      </w:r>
      <w:r w:rsidR="008025A0">
        <w:tab/>
        <w:t>Briefed on the progress on the implementation of corporat</w:t>
      </w:r>
      <w:r w:rsidR="00EE7684">
        <w:t>e priorities the Committee commended</w:t>
      </w:r>
      <w:r w:rsidR="008025A0">
        <w:t xml:space="preserve"> the ambiti</w:t>
      </w:r>
      <w:r w:rsidR="00870C83">
        <w:t>ous</w:t>
      </w:r>
      <w:r w:rsidR="008025A0">
        <w:t xml:space="preserve"> targets and unwavering commitment to establish gender balance, as well as driving gender mainstreaming in implementation projects. It commended the strong commitment to gender parity which was aligned with the Secretary-General</w:t>
      </w:r>
      <w:r w:rsidR="00EE7684">
        <w:t>’</w:t>
      </w:r>
      <w:r w:rsidR="008025A0">
        <w:t>s focus and attention.</w:t>
      </w:r>
      <w:r>
        <w:t xml:space="preserve"> In relation to the organization</w:t>
      </w:r>
      <w:r w:rsidR="00EE7684">
        <w:t>’</w:t>
      </w:r>
      <w:r>
        <w:t>s strategic drive for strengthening knowledge management across the organization, it note</w:t>
      </w:r>
      <w:r w:rsidR="00EE7684">
        <w:t>d</w:t>
      </w:r>
      <w:r>
        <w:t xml:space="preserve"> </w:t>
      </w:r>
      <w:r w:rsidR="008025A0">
        <w:t>the particular attention to leverage digital platform</w:t>
      </w:r>
      <w:r w:rsidR="00EE7684">
        <w:t>s</w:t>
      </w:r>
      <w:r w:rsidR="008025A0">
        <w:t xml:space="preserve"> to support </w:t>
      </w:r>
      <w:r>
        <w:t>d</w:t>
      </w:r>
      <w:r w:rsidR="008025A0">
        <w:t>eployment</w:t>
      </w:r>
      <w:r>
        <w:t xml:space="preserve"> and linkages</w:t>
      </w:r>
      <w:r w:rsidR="00870C83">
        <w:t xml:space="preserve"> across the organization</w:t>
      </w:r>
      <w:r w:rsidR="008025A0">
        <w:t>.</w:t>
      </w:r>
    </w:p>
    <w:p w14:paraId="53B07694" w14:textId="77777777" w:rsidR="003E54BF" w:rsidRDefault="00736536" w:rsidP="003E54BF">
      <w:pPr>
        <w:tabs>
          <w:tab w:val="clear" w:pos="284"/>
          <w:tab w:val="left" w:pos="426"/>
        </w:tabs>
      </w:pPr>
      <w:r>
        <w:t>20</w:t>
      </w:r>
      <w:r w:rsidR="003E54BF">
        <w:t xml:space="preserve">. Briefed on the budget estimates for 2020-2021, the Committee noted the efforts to focus and simplify to organization’s key performance indicators. In the budget estimates </w:t>
      </w:r>
      <w:r w:rsidR="00870C83">
        <w:t>the organization</w:t>
      </w:r>
      <w:r w:rsidR="003E54BF">
        <w:t xml:space="preserve"> had reduced the number of indicators of management results from 47 to 13. </w:t>
      </w:r>
      <w:proofErr w:type="gramStart"/>
      <w:r w:rsidR="003E54BF">
        <w:t>Similarly</w:t>
      </w:r>
      <w:proofErr w:type="gramEnd"/>
      <w:r w:rsidR="003E54BF">
        <w:t xml:space="preserve"> it had initiated a process to identify a discrete set of indicators to gauge the effect of the sustainable implementation approaches applied in implementation projects. The Committee noted that the envisaged scope of the indicators to capture economic, social and environmental aspects (E2S) would establish a basis to more systematically capture contributions to the </w:t>
      </w:r>
      <w:r w:rsidR="004238CB">
        <w:t xml:space="preserve">UNOPS </w:t>
      </w:r>
      <w:r w:rsidR="003E54BF">
        <w:t xml:space="preserve">goal </w:t>
      </w:r>
      <w:r w:rsidR="00574ADA">
        <w:t>–</w:t>
      </w:r>
      <w:r w:rsidR="003E54BF">
        <w:t xml:space="preserve"> </w:t>
      </w:r>
      <w:r w:rsidR="00574ADA">
        <w:t xml:space="preserve">to </w:t>
      </w:r>
      <w:r w:rsidR="003E54BF">
        <w:t>help people through effective specialized technical expertise based on international norms and standards.</w:t>
      </w:r>
    </w:p>
    <w:p w14:paraId="33C1E216" w14:textId="77777777" w:rsidR="000F7E54" w:rsidRPr="007C4F5C" w:rsidRDefault="000F7E54" w:rsidP="000F7E54">
      <w:pPr>
        <w:rPr>
          <w:i/>
        </w:rPr>
      </w:pPr>
      <w:r>
        <w:rPr>
          <w:i/>
        </w:rPr>
        <w:t>Midterm review</w:t>
      </w:r>
    </w:p>
    <w:p w14:paraId="300B3172" w14:textId="77777777" w:rsidR="007A0183" w:rsidRDefault="00736536" w:rsidP="003E54BF">
      <w:pPr>
        <w:tabs>
          <w:tab w:val="clear" w:pos="284"/>
          <w:tab w:val="left" w:pos="426"/>
        </w:tabs>
      </w:pPr>
      <w:r>
        <w:t>21</w:t>
      </w:r>
      <w:r w:rsidR="00370092">
        <w:t>.</w:t>
      </w:r>
      <w:r w:rsidR="00370092">
        <w:tab/>
      </w:r>
      <w:r w:rsidR="007A0183">
        <w:t>The Committee was b</w:t>
      </w:r>
      <w:r w:rsidR="003E54BF">
        <w:t>riefed on the</w:t>
      </w:r>
      <w:r w:rsidR="00370092">
        <w:t xml:space="preserve"> scope and approach o</w:t>
      </w:r>
      <w:r w:rsidR="00870C83">
        <w:t>f</w:t>
      </w:r>
      <w:r w:rsidR="00370092">
        <w:t xml:space="preserve"> the midterm review of the strategic plan</w:t>
      </w:r>
      <w:r w:rsidR="00870C83">
        <w:t>,</w:t>
      </w:r>
      <w:r w:rsidR="00370092">
        <w:t xml:space="preserve"> scheduled for presentation to the Executive Board in the second half of 2020</w:t>
      </w:r>
      <w:r w:rsidR="007A0183">
        <w:t xml:space="preserve">. It </w:t>
      </w:r>
      <w:r w:rsidR="00370092">
        <w:t xml:space="preserve">noted that the review would </w:t>
      </w:r>
      <w:r w:rsidR="007A0183">
        <w:t xml:space="preserve">be a </w:t>
      </w:r>
      <w:r w:rsidR="00370092">
        <w:t>self-evaluation</w:t>
      </w:r>
      <w:r w:rsidR="007A0183">
        <w:t xml:space="preserve">, and that it was </w:t>
      </w:r>
      <w:r w:rsidR="00370092">
        <w:t xml:space="preserve">an opportunity to </w:t>
      </w:r>
      <w:r w:rsidR="00553C65">
        <w:t>do a comprehensive stock take of the first two year</w:t>
      </w:r>
      <w:r w:rsidR="00870C83">
        <w:t>s</w:t>
      </w:r>
      <w:r w:rsidR="00553C65">
        <w:t xml:space="preserve"> of the planning period. It further noted that the strategic framework was anticipated to remain unchanged, i.e.</w:t>
      </w:r>
      <w:r w:rsidR="00BF1C45" w:rsidRPr="00BF1C45">
        <w:t xml:space="preserve"> </w:t>
      </w:r>
      <w:r w:rsidR="00BF1C45">
        <w:t xml:space="preserve">rather than set </w:t>
      </w:r>
      <w:r w:rsidR="00870C83">
        <w:t xml:space="preserve">a </w:t>
      </w:r>
      <w:r w:rsidR="00BF1C45">
        <w:t xml:space="preserve">new overall direction, </w:t>
      </w:r>
      <w:r w:rsidR="00553C65">
        <w:t xml:space="preserve">the review would take stock of progress. </w:t>
      </w:r>
    </w:p>
    <w:p w14:paraId="3874B8E2" w14:textId="77777777" w:rsidR="00553C65" w:rsidRDefault="0010009C" w:rsidP="003E54BF">
      <w:pPr>
        <w:tabs>
          <w:tab w:val="clear" w:pos="284"/>
          <w:tab w:val="left" w:pos="426"/>
        </w:tabs>
      </w:pPr>
      <w:r>
        <w:t>22</w:t>
      </w:r>
      <w:r w:rsidR="007A0183">
        <w:t>.</w:t>
      </w:r>
      <w:r w:rsidR="007A0183">
        <w:tab/>
      </w:r>
      <w:r w:rsidR="000F7E54">
        <w:t>The Committee noted the significance and considerable scope of the review.</w:t>
      </w:r>
      <w:r w:rsidR="007A0183">
        <w:t xml:space="preserve"> It commended the envisaged approach and emphasized t</w:t>
      </w:r>
      <w:r w:rsidR="00870C83">
        <w:t>he</w:t>
      </w:r>
      <w:r w:rsidR="007A0183">
        <w:t xml:space="preserve"> importance of the opportunity to take stock of progress against the strategic plan, beyond day-to-day activities and projects</w:t>
      </w:r>
      <w:r w:rsidR="00870C83">
        <w:t>,</w:t>
      </w:r>
      <w:r w:rsidR="007A0183">
        <w:t xml:space="preserve"> and in context of global needs and developments. </w:t>
      </w:r>
    </w:p>
    <w:p w14:paraId="70E5811A" w14:textId="77777777" w:rsidR="00D91F23" w:rsidRDefault="0010009C" w:rsidP="003E54BF">
      <w:pPr>
        <w:tabs>
          <w:tab w:val="clear" w:pos="284"/>
          <w:tab w:val="left" w:pos="426"/>
        </w:tabs>
      </w:pPr>
      <w:r>
        <w:t>23</w:t>
      </w:r>
      <w:r w:rsidR="00AF30AF">
        <w:t>.</w:t>
      </w:r>
      <w:r w:rsidR="00AF30AF">
        <w:tab/>
      </w:r>
      <w:r w:rsidR="00870C83">
        <w:t>Further</w:t>
      </w:r>
      <w:r w:rsidR="000F7E54">
        <w:t>, the Committee n</w:t>
      </w:r>
      <w:r w:rsidR="00D91F23">
        <w:t xml:space="preserve">oted that UNOPS had used its global management meeting in 2019 as an opportunity to consult middle management on the implementation of its strategic plan. The assessment </w:t>
      </w:r>
      <w:r w:rsidR="007A0183">
        <w:t xml:space="preserve">and conversations </w:t>
      </w:r>
      <w:r w:rsidR="00D91F23">
        <w:t xml:space="preserve">had been framed based on the organization’s </w:t>
      </w:r>
      <w:r w:rsidR="007A0183">
        <w:t xml:space="preserve">strategic </w:t>
      </w:r>
      <w:r w:rsidR="00D91F23">
        <w:t>contribution and management goals. The Committee note</w:t>
      </w:r>
      <w:r w:rsidR="00AF30AF">
        <w:t>d</w:t>
      </w:r>
      <w:r w:rsidR="00D91F23">
        <w:t xml:space="preserve"> that the outcome of the </w:t>
      </w:r>
      <w:r w:rsidR="00AF30AF">
        <w:t>meetings</w:t>
      </w:r>
      <w:r w:rsidR="00D91F23">
        <w:t xml:space="preserve"> had been</w:t>
      </w:r>
      <w:r w:rsidR="00AF30AF">
        <w:t xml:space="preserve"> a strong commitment to strategic continuity a</w:t>
      </w:r>
      <w:r w:rsidR="00870C83">
        <w:t>nd vigilance in implementation.</w:t>
      </w:r>
    </w:p>
    <w:p w14:paraId="2F96BBD5" w14:textId="77777777" w:rsidR="007A0183" w:rsidRDefault="0010009C" w:rsidP="00736536">
      <w:pPr>
        <w:tabs>
          <w:tab w:val="clear" w:pos="284"/>
          <w:tab w:val="left" w:pos="426"/>
        </w:tabs>
      </w:pPr>
      <w:r>
        <w:t>24</w:t>
      </w:r>
      <w:r w:rsidR="00736536">
        <w:t>.</w:t>
      </w:r>
      <w:r w:rsidR="00736536">
        <w:tab/>
        <w:t xml:space="preserve">In relation the significant growth experienced by UNOPS the Committee cautioned that such growth levels should be </w:t>
      </w:r>
      <w:r w:rsidR="00736536" w:rsidRPr="00BF1C45">
        <w:t>actively managed so as not to become a source of risks.</w:t>
      </w:r>
      <w:r w:rsidR="00736536">
        <w:t xml:space="preserve"> In this context</w:t>
      </w:r>
      <w:r w:rsidR="00870C83">
        <w:t>,</w:t>
      </w:r>
      <w:r w:rsidR="00736536">
        <w:t xml:space="preserve"> the Committee noted that the challenge was not </w:t>
      </w:r>
      <w:r w:rsidR="00736536" w:rsidRPr="00BF1C45">
        <w:t>just in relation to the quantity of delivery, but also to expectations on quality of the same, i.e. on how UNOPS delivers, b</w:t>
      </w:r>
      <w:r w:rsidR="007A0183">
        <w:t>e it through imple</w:t>
      </w:r>
      <w:r w:rsidR="00870C83">
        <w:t>menting</w:t>
      </w:r>
      <w:r w:rsidR="007A0183">
        <w:t xml:space="preserve"> </w:t>
      </w:r>
      <w:r w:rsidR="00736536" w:rsidRPr="00BF1C45">
        <w:t xml:space="preserve">partners </w:t>
      </w:r>
      <w:r w:rsidR="007A0183">
        <w:t xml:space="preserve">or </w:t>
      </w:r>
      <w:r w:rsidR="00736536" w:rsidRPr="00BF1C45">
        <w:t>by the organization itself. Examples include</w:t>
      </w:r>
      <w:r w:rsidR="00736536">
        <w:t>d</w:t>
      </w:r>
      <w:r w:rsidR="00736536" w:rsidRPr="00BF1C45">
        <w:t xml:space="preserve"> measures around gender mainstreaming, health and safety, and </w:t>
      </w:r>
      <w:r w:rsidR="007A0183">
        <w:t xml:space="preserve">consideration of </w:t>
      </w:r>
      <w:r w:rsidR="00736536" w:rsidRPr="00BF1C45">
        <w:t>e</w:t>
      </w:r>
      <w:r w:rsidR="004C0051">
        <w:t>nvironmental and social impact.</w:t>
      </w:r>
    </w:p>
    <w:p w14:paraId="44B097BF" w14:textId="77777777" w:rsidR="00736536" w:rsidRDefault="0010009C" w:rsidP="00736536">
      <w:pPr>
        <w:tabs>
          <w:tab w:val="clear" w:pos="284"/>
          <w:tab w:val="left" w:pos="426"/>
        </w:tabs>
      </w:pPr>
      <w:r>
        <w:t>25</w:t>
      </w:r>
      <w:r w:rsidR="007A0183">
        <w:t>.</w:t>
      </w:r>
      <w:r w:rsidR="007A0183">
        <w:tab/>
        <w:t>The Committee noted that in 2020-2021</w:t>
      </w:r>
      <w:r w:rsidR="00736536" w:rsidRPr="00BF1C45">
        <w:t xml:space="preserve"> </w:t>
      </w:r>
      <w:r w:rsidR="004C0051">
        <w:t xml:space="preserve">it </w:t>
      </w:r>
      <w:r w:rsidR="00736536" w:rsidRPr="00BF1C45">
        <w:t xml:space="preserve">was foreseen that the quality of UNOPS delivery as described by these </w:t>
      </w:r>
      <w:r w:rsidR="00E32831">
        <w:t>themes</w:t>
      </w:r>
      <w:r w:rsidR="00736536" w:rsidRPr="00BF1C45">
        <w:t xml:space="preserve"> would </w:t>
      </w:r>
      <w:r w:rsidR="00736536">
        <w:t xml:space="preserve">have particular attention. </w:t>
      </w:r>
      <w:r w:rsidR="00736536" w:rsidRPr="00BF1C45">
        <w:t>The midterm review was as such an opportunity to strengthen and streamline the organizational narrative and fo</w:t>
      </w:r>
      <w:r w:rsidR="00E32831">
        <w:t>cused attention to these themes</w:t>
      </w:r>
      <w:r w:rsidR="004C0051">
        <w:t>,</w:t>
      </w:r>
      <w:r w:rsidR="00E32831">
        <w:t xml:space="preserve"> which are managed through its sustainable implementation approaches.</w:t>
      </w:r>
    </w:p>
    <w:p w14:paraId="45BA4B29" w14:textId="77777777" w:rsidR="007C4F5C" w:rsidRPr="007C4F5C" w:rsidRDefault="007C4F5C" w:rsidP="00113D59">
      <w:pPr>
        <w:rPr>
          <w:i/>
        </w:rPr>
      </w:pPr>
      <w:r w:rsidRPr="007C4F5C">
        <w:rPr>
          <w:i/>
        </w:rPr>
        <w:t>UN Reform</w:t>
      </w:r>
    </w:p>
    <w:p w14:paraId="16E23665" w14:textId="77777777" w:rsidR="005A4A8A" w:rsidRDefault="0010009C" w:rsidP="00CE62E0">
      <w:pPr>
        <w:tabs>
          <w:tab w:val="clear" w:pos="284"/>
          <w:tab w:val="left" w:pos="426"/>
        </w:tabs>
      </w:pPr>
      <w:r>
        <w:t>26</w:t>
      </w:r>
      <w:r w:rsidR="007C4F5C">
        <w:t>.</w:t>
      </w:r>
      <w:r w:rsidR="00CE62E0">
        <w:tab/>
      </w:r>
      <w:r w:rsidR="007C4F5C">
        <w:t xml:space="preserve">The Committee was kept abreast </w:t>
      </w:r>
      <w:r w:rsidR="004238CB">
        <w:t xml:space="preserve">of </w:t>
      </w:r>
      <w:r w:rsidR="007C4F5C">
        <w:t xml:space="preserve">and discussed the UNOPS engagement in the UN reform. </w:t>
      </w:r>
      <w:r w:rsidR="005A4A8A">
        <w:t xml:space="preserve">In relation to the reform of the Resident Coordinator system, the Committee noted that, also in 2019, UNOPS had taken steps to ensure </w:t>
      </w:r>
      <w:r w:rsidR="00674AFA">
        <w:t xml:space="preserve">timely </w:t>
      </w:r>
      <w:r w:rsidR="005A4A8A">
        <w:t>payment of the doubled agency cost sharing</w:t>
      </w:r>
      <w:r w:rsidR="00674AFA">
        <w:t>, and was duly considering</w:t>
      </w:r>
      <w:r w:rsidR="00317E68">
        <w:t xml:space="preserve">, and consulting with the UNBOA </w:t>
      </w:r>
      <w:r w:rsidR="00373C53">
        <w:t xml:space="preserve">to seek guidance </w:t>
      </w:r>
      <w:r w:rsidR="00317E68">
        <w:t>on,</w:t>
      </w:r>
      <w:r w:rsidR="00674AFA">
        <w:t xml:space="preserve"> the </w:t>
      </w:r>
      <w:r w:rsidR="001E1A9B">
        <w:t xml:space="preserve">appropriate application </w:t>
      </w:r>
      <w:r w:rsidR="00373C53">
        <w:t>of the one</w:t>
      </w:r>
      <w:r w:rsidR="00674AFA">
        <w:t xml:space="preserve"> per cent levy </w:t>
      </w:r>
      <w:r w:rsidR="001E1A9B">
        <w:t>in relation to</w:t>
      </w:r>
      <w:r w:rsidR="00674AFA">
        <w:t xml:space="preserve"> exchange transaction services.</w:t>
      </w:r>
    </w:p>
    <w:p w14:paraId="7F4D73A4" w14:textId="77777777" w:rsidR="003E54BF" w:rsidRDefault="0010009C" w:rsidP="00CE62E0">
      <w:pPr>
        <w:tabs>
          <w:tab w:val="clear" w:pos="284"/>
          <w:tab w:val="left" w:pos="426"/>
        </w:tabs>
      </w:pPr>
      <w:r>
        <w:lastRenderedPageBreak/>
        <w:t>27</w:t>
      </w:r>
      <w:r w:rsidR="003E54BF">
        <w:t>.</w:t>
      </w:r>
      <w:r w:rsidR="003E54BF">
        <w:tab/>
        <w:t xml:space="preserve">The Committee noted the UNOPS attention to meeting the requirements for structuring its business data in accordance with the standards of the UN Data Cube. It noted that this over time could help strengthen business intelligence and comparative portfolio analysis within and beyond UNOPS, and </w:t>
      </w:r>
      <w:r w:rsidR="004C0051">
        <w:t>a</w:t>
      </w:r>
      <w:r w:rsidR="003E54BF">
        <w:t>cross countries, sectors, SDGs, partners, and associated UN pillars and financing instruments.</w:t>
      </w:r>
    </w:p>
    <w:p w14:paraId="595A4832" w14:textId="77777777" w:rsidR="00373C53" w:rsidRDefault="0010009C" w:rsidP="00CE62E0">
      <w:pPr>
        <w:tabs>
          <w:tab w:val="clear" w:pos="284"/>
          <w:tab w:val="left" w:pos="426"/>
        </w:tabs>
      </w:pPr>
      <w:r>
        <w:t>28</w:t>
      </w:r>
      <w:r w:rsidR="00373C53">
        <w:t>. The Committee commended the Executive Director’s personal attention to the Business Innovation Group. Established as one of four working groups under the UN Sustainable Development Group, the group was tasked with identifying options for cost-savings through efficiencies of variou</w:t>
      </w:r>
      <w:r w:rsidR="004C0051">
        <w:t>s management support functions.</w:t>
      </w:r>
      <w:r w:rsidR="00373C53">
        <w:t xml:space="preserve"> It noted that</w:t>
      </w:r>
      <w:r w:rsidR="008025A0">
        <w:t>,</w:t>
      </w:r>
      <w:r w:rsidR="00373C53">
        <w:t xml:space="preserve"> </w:t>
      </w:r>
      <w:r w:rsidR="008025A0">
        <w:t xml:space="preserve">in full alignment with </w:t>
      </w:r>
      <w:r w:rsidR="004238CB">
        <w:t xml:space="preserve">the UNOPS </w:t>
      </w:r>
      <w:r w:rsidR="008025A0">
        <w:t xml:space="preserve">goal </w:t>
      </w:r>
      <w:r w:rsidR="00574ADA">
        <w:t>–</w:t>
      </w:r>
      <w:r w:rsidR="008025A0">
        <w:t xml:space="preserve"> </w:t>
      </w:r>
      <w:r w:rsidR="00574ADA">
        <w:t xml:space="preserve">to </w:t>
      </w:r>
      <w:r w:rsidR="008025A0">
        <w:t>enable partners through efficient management support services</w:t>
      </w:r>
      <w:r w:rsidR="00574ADA">
        <w:t>,</w:t>
      </w:r>
      <w:r w:rsidR="008025A0">
        <w:t xml:space="preserve"> </w:t>
      </w:r>
      <w:r w:rsidR="00373C53">
        <w:t>UNOPS stands ready to support the efforts to further leverage non-location dependent support services, e.g. in the area of procurement supported by e-</w:t>
      </w:r>
      <w:r w:rsidR="004C0051">
        <w:t>commerce solutions.</w:t>
      </w:r>
    </w:p>
    <w:p w14:paraId="77909C79" w14:textId="77777777" w:rsidR="007C4F5C" w:rsidRDefault="0010009C" w:rsidP="00CE62E0">
      <w:pPr>
        <w:tabs>
          <w:tab w:val="clear" w:pos="284"/>
          <w:tab w:val="left" w:pos="426"/>
        </w:tabs>
      </w:pPr>
      <w:r>
        <w:t>29</w:t>
      </w:r>
      <w:r w:rsidR="007C4F5C">
        <w:t>.</w:t>
      </w:r>
      <w:r w:rsidR="007C4F5C">
        <w:tab/>
        <w:t>Upon the Secretary-General</w:t>
      </w:r>
      <w:r w:rsidR="004238CB">
        <w:t>’s</w:t>
      </w:r>
      <w:r w:rsidR="007C4F5C">
        <w:t xml:space="preserve"> appointment of the Executive Director as Chair of the High-level Committee on Management, the Committee noted that </w:t>
      </w:r>
      <w:r w:rsidR="00885AB0">
        <w:t>a focused work programme would be a prerequisite for impact and contributions to the reform’s underlying ambitions for efficiency gains.</w:t>
      </w:r>
    </w:p>
    <w:p w14:paraId="01CFC6E5" w14:textId="77777777" w:rsidR="00720BA5" w:rsidRDefault="000B7D75" w:rsidP="005F044A">
      <w:pPr>
        <w:pStyle w:val="Heading1"/>
      </w:pPr>
      <w:bookmarkStart w:id="5" w:name="_Toc3541963"/>
      <w:bookmarkStart w:id="6" w:name="_Toc34638432"/>
      <w:r w:rsidRPr="00CC00DF">
        <w:t xml:space="preserve">External </w:t>
      </w:r>
      <w:r w:rsidR="00CA1DCE">
        <w:t>audit</w:t>
      </w:r>
      <w:r w:rsidR="00D22BA3">
        <w:t xml:space="preserve"> and review</w:t>
      </w:r>
      <w:bookmarkEnd w:id="5"/>
      <w:bookmarkEnd w:id="6"/>
    </w:p>
    <w:p w14:paraId="1B0DF943" w14:textId="77777777" w:rsidR="009C5A35" w:rsidRPr="009C5A35" w:rsidRDefault="009C5A35" w:rsidP="00B43BAF">
      <w:pPr>
        <w:rPr>
          <w:i/>
          <w:lang w:val="en-GB"/>
        </w:rPr>
      </w:pPr>
      <w:r>
        <w:rPr>
          <w:i/>
          <w:lang w:val="en-GB"/>
        </w:rPr>
        <w:t xml:space="preserve">The </w:t>
      </w:r>
      <w:r w:rsidRPr="009C5A35">
        <w:rPr>
          <w:i/>
          <w:lang w:val="en-GB"/>
        </w:rPr>
        <w:t>United Nations Board of Auditors</w:t>
      </w:r>
    </w:p>
    <w:p w14:paraId="0220506B" w14:textId="77777777" w:rsidR="00083C14" w:rsidRDefault="0010009C" w:rsidP="00CE62E0">
      <w:pPr>
        <w:tabs>
          <w:tab w:val="clear" w:pos="284"/>
          <w:tab w:val="left" w:pos="426"/>
        </w:tabs>
        <w:rPr>
          <w:lang w:val="en-GB"/>
        </w:rPr>
      </w:pPr>
      <w:r>
        <w:rPr>
          <w:lang w:val="en-GB"/>
        </w:rPr>
        <w:t>30</w:t>
      </w:r>
      <w:r w:rsidR="000B30C8">
        <w:rPr>
          <w:lang w:val="en-GB"/>
        </w:rPr>
        <w:t>.</w:t>
      </w:r>
      <w:r w:rsidR="009F3E5A">
        <w:rPr>
          <w:lang w:val="en-GB"/>
        </w:rPr>
        <w:tab/>
      </w:r>
      <w:r w:rsidR="002459F1" w:rsidRPr="009F3E5A">
        <w:rPr>
          <w:lang w:val="en-GB"/>
        </w:rPr>
        <w:t xml:space="preserve">The Committee </w:t>
      </w:r>
      <w:r w:rsidR="00526EFA" w:rsidRPr="009F3E5A">
        <w:rPr>
          <w:lang w:val="en-GB"/>
        </w:rPr>
        <w:t>was updated</w:t>
      </w:r>
      <w:r w:rsidR="00D26773" w:rsidRPr="009F3E5A">
        <w:rPr>
          <w:lang w:val="en-GB"/>
        </w:rPr>
        <w:t xml:space="preserve"> on </w:t>
      </w:r>
      <w:r w:rsidR="009F3E5A" w:rsidRPr="009F3E5A">
        <w:rPr>
          <w:lang w:val="en-GB"/>
        </w:rPr>
        <w:t xml:space="preserve">the findings of the </w:t>
      </w:r>
      <w:r w:rsidR="00083C14">
        <w:rPr>
          <w:lang w:val="en-GB"/>
        </w:rPr>
        <w:t xml:space="preserve">UNBOA </w:t>
      </w:r>
      <w:r w:rsidR="009F3E5A" w:rsidRPr="009F3E5A">
        <w:rPr>
          <w:lang w:val="en-GB"/>
        </w:rPr>
        <w:t>long form report for the period ended 31 December 201</w:t>
      </w:r>
      <w:r w:rsidR="00083C14">
        <w:rPr>
          <w:lang w:val="en-GB"/>
        </w:rPr>
        <w:t>8</w:t>
      </w:r>
      <w:r w:rsidR="009F3E5A" w:rsidRPr="009F3E5A">
        <w:rPr>
          <w:lang w:val="en-GB"/>
        </w:rPr>
        <w:t xml:space="preserve">. </w:t>
      </w:r>
      <w:r w:rsidR="00083C14">
        <w:rPr>
          <w:lang w:val="en-GB"/>
        </w:rPr>
        <w:t xml:space="preserve">It noted that the </w:t>
      </w:r>
      <w:r w:rsidR="00A42B9A">
        <w:rPr>
          <w:lang w:val="en-GB"/>
        </w:rPr>
        <w:t xml:space="preserve">UNBOA had identified </w:t>
      </w:r>
      <w:r w:rsidR="00083C14">
        <w:rPr>
          <w:lang w:val="en-GB"/>
        </w:rPr>
        <w:t>asset inventory and gender as main focus areas</w:t>
      </w:r>
      <w:r w:rsidR="004C0051">
        <w:rPr>
          <w:lang w:val="en-GB"/>
        </w:rPr>
        <w:t>.</w:t>
      </w:r>
    </w:p>
    <w:p w14:paraId="2CB9D185" w14:textId="77777777" w:rsidR="00A42B9A" w:rsidRDefault="0010009C" w:rsidP="00CE62E0">
      <w:pPr>
        <w:tabs>
          <w:tab w:val="clear" w:pos="284"/>
          <w:tab w:val="left" w:pos="426"/>
        </w:tabs>
        <w:rPr>
          <w:lang w:val="en-GB"/>
        </w:rPr>
      </w:pPr>
      <w:r>
        <w:rPr>
          <w:lang w:val="en-GB"/>
        </w:rPr>
        <w:t>31</w:t>
      </w:r>
      <w:r w:rsidR="00A42B9A">
        <w:rPr>
          <w:lang w:val="en-GB"/>
        </w:rPr>
        <w:t>.</w:t>
      </w:r>
      <w:r w:rsidR="00A42B9A">
        <w:rPr>
          <w:lang w:val="en-GB"/>
        </w:rPr>
        <w:tab/>
      </w:r>
      <w:r w:rsidR="00083C14">
        <w:rPr>
          <w:lang w:val="en-GB"/>
        </w:rPr>
        <w:t xml:space="preserve">In relation </w:t>
      </w:r>
      <w:r w:rsidR="00A42B9A">
        <w:rPr>
          <w:lang w:val="en-GB"/>
        </w:rPr>
        <w:t xml:space="preserve">to implementation of </w:t>
      </w:r>
      <w:r w:rsidR="00083C14" w:rsidRPr="009F3E5A">
        <w:rPr>
          <w:lang w:val="en-GB"/>
        </w:rPr>
        <w:t>UNBOA recommendations</w:t>
      </w:r>
      <w:r w:rsidR="00A42B9A">
        <w:rPr>
          <w:lang w:val="en-GB"/>
        </w:rPr>
        <w:t xml:space="preserve">, the Committee note that UNOPS in 2019 managed to </w:t>
      </w:r>
      <w:r w:rsidR="004C0051">
        <w:rPr>
          <w:lang w:val="en-GB"/>
        </w:rPr>
        <w:t>reverse</w:t>
      </w:r>
      <w:r w:rsidR="00A42B9A">
        <w:rPr>
          <w:lang w:val="en-GB"/>
        </w:rPr>
        <w:t xml:space="preserve"> the downward </w:t>
      </w:r>
      <w:r w:rsidR="004C0051">
        <w:rPr>
          <w:lang w:val="en-GB"/>
        </w:rPr>
        <w:t>trend</w:t>
      </w:r>
      <w:r w:rsidR="00A42B9A">
        <w:rPr>
          <w:lang w:val="en-GB"/>
        </w:rPr>
        <w:t xml:space="preserve"> and achieve an implementation rate </w:t>
      </w:r>
      <w:r w:rsidR="004C0051">
        <w:rPr>
          <w:lang w:val="en-GB"/>
        </w:rPr>
        <w:t xml:space="preserve">of </w:t>
      </w:r>
      <w:r w:rsidR="00A42B9A">
        <w:rPr>
          <w:lang w:val="en-GB"/>
        </w:rPr>
        <w:t>61 per cent, compared to 27 per cent the year before. It noted that the success could be ascribed to their inclusion in corporate target agreements and recurrent monitoring thereof.</w:t>
      </w:r>
    </w:p>
    <w:p w14:paraId="6FA79B15" w14:textId="77777777" w:rsidR="00A42B9A" w:rsidRDefault="0010009C" w:rsidP="00CE62E0">
      <w:pPr>
        <w:tabs>
          <w:tab w:val="clear" w:pos="284"/>
          <w:tab w:val="left" w:pos="426"/>
        </w:tabs>
        <w:rPr>
          <w:lang w:val="en-GB"/>
        </w:rPr>
      </w:pPr>
      <w:r>
        <w:rPr>
          <w:lang w:val="en-GB"/>
        </w:rPr>
        <w:t>32</w:t>
      </w:r>
      <w:r w:rsidR="00A42B9A">
        <w:rPr>
          <w:lang w:val="en-GB"/>
        </w:rPr>
        <w:t>.</w:t>
      </w:r>
      <w:r w:rsidR="00A42B9A">
        <w:rPr>
          <w:lang w:val="en-GB"/>
        </w:rPr>
        <w:tab/>
        <w:t xml:space="preserve"> Briefed on the </w:t>
      </w:r>
      <w:r w:rsidR="001F3E6F">
        <w:rPr>
          <w:lang w:val="en-GB"/>
        </w:rPr>
        <w:t>UNBOA audit plan for 2020</w:t>
      </w:r>
      <w:r w:rsidR="004C0051">
        <w:rPr>
          <w:lang w:val="en-GB"/>
        </w:rPr>
        <w:t>,</w:t>
      </w:r>
      <w:r w:rsidR="001F3E6F">
        <w:rPr>
          <w:lang w:val="en-GB"/>
        </w:rPr>
        <w:t xml:space="preserve"> the Committee noted that there in 2020 would be some overlap of external and internal audit. Furthermore, it </w:t>
      </w:r>
      <w:r w:rsidR="00A42B9A">
        <w:rPr>
          <w:lang w:val="en-GB"/>
        </w:rPr>
        <w:t>reiterated its readiness to engage with the UNBOA at the right level</w:t>
      </w:r>
      <w:r w:rsidR="00510C64">
        <w:rPr>
          <w:lang w:val="en-GB"/>
        </w:rPr>
        <w:t>.</w:t>
      </w:r>
    </w:p>
    <w:p w14:paraId="0BF55537" w14:textId="77777777" w:rsidR="009C5A35" w:rsidRPr="009C5A35" w:rsidRDefault="009C5A35" w:rsidP="0044738E">
      <w:pPr>
        <w:keepNext/>
        <w:rPr>
          <w:i/>
          <w:lang w:val="en-GB"/>
        </w:rPr>
      </w:pPr>
      <w:r w:rsidRPr="009C5A35">
        <w:rPr>
          <w:i/>
          <w:lang w:val="en-GB"/>
        </w:rPr>
        <w:t>The Joint Inspection Unit</w:t>
      </w:r>
    </w:p>
    <w:p w14:paraId="5DD2D7B3" w14:textId="77777777" w:rsidR="001A6D56" w:rsidRDefault="0010009C" w:rsidP="00CE62E0">
      <w:pPr>
        <w:tabs>
          <w:tab w:val="clear" w:pos="284"/>
          <w:tab w:val="left" w:pos="426"/>
        </w:tabs>
        <w:rPr>
          <w:lang w:val="en-GB"/>
        </w:rPr>
      </w:pPr>
      <w:r>
        <w:rPr>
          <w:lang w:val="en-GB"/>
        </w:rPr>
        <w:t>33</w:t>
      </w:r>
      <w:r w:rsidR="001A6D56">
        <w:rPr>
          <w:lang w:val="en-GB"/>
        </w:rPr>
        <w:t>.</w:t>
      </w:r>
      <w:r w:rsidR="001A6D56">
        <w:rPr>
          <w:lang w:val="en-GB"/>
        </w:rPr>
        <w:tab/>
      </w:r>
      <w:r w:rsidR="001A6D56" w:rsidRPr="00B369FA">
        <w:rPr>
          <w:lang w:val="en-GB"/>
        </w:rPr>
        <w:t xml:space="preserve">In relation to </w:t>
      </w:r>
      <w:r w:rsidR="001A6D56">
        <w:rPr>
          <w:lang w:val="en-GB"/>
        </w:rPr>
        <w:t>recommendations of the Joint Inspection Unit (JIU)</w:t>
      </w:r>
      <w:r w:rsidR="001A6D56" w:rsidRPr="00B369FA">
        <w:rPr>
          <w:lang w:val="en-GB"/>
        </w:rPr>
        <w:t>, the Committee commend</w:t>
      </w:r>
      <w:r w:rsidR="001A6D56">
        <w:rPr>
          <w:lang w:val="en-GB"/>
        </w:rPr>
        <w:t xml:space="preserve">ed </w:t>
      </w:r>
      <w:r w:rsidR="001A6D56" w:rsidRPr="00B369FA">
        <w:rPr>
          <w:lang w:val="en-GB"/>
        </w:rPr>
        <w:t xml:space="preserve">UNOPS </w:t>
      </w:r>
      <w:r w:rsidR="001A6D56">
        <w:rPr>
          <w:lang w:val="en-GB"/>
        </w:rPr>
        <w:t>for its high level of responsiveness</w:t>
      </w:r>
      <w:r w:rsidR="004C0051">
        <w:rPr>
          <w:lang w:val="en-GB"/>
        </w:rPr>
        <w:t xml:space="preserve">, as demonstrated by the rate of </w:t>
      </w:r>
      <w:r w:rsidR="001A6D56" w:rsidRPr="00B369FA">
        <w:rPr>
          <w:lang w:val="en-GB"/>
        </w:rPr>
        <w:t xml:space="preserve">acceptance </w:t>
      </w:r>
      <w:r w:rsidR="001A6D56">
        <w:rPr>
          <w:lang w:val="en-GB"/>
        </w:rPr>
        <w:t xml:space="preserve">and </w:t>
      </w:r>
      <w:r w:rsidR="001A6D56" w:rsidRPr="00B369FA">
        <w:rPr>
          <w:lang w:val="en-GB"/>
        </w:rPr>
        <w:t>implementation</w:t>
      </w:r>
      <w:r w:rsidR="004C0051">
        <w:rPr>
          <w:lang w:val="en-GB"/>
        </w:rPr>
        <w:t xml:space="preserve"> of recommendations</w:t>
      </w:r>
      <w:r w:rsidR="001A6D56" w:rsidRPr="00B369FA">
        <w:rPr>
          <w:lang w:val="en-GB"/>
        </w:rPr>
        <w:t>.</w:t>
      </w:r>
      <w:r w:rsidR="001A6D56" w:rsidRPr="00EB5AA2">
        <w:t xml:space="preserve"> </w:t>
      </w:r>
      <w:r w:rsidR="001A6D56">
        <w:t xml:space="preserve">At the same time, the Committee urged </w:t>
      </w:r>
      <w:r w:rsidR="001A6D56" w:rsidRPr="00EB5AA2">
        <w:rPr>
          <w:lang w:val="en-GB"/>
        </w:rPr>
        <w:t xml:space="preserve">due consideration </w:t>
      </w:r>
      <w:r w:rsidR="001A6D56">
        <w:rPr>
          <w:lang w:val="en-GB"/>
        </w:rPr>
        <w:t xml:space="preserve">to the </w:t>
      </w:r>
      <w:r w:rsidR="001A6D56" w:rsidRPr="00EB5AA2">
        <w:rPr>
          <w:lang w:val="en-GB"/>
        </w:rPr>
        <w:t xml:space="preserve">unique </w:t>
      </w:r>
      <w:r w:rsidR="001A6D56">
        <w:rPr>
          <w:lang w:val="en-GB"/>
        </w:rPr>
        <w:t xml:space="preserve">UNOPS </w:t>
      </w:r>
      <w:r w:rsidR="001A6D56" w:rsidRPr="00EB5AA2">
        <w:rPr>
          <w:lang w:val="en-GB"/>
        </w:rPr>
        <w:t>business model</w:t>
      </w:r>
      <w:r w:rsidR="004C0051">
        <w:rPr>
          <w:lang w:val="en-GB"/>
        </w:rPr>
        <w:t>, taking into account</w:t>
      </w:r>
      <w:r w:rsidR="001A6D56" w:rsidRPr="00EB5AA2">
        <w:rPr>
          <w:lang w:val="en-GB"/>
        </w:rPr>
        <w:t xml:space="preserve"> the </w:t>
      </w:r>
      <w:r w:rsidR="001A6D56">
        <w:rPr>
          <w:lang w:val="en-GB"/>
        </w:rPr>
        <w:t xml:space="preserve">relevance and </w:t>
      </w:r>
      <w:r w:rsidR="001A6D56" w:rsidRPr="00EB5AA2">
        <w:rPr>
          <w:lang w:val="en-GB"/>
        </w:rPr>
        <w:t xml:space="preserve">cost-benefit of implementing specific </w:t>
      </w:r>
      <w:r w:rsidR="001A6D56">
        <w:rPr>
          <w:lang w:val="en-GB"/>
        </w:rPr>
        <w:t xml:space="preserve">system-wide </w:t>
      </w:r>
      <w:r w:rsidR="001A6D56" w:rsidRPr="00EB5AA2">
        <w:rPr>
          <w:lang w:val="en-GB"/>
        </w:rPr>
        <w:t>recommendation</w:t>
      </w:r>
      <w:r w:rsidR="001A6D56">
        <w:rPr>
          <w:lang w:val="en-GB"/>
        </w:rPr>
        <w:t>s.</w:t>
      </w:r>
    </w:p>
    <w:p w14:paraId="7CA9DB1F" w14:textId="77777777" w:rsidR="000363E1" w:rsidRDefault="0010009C" w:rsidP="00CE62E0">
      <w:pPr>
        <w:tabs>
          <w:tab w:val="clear" w:pos="284"/>
          <w:tab w:val="left" w:pos="426"/>
        </w:tabs>
        <w:rPr>
          <w:lang w:val="en-GB"/>
        </w:rPr>
      </w:pPr>
      <w:r>
        <w:rPr>
          <w:lang w:val="en-GB"/>
        </w:rPr>
        <w:t>34</w:t>
      </w:r>
      <w:r w:rsidR="000363E1">
        <w:rPr>
          <w:lang w:val="en-GB"/>
        </w:rPr>
        <w:t>.</w:t>
      </w:r>
      <w:r w:rsidR="000363E1">
        <w:rPr>
          <w:lang w:val="en-GB"/>
        </w:rPr>
        <w:tab/>
        <w:t>The Committee took note of the JIU review of audit and oversight committees in the United Nations system (JIU/REP/2019/6). It observed that the report had been reviewed at the 4</w:t>
      </w:r>
      <w:r w:rsidR="000363E1" w:rsidRPr="000363E1">
        <w:rPr>
          <w:vertAlign w:val="superscript"/>
          <w:lang w:val="en-GB"/>
        </w:rPr>
        <w:t>th</w:t>
      </w:r>
      <w:r w:rsidR="000363E1">
        <w:rPr>
          <w:lang w:val="en-GB"/>
        </w:rPr>
        <w:t xml:space="preserve"> meeting of the United Nations oversight committees in 2019, and noted that the Committee’s terms of reference and working methods already conformed to the majority of the recommendations in the review.</w:t>
      </w:r>
    </w:p>
    <w:p w14:paraId="1B482016" w14:textId="77777777" w:rsidR="0043649A" w:rsidRDefault="0043649A" w:rsidP="005F044A">
      <w:pPr>
        <w:pStyle w:val="Heading1"/>
      </w:pPr>
      <w:bookmarkStart w:id="7" w:name="_Toc3541964"/>
      <w:bookmarkStart w:id="8" w:name="_Toc34638433"/>
      <w:r w:rsidRPr="00BF6446">
        <w:t>Internal audit</w:t>
      </w:r>
      <w:r w:rsidR="00BD3971">
        <w:t xml:space="preserve"> and investigations</w:t>
      </w:r>
      <w:bookmarkEnd w:id="7"/>
      <w:bookmarkEnd w:id="8"/>
    </w:p>
    <w:p w14:paraId="3903AE28" w14:textId="77777777" w:rsidR="00DD0971" w:rsidRDefault="0010009C" w:rsidP="00CE62E0">
      <w:pPr>
        <w:tabs>
          <w:tab w:val="clear" w:pos="284"/>
          <w:tab w:val="left" w:pos="426"/>
        </w:tabs>
        <w:rPr>
          <w:lang w:val="en-GB"/>
        </w:rPr>
      </w:pPr>
      <w:r>
        <w:t>35</w:t>
      </w:r>
      <w:r w:rsidR="00DD0971">
        <w:t>.</w:t>
      </w:r>
      <w:r w:rsidR="00DD0971">
        <w:tab/>
      </w:r>
      <w:r w:rsidR="00DD0971" w:rsidRPr="00495213">
        <w:t>During the ye</w:t>
      </w:r>
      <w:r w:rsidR="00DD0971">
        <w:t>ar, the Committee followed the implementation of the IAIG</w:t>
      </w:r>
      <w:r w:rsidR="00DD0971" w:rsidRPr="00495213">
        <w:t xml:space="preserve"> </w:t>
      </w:r>
      <w:r w:rsidR="000F51D0">
        <w:t xml:space="preserve">2019 </w:t>
      </w:r>
      <w:r w:rsidR="00DD0971" w:rsidRPr="00495213">
        <w:t xml:space="preserve">work plan. </w:t>
      </w:r>
      <w:r w:rsidR="00DD0971">
        <w:t>The Committee note</w:t>
      </w:r>
      <w:r w:rsidR="000F51D0">
        <w:t>d</w:t>
      </w:r>
      <w:r w:rsidR="00DD0971">
        <w:t xml:space="preserve"> the continued focus on </w:t>
      </w:r>
      <w:r w:rsidR="00DD0971" w:rsidRPr="00495213">
        <w:t xml:space="preserve">enhanced use of data, such as the continuous auditing tool and </w:t>
      </w:r>
      <w:r w:rsidR="00DD0971">
        <w:t xml:space="preserve">the efforts to complete the enhancement </w:t>
      </w:r>
      <w:r w:rsidR="00DD0971" w:rsidRPr="00495213">
        <w:t xml:space="preserve">the </w:t>
      </w:r>
      <w:r w:rsidR="00DD0971">
        <w:t xml:space="preserve">organization’s </w:t>
      </w:r>
      <w:r w:rsidR="00DD0971" w:rsidRPr="00495213">
        <w:t>oversight recommendations dashboard</w:t>
      </w:r>
      <w:r w:rsidR="00DD0971" w:rsidRPr="00C23FDA">
        <w:t>. It encourage</w:t>
      </w:r>
      <w:r w:rsidR="00DD0971">
        <w:t>d</w:t>
      </w:r>
      <w:r w:rsidR="00DD0971" w:rsidRPr="00C23FDA">
        <w:t xml:space="preserve"> the vision to further leverage IT </w:t>
      </w:r>
      <w:r w:rsidR="00DD0971">
        <w:t xml:space="preserve">for </w:t>
      </w:r>
      <w:r w:rsidR="00DD0971" w:rsidRPr="00C23FDA">
        <w:t>data analytics</w:t>
      </w:r>
      <w:r w:rsidR="00DD0971">
        <w:t xml:space="preserve"> and monitoring of recommendations</w:t>
      </w:r>
      <w:r w:rsidR="00DD0971" w:rsidRPr="00C23FDA">
        <w:t xml:space="preserve">, which could enable provision of </w:t>
      </w:r>
      <w:r w:rsidR="00DD0971" w:rsidRPr="00DF2DB3">
        <w:rPr>
          <w:lang w:val="en-GB"/>
        </w:rPr>
        <w:t xml:space="preserve">assurance in a more efficient </w:t>
      </w:r>
      <w:r w:rsidR="00DD0971">
        <w:rPr>
          <w:lang w:val="en-GB"/>
        </w:rPr>
        <w:t xml:space="preserve">and timely </w:t>
      </w:r>
      <w:r w:rsidR="00DD0971" w:rsidRPr="00DF2DB3">
        <w:rPr>
          <w:lang w:val="en-GB"/>
        </w:rPr>
        <w:t>manner.</w:t>
      </w:r>
    </w:p>
    <w:p w14:paraId="5D3CF6EB" w14:textId="77777777" w:rsidR="00D80A45" w:rsidRDefault="0010009C" w:rsidP="00CE62E0">
      <w:pPr>
        <w:tabs>
          <w:tab w:val="clear" w:pos="284"/>
          <w:tab w:val="left" w:pos="426"/>
        </w:tabs>
        <w:rPr>
          <w:lang w:val="en-GB"/>
        </w:rPr>
      </w:pPr>
      <w:r>
        <w:rPr>
          <w:lang w:val="en-GB"/>
        </w:rPr>
        <w:t>36</w:t>
      </w:r>
      <w:r w:rsidR="00D80A45">
        <w:rPr>
          <w:lang w:val="en-GB"/>
        </w:rPr>
        <w:t>.</w:t>
      </w:r>
      <w:r w:rsidR="00CE62E0">
        <w:rPr>
          <w:lang w:val="en-GB"/>
        </w:rPr>
        <w:tab/>
      </w:r>
      <w:r w:rsidR="00D80A45">
        <w:rPr>
          <w:lang w:val="en-GB"/>
        </w:rPr>
        <w:t>I</w:t>
      </w:r>
      <w:r w:rsidR="004C0051">
        <w:rPr>
          <w:lang w:val="en-GB"/>
        </w:rPr>
        <w:t>n</w:t>
      </w:r>
      <w:r w:rsidR="00D80A45">
        <w:rPr>
          <w:lang w:val="en-GB"/>
        </w:rPr>
        <w:t xml:space="preserve"> discussing performance indicators for the functions of IAIG the Committee suggested to supplement current o</w:t>
      </w:r>
      <w:r w:rsidR="00584C59">
        <w:rPr>
          <w:lang w:val="en-GB"/>
        </w:rPr>
        <w:t xml:space="preserve">perationally focused indicators </w:t>
      </w:r>
      <w:r w:rsidR="00D80A45">
        <w:rPr>
          <w:lang w:val="en-GB"/>
        </w:rPr>
        <w:t>with indicators o</w:t>
      </w:r>
      <w:r w:rsidR="00584C59">
        <w:rPr>
          <w:lang w:val="en-GB"/>
        </w:rPr>
        <w:t>f</w:t>
      </w:r>
      <w:r w:rsidR="00D80A45">
        <w:rPr>
          <w:lang w:val="en-GB"/>
        </w:rPr>
        <w:t xml:space="preserve"> strategic effect</w:t>
      </w:r>
      <w:r w:rsidR="00584C59">
        <w:rPr>
          <w:lang w:val="en-GB"/>
        </w:rPr>
        <w:t xml:space="preserve">. These could in turn be used to gauge and </w:t>
      </w:r>
      <w:r w:rsidR="00D80A45">
        <w:rPr>
          <w:lang w:val="en-GB"/>
        </w:rPr>
        <w:t>substantiate the IAIG value proposition as a strategic business partner.</w:t>
      </w:r>
    </w:p>
    <w:p w14:paraId="06D96CAB" w14:textId="77777777" w:rsidR="000450D6" w:rsidRDefault="0010009C" w:rsidP="00CE62E0">
      <w:pPr>
        <w:tabs>
          <w:tab w:val="clear" w:pos="284"/>
          <w:tab w:val="left" w:pos="426"/>
        </w:tabs>
      </w:pPr>
      <w:r>
        <w:lastRenderedPageBreak/>
        <w:t>37</w:t>
      </w:r>
      <w:r w:rsidR="00DD0971">
        <w:t>.</w:t>
      </w:r>
      <w:r w:rsidR="00DD0971">
        <w:tab/>
        <w:t xml:space="preserve"> Having reviewed the draft annual report of IAIG for 2018 the C</w:t>
      </w:r>
      <w:r w:rsidR="000450D6">
        <w:t xml:space="preserve">ommittee </w:t>
      </w:r>
      <w:r w:rsidR="00DD0971">
        <w:t xml:space="preserve">noted that all audits planned for the year had been completed. It noted that IAIG had further detailed the methodology forming the basis for its opinion, and based on the samples drawn </w:t>
      </w:r>
      <w:r w:rsidR="006C008B">
        <w:t>through</w:t>
      </w:r>
      <w:r w:rsidR="00DD0971">
        <w:t xml:space="preserve"> the </w:t>
      </w:r>
      <w:r w:rsidR="006C008B">
        <w:t xml:space="preserve">audits conducted, rated the </w:t>
      </w:r>
      <w:r w:rsidR="006C008B" w:rsidRPr="00702E63">
        <w:t>adequacy and effectiveness of UNOPS governance, risk management and control partially satisfactory (some improvement needed)</w:t>
      </w:r>
      <w:r w:rsidR="006C008B">
        <w:t xml:space="preserve">. </w:t>
      </w:r>
      <w:r w:rsidR="000450D6">
        <w:t xml:space="preserve">In this context </w:t>
      </w:r>
      <w:r w:rsidR="006C008B">
        <w:t>the Committee</w:t>
      </w:r>
      <w:r w:rsidR="000450D6">
        <w:t xml:space="preserve"> noted with appreciation the focused management attention to implementation of recommendations from audits with an unsatisfactory opinion.</w:t>
      </w:r>
    </w:p>
    <w:p w14:paraId="5E2A80AF" w14:textId="77777777" w:rsidR="00AC72BD" w:rsidRDefault="0010009C" w:rsidP="00CE62E0">
      <w:pPr>
        <w:tabs>
          <w:tab w:val="clear" w:pos="284"/>
          <w:tab w:val="left" w:pos="426"/>
        </w:tabs>
      </w:pPr>
      <w:r>
        <w:t>38</w:t>
      </w:r>
      <w:r w:rsidR="00AC72BD">
        <w:t>.</w:t>
      </w:r>
      <w:r w:rsidR="00CE62E0">
        <w:tab/>
      </w:r>
      <w:r w:rsidR="00AC72BD">
        <w:t>The Committee noted that by the end of 2018 the overall implementation rate for internal audit recommendations stood at 96 per cent, maintaining the high levels of prior years. At the same time</w:t>
      </w:r>
      <w:r w:rsidR="004C0051">
        <w:t>,</w:t>
      </w:r>
      <w:r w:rsidR="00AC72BD">
        <w:t xml:space="preserve"> it noted that by the end of the year twelve recommendations older than eighteen months were open and encouraged management to strengthen focus on these recommendations.</w:t>
      </w:r>
    </w:p>
    <w:p w14:paraId="1F97ABFE" w14:textId="77777777" w:rsidR="00F944E9" w:rsidRDefault="0010009C" w:rsidP="00CE62E0">
      <w:pPr>
        <w:tabs>
          <w:tab w:val="clear" w:pos="284"/>
          <w:tab w:val="left" w:pos="426"/>
        </w:tabs>
      </w:pPr>
      <w:r>
        <w:t>39</w:t>
      </w:r>
      <w:r w:rsidR="00F944E9">
        <w:t>.</w:t>
      </w:r>
      <w:r w:rsidR="00F944E9">
        <w:tab/>
        <w:t xml:space="preserve">The Committee </w:t>
      </w:r>
      <w:r w:rsidR="003955B6">
        <w:t xml:space="preserve">reviewed and advised on </w:t>
      </w:r>
      <w:r w:rsidR="00F944E9">
        <w:t>the IAIG work plan</w:t>
      </w:r>
      <w:r w:rsidR="003955B6">
        <w:t xml:space="preserve"> for 20</w:t>
      </w:r>
      <w:r w:rsidR="000F51D0">
        <w:t>20</w:t>
      </w:r>
      <w:r w:rsidR="00F944E9">
        <w:t>. It note</w:t>
      </w:r>
      <w:r w:rsidR="000F51D0">
        <w:t>d</w:t>
      </w:r>
      <w:r w:rsidR="00F944E9">
        <w:t xml:space="preserve"> that </w:t>
      </w:r>
      <w:r w:rsidR="004C0051">
        <w:t xml:space="preserve">the focus and location of </w:t>
      </w:r>
      <w:r w:rsidR="00F944E9">
        <w:t>internal audits of field office</w:t>
      </w:r>
      <w:r w:rsidR="004C0051">
        <w:t xml:space="preserve"> operations</w:t>
      </w:r>
      <w:r w:rsidR="00F944E9">
        <w:t xml:space="preserve"> ha</w:t>
      </w:r>
      <w:r w:rsidR="004C0051">
        <w:t>d</w:t>
      </w:r>
      <w:r w:rsidR="00F944E9">
        <w:t xml:space="preserve"> been determined based on a risk assessment; underline</w:t>
      </w:r>
      <w:r w:rsidR="000F51D0">
        <w:t>d</w:t>
      </w:r>
      <w:r w:rsidR="00F944E9">
        <w:t xml:space="preserve"> the important role internal audit has in helping </w:t>
      </w:r>
      <w:r w:rsidR="004C0051">
        <w:t xml:space="preserve">to </w:t>
      </w:r>
      <w:r w:rsidR="00F944E9">
        <w:t>identify strategic organization-wide issues and risks; and expresse</w:t>
      </w:r>
      <w:r w:rsidR="000F51D0">
        <w:t>d</w:t>
      </w:r>
      <w:r w:rsidR="00F944E9">
        <w:t xml:space="preserve"> appreciation for the attention to continued advancement of the sophistication of the continuous auditing tool and approach.</w:t>
      </w:r>
    </w:p>
    <w:p w14:paraId="18ADF0C3" w14:textId="77777777" w:rsidR="00AE527F" w:rsidRDefault="0010009C" w:rsidP="00CE62E0">
      <w:pPr>
        <w:tabs>
          <w:tab w:val="clear" w:pos="284"/>
          <w:tab w:val="left" w:pos="426"/>
        </w:tabs>
      </w:pPr>
      <w:r>
        <w:t>40</w:t>
      </w:r>
      <w:r w:rsidR="00AE527F">
        <w:t>.</w:t>
      </w:r>
      <w:r w:rsidR="00CE62E0">
        <w:tab/>
      </w:r>
      <w:r w:rsidR="00AE527F">
        <w:t>The Committee noted that IAIG as recommended by the Joint Inspection Unit would seek formal recognition of its Charter in the context of the Executive</w:t>
      </w:r>
      <w:r w:rsidR="004C0051">
        <w:t xml:space="preserve"> Boards annual session in 2019.</w:t>
      </w:r>
    </w:p>
    <w:p w14:paraId="63FA393C" w14:textId="77777777" w:rsidR="009830B4" w:rsidRDefault="004F58BB" w:rsidP="005F044A">
      <w:pPr>
        <w:pStyle w:val="Heading1"/>
      </w:pPr>
      <w:bookmarkStart w:id="9" w:name="_Toc443501750"/>
      <w:bookmarkStart w:id="10" w:name="_Toc3541965"/>
      <w:bookmarkStart w:id="11" w:name="_Toc34638434"/>
      <w:bookmarkEnd w:id="9"/>
      <w:r>
        <w:t>Et</w:t>
      </w:r>
      <w:r w:rsidR="009830B4">
        <w:t>hics</w:t>
      </w:r>
      <w:bookmarkEnd w:id="10"/>
      <w:r w:rsidR="006B22BA">
        <w:t xml:space="preserve"> and compliance</w:t>
      </w:r>
      <w:bookmarkEnd w:id="11"/>
    </w:p>
    <w:p w14:paraId="1172AF2E" w14:textId="77777777" w:rsidR="00EC7B99" w:rsidRDefault="0010009C" w:rsidP="00CE62E0">
      <w:pPr>
        <w:tabs>
          <w:tab w:val="clear" w:pos="284"/>
          <w:tab w:val="left" w:pos="426"/>
        </w:tabs>
        <w:rPr>
          <w:rFonts w:cs="Times New Roman"/>
        </w:rPr>
      </w:pPr>
      <w:r>
        <w:rPr>
          <w:rFonts w:cs="Times New Roman"/>
        </w:rPr>
        <w:t>41</w:t>
      </w:r>
      <w:r w:rsidR="002F4D1A">
        <w:rPr>
          <w:rFonts w:cs="Times New Roman"/>
        </w:rPr>
        <w:t>.</w:t>
      </w:r>
      <w:r w:rsidR="002F4D1A">
        <w:rPr>
          <w:rFonts w:cs="Times New Roman"/>
        </w:rPr>
        <w:tab/>
      </w:r>
      <w:r w:rsidR="002A24C0" w:rsidRPr="002F4D1A">
        <w:rPr>
          <w:rFonts w:cs="Times New Roman"/>
        </w:rPr>
        <w:t>The Committee reviewed</w:t>
      </w:r>
      <w:r w:rsidR="00FA7D0B" w:rsidRPr="002F4D1A">
        <w:rPr>
          <w:rFonts w:cs="Times New Roman"/>
        </w:rPr>
        <w:t xml:space="preserve"> the 201</w:t>
      </w:r>
      <w:r w:rsidR="000F51D0">
        <w:rPr>
          <w:rFonts w:cs="Times New Roman"/>
        </w:rPr>
        <w:t>8</w:t>
      </w:r>
      <w:r w:rsidR="00FA7D0B" w:rsidRPr="002F4D1A">
        <w:rPr>
          <w:rFonts w:cs="Times New Roman"/>
        </w:rPr>
        <w:t xml:space="preserve"> Annual Report of the Ethics Officer</w:t>
      </w:r>
      <w:r w:rsidR="002A24C0" w:rsidRPr="002F4D1A">
        <w:rPr>
          <w:rFonts w:cs="Times New Roman"/>
        </w:rPr>
        <w:t xml:space="preserve">. </w:t>
      </w:r>
      <w:r w:rsidR="00D3009A" w:rsidRPr="002F4D1A">
        <w:rPr>
          <w:rFonts w:cs="Times New Roman"/>
        </w:rPr>
        <w:t>It note</w:t>
      </w:r>
      <w:r w:rsidR="000F51D0">
        <w:rPr>
          <w:rFonts w:cs="Times New Roman"/>
        </w:rPr>
        <w:t>d</w:t>
      </w:r>
      <w:r w:rsidR="00D3009A" w:rsidRPr="002F4D1A">
        <w:rPr>
          <w:rFonts w:cs="Times New Roman"/>
        </w:rPr>
        <w:t xml:space="preserve"> </w:t>
      </w:r>
      <w:r w:rsidR="003074AD" w:rsidRPr="002F4D1A">
        <w:rPr>
          <w:rFonts w:cs="Times New Roman"/>
        </w:rPr>
        <w:t>th</w:t>
      </w:r>
      <w:r w:rsidR="00B665F6" w:rsidRPr="002F4D1A">
        <w:rPr>
          <w:rFonts w:cs="Times New Roman"/>
        </w:rPr>
        <w:t xml:space="preserve">at </w:t>
      </w:r>
      <w:r w:rsidR="00AE527F">
        <w:rPr>
          <w:rFonts w:cs="Times New Roman"/>
        </w:rPr>
        <w:t>the Ethics Office in 2018 had received more than 1,000 requests of different types.</w:t>
      </w:r>
      <w:r w:rsidR="00F54FD2">
        <w:rPr>
          <w:rFonts w:cs="Times New Roman"/>
        </w:rPr>
        <w:t xml:space="preserve"> </w:t>
      </w:r>
      <w:r w:rsidR="004C0051">
        <w:rPr>
          <w:rFonts w:cs="Times New Roman"/>
        </w:rPr>
        <w:t xml:space="preserve">This represented a </w:t>
      </w:r>
      <w:r w:rsidR="00F54FD2">
        <w:rPr>
          <w:rFonts w:cs="Times New Roman"/>
        </w:rPr>
        <w:t>slight increase compared to 2017.</w:t>
      </w:r>
    </w:p>
    <w:p w14:paraId="77B73F44" w14:textId="77777777" w:rsidR="00AE527F" w:rsidRDefault="0010009C" w:rsidP="00CE62E0">
      <w:pPr>
        <w:tabs>
          <w:tab w:val="clear" w:pos="284"/>
          <w:tab w:val="left" w:pos="426"/>
        </w:tabs>
        <w:rPr>
          <w:rFonts w:cs="Times New Roman"/>
        </w:rPr>
      </w:pPr>
      <w:r>
        <w:rPr>
          <w:rFonts w:cs="Times New Roman"/>
        </w:rPr>
        <w:t>42</w:t>
      </w:r>
      <w:r w:rsidR="00CE62E0">
        <w:rPr>
          <w:rFonts w:cs="Times New Roman"/>
        </w:rPr>
        <w:t>.</w:t>
      </w:r>
      <w:r w:rsidR="00CE62E0">
        <w:rPr>
          <w:rFonts w:cs="Times New Roman"/>
        </w:rPr>
        <w:tab/>
      </w:r>
      <w:r w:rsidR="00EC7B99">
        <w:rPr>
          <w:rFonts w:cs="Times New Roman"/>
        </w:rPr>
        <w:t xml:space="preserve">The Committee </w:t>
      </w:r>
      <w:r w:rsidR="00AE527F">
        <w:rPr>
          <w:rFonts w:cs="Times New Roman"/>
        </w:rPr>
        <w:t xml:space="preserve">noted with appreciation that also in 2018 the financial disclosure programme </w:t>
      </w:r>
      <w:r w:rsidR="00F54FD2">
        <w:rPr>
          <w:rFonts w:cs="Times New Roman"/>
        </w:rPr>
        <w:t xml:space="preserve">focused on conflict of interest </w:t>
      </w:r>
      <w:r w:rsidR="00AE527F">
        <w:rPr>
          <w:rFonts w:cs="Times New Roman"/>
        </w:rPr>
        <w:t>had achieved a 100 per cent completion rate.</w:t>
      </w:r>
      <w:r w:rsidR="00EC7B99">
        <w:rPr>
          <w:rFonts w:cs="Times New Roman"/>
        </w:rPr>
        <w:t xml:space="preserve"> I</w:t>
      </w:r>
      <w:r w:rsidR="00F54FD2">
        <w:rPr>
          <w:rFonts w:cs="Times New Roman"/>
        </w:rPr>
        <w:t xml:space="preserve">n relation to gifts and hospitality it noted that UNOPS is applying a </w:t>
      </w:r>
      <w:proofErr w:type="gramStart"/>
      <w:r w:rsidR="00F54FD2">
        <w:rPr>
          <w:rFonts w:cs="Times New Roman"/>
        </w:rPr>
        <w:t>zero tolerance</w:t>
      </w:r>
      <w:proofErr w:type="gramEnd"/>
      <w:r w:rsidR="00F54FD2">
        <w:rPr>
          <w:rFonts w:cs="Times New Roman"/>
        </w:rPr>
        <w:t xml:space="preserve"> approach, while it is awaiting the outcome of the developmen</w:t>
      </w:r>
      <w:r w:rsidR="004C0051">
        <w:rPr>
          <w:rFonts w:cs="Times New Roman"/>
        </w:rPr>
        <w:t>t of a UN system wide standard.</w:t>
      </w:r>
    </w:p>
    <w:p w14:paraId="4C02FF73" w14:textId="77777777" w:rsidR="00F54FD2" w:rsidRDefault="0010009C" w:rsidP="00CE62E0">
      <w:pPr>
        <w:tabs>
          <w:tab w:val="clear" w:pos="284"/>
          <w:tab w:val="left" w:pos="426"/>
        </w:tabs>
      </w:pPr>
      <w:r>
        <w:t>43</w:t>
      </w:r>
      <w:r w:rsidR="00EC7B99">
        <w:t>.</w:t>
      </w:r>
      <w:r w:rsidR="00EC7B99">
        <w:tab/>
      </w:r>
      <w:r w:rsidR="00F54FD2">
        <w:t xml:space="preserve">The Committee noted that only few cases of protections against retaliation had been received by the Ethics Office, and that most in reality </w:t>
      </w:r>
      <w:r w:rsidR="00062356">
        <w:t xml:space="preserve">had </w:t>
      </w:r>
      <w:r w:rsidR="00F54FD2">
        <w:t>been human resources disputes. A UNOPS policy update was pending an update of the Secretary-General Bulletin on the matter.</w:t>
      </w:r>
    </w:p>
    <w:p w14:paraId="2A0EC069" w14:textId="77777777" w:rsidR="00F54FD2" w:rsidRDefault="0010009C" w:rsidP="00CE62E0">
      <w:pPr>
        <w:tabs>
          <w:tab w:val="clear" w:pos="284"/>
          <w:tab w:val="left" w:pos="426"/>
        </w:tabs>
      </w:pPr>
      <w:r>
        <w:t>44</w:t>
      </w:r>
      <w:r w:rsidR="00F54FD2">
        <w:t>.</w:t>
      </w:r>
      <w:r w:rsidR="00F54FD2">
        <w:tab/>
        <w:t xml:space="preserve">In the Second half of 2019 the Committee welcomed the newly appointed Director of Ethics and Compliance. </w:t>
      </w:r>
      <w:r w:rsidR="00EC7B99">
        <w:t>In r</w:t>
      </w:r>
      <w:r w:rsidR="00F54FD2">
        <w:t xml:space="preserve">eviewing the work plan for 2020 the Committee </w:t>
      </w:r>
      <w:r w:rsidR="00EC7B99">
        <w:t>noted the scope and ambition, and encouraged the strong emphasis on culture.</w:t>
      </w:r>
    </w:p>
    <w:p w14:paraId="12F849A0" w14:textId="77777777" w:rsidR="00EC13C6" w:rsidRDefault="00215502" w:rsidP="005F044A">
      <w:pPr>
        <w:pStyle w:val="Heading1"/>
      </w:pPr>
      <w:bookmarkStart w:id="12" w:name="_Toc3541968"/>
      <w:bookmarkStart w:id="13" w:name="_Toc34638435"/>
      <w:r>
        <w:t>Internal g</w:t>
      </w:r>
      <w:r w:rsidR="00EE1159">
        <w:t>overnance</w:t>
      </w:r>
      <w:r w:rsidR="006B22BA">
        <w:t xml:space="preserve"> and risk</w:t>
      </w:r>
      <w:bookmarkEnd w:id="12"/>
      <w:r w:rsidR="007356AD">
        <w:t xml:space="preserve"> management</w:t>
      </w:r>
      <w:bookmarkEnd w:id="13"/>
    </w:p>
    <w:p w14:paraId="5A2D2B8E" w14:textId="77777777" w:rsidR="00050EFC" w:rsidRDefault="00050EFC" w:rsidP="00574ADA">
      <w:pPr>
        <w:keepNext/>
        <w:tabs>
          <w:tab w:val="left" w:pos="426"/>
        </w:tabs>
        <w:rPr>
          <w:i/>
        </w:rPr>
      </w:pPr>
      <w:r>
        <w:rPr>
          <w:i/>
        </w:rPr>
        <w:t>Streamlining of policy framework</w:t>
      </w:r>
      <w:r w:rsidR="005F044A">
        <w:rPr>
          <w:i/>
        </w:rPr>
        <w:t xml:space="preserve"> and global structure</w:t>
      </w:r>
    </w:p>
    <w:p w14:paraId="11ECDBC7" w14:textId="77777777" w:rsidR="005F044A" w:rsidRDefault="0010009C" w:rsidP="00CE62E0">
      <w:pPr>
        <w:tabs>
          <w:tab w:val="clear" w:pos="284"/>
          <w:tab w:val="left" w:pos="426"/>
        </w:tabs>
      </w:pPr>
      <w:r>
        <w:t>45</w:t>
      </w:r>
      <w:r w:rsidR="00050EFC">
        <w:t>.</w:t>
      </w:r>
      <w:r w:rsidR="00050EFC">
        <w:tab/>
        <w:t xml:space="preserve">In 2019, UNOPS completed the implementation </w:t>
      </w:r>
      <w:r w:rsidR="004C0051">
        <w:t xml:space="preserve">of </w:t>
      </w:r>
      <w:r w:rsidR="00050EFC">
        <w:t xml:space="preserve">the comprehensive overhaul </w:t>
      </w:r>
      <w:r w:rsidR="004C0051">
        <w:t xml:space="preserve">of </w:t>
      </w:r>
      <w:r w:rsidR="00EE1159" w:rsidRPr="006D352C">
        <w:t xml:space="preserve">the overarching framework </w:t>
      </w:r>
      <w:r w:rsidR="0088128D" w:rsidRPr="006D352C">
        <w:t xml:space="preserve">for </w:t>
      </w:r>
      <w:r w:rsidR="008070FF">
        <w:t xml:space="preserve">its </w:t>
      </w:r>
      <w:r w:rsidR="00EE1159" w:rsidRPr="006D352C">
        <w:t>risk management systems</w:t>
      </w:r>
      <w:r w:rsidR="00AF202A" w:rsidRPr="006D352C">
        <w:t xml:space="preserve"> - </w:t>
      </w:r>
      <w:r w:rsidR="00EE1159" w:rsidRPr="006D352C">
        <w:t>the governance</w:t>
      </w:r>
      <w:r w:rsidR="0088128D" w:rsidRPr="006D352C">
        <w:t>,</w:t>
      </w:r>
      <w:r w:rsidR="00EE1159" w:rsidRPr="006D352C">
        <w:t xml:space="preserve"> risk and compliance framework</w:t>
      </w:r>
      <w:r w:rsidR="00050EFC">
        <w:t xml:space="preserve">. </w:t>
      </w:r>
      <w:r w:rsidR="008070FF">
        <w:t>The process was comp</w:t>
      </w:r>
      <w:r w:rsidR="009D1EC3">
        <w:t>l</w:t>
      </w:r>
      <w:r w:rsidR="008070FF">
        <w:t>ete</w:t>
      </w:r>
      <w:r w:rsidR="009D1EC3">
        <w:t>d</w:t>
      </w:r>
      <w:r w:rsidR="008070FF">
        <w:t xml:space="preserve"> by the review and updat</w:t>
      </w:r>
      <w:r w:rsidR="004C0051">
        <w:t>e</w:t>
      </w:r>
      <w:r w:rsidR="008070FF">
        <w:t xml:space="preserve"> of the Committee’s terms of reference</w:t>
      </w:r>
      <w:r w:rsidR="005F044A">
        <w:t xml:space="preserve">, pursuant to </w:t>
      </w:r>
      <w:hyperlink r:id="rId23" w:history="1">
        <w:r w:rsidR="009D1EC3" w:rsidRPr="00633A2E">
          <w:rPr>
            <w:rStyle w:val="Hyperlink"/>
          </w:rPr>
          <w:t>JIU/REP/2018/3</w:t>
        </w:r>
      </w:hyperlink>
      <w:r w:rsidR="009D1EC3">
        <w:t xml:space="preserve">, </w:t>
      </w:r>
      <w:hyperlink r:id="rId24" w:history="1">
        <w:r w:rsidR="009D1EC3" w:rsidRPr="00633A2E">
          <w:rPr>
            <w:rStyle w:val="Hyperlink"/>
          </w:rPr>
          <w:t>DP/OPS/2018/6</w:t>
        </w:r>
      </w:hyperlink>
      <w:r w:rsidR="009D1EC3">
        <w:t xml:space="preserve"> </w:t>
      </w:r>
      <w:r w:rsidR="00633A2E">
        <w:t xml:space="preserve">and </w:t>
      </w:r>
      <w:hyperlink r:id="rId25" w:history="1">
        <w:r w:rsidR="005F044A" w:rsidRPr="00633A2E">
          <w:rPr>
            <w:rStyle w:val="Hyperlink"/>
          </w:rPr>
          <w:t>JIU/REP/2019/6</w:t>
        </w:r>
      </w:hyperlink>
      <w:r w:rsidR="008070FF">
        <w:t>.</w:t>
      </w:r>
      <w:r w:rsidR="00373C53">
        <w:t xml:space="preserve"> The Committee</w:t>
      </w:r>
      <w:r w:rsidR="009D1EC3">
        <w:t>’s</w:t>
      </w:r>
      <w:r w:rsidR="00373C53">
        <w:t xml:space="preserve"> engagement in this process comprised a significant part of its self-assessment </w:t>
      </w:r>
      <w:r w:rsidR="00633A2E">
        <w:t xml:space="preserve">activities </w:t>
      </w:r>
      <w:r w:rsidR="00373C53">
        <w:t>in 2019.</w:t>
      </w:r>
    </w:p>
    <w:p w14:paraId="46B81811" w14:textId="77777777" w:rsidR="005F044A" w:rsidRDefault="0010009C" w:rsidP="00CE62E0">
      <w:pPr>
        <w:tabs>
          <w:tab w:val="clear" w:pos="284"/>
          <w:tab w:val="left" w:pos="426"/>
        </w:tabs>
      </w:pPr>
      <w:r>
        <w:t>46</w:t>
      </w:r>
      <w:r w:rsidR="005F044A">
        <w:t>.</w:t>
      </w:r>
      <w:r w:rsidR="008070FF">
        <w:t xml:space="preserve"> Later in the year, </w:t>
      </w:r>
      <w:r w:rsidR="005F044A">
        <w:t xml:space="preserve">the Committee was briefed on the </w:t>
      </w:r>
      <w:r w:rsidR="008070FF">
        <w:t xml:space="preserve">establishment of a </w:t>
      </w:r>
      <w:r w:rsidR="005F044A">
        <w:t xml:space="preserve">new </w:t>
      </w:r>
      <w:r w:rsidR="008070FF">
        <w:t xml:space="preserve">global structure for the organization. </w:t>
      </w:r>
      <w:r w:rsidR="005F044A">
        <w:t>The new global structure included a Senior Leadership T</w:t>
      </w:r>
      <w:r w:rsidR="00AD0EED">
        <w:t>eam comprising the directors of</w:t>
      </w:r>
      <w:r w:rsidR="005F044A">
        <w:t xml:space="preserve"> the four newly established </w:t>
      </w:r>
      <w:r w:rsidR="004C0051">
        <w:t xml:space="preserve">functional </w:t>
      </w:r>
      <w:r w:rsidR="005F044A">
        <w:t>pillars: Regional portfolios, Implementation Practices and Standards, General Counsel, and Finance and Administration. The Committee noted that the new structure was clear and simple, easy to explain and understand</w:t>
      </w:r>
      <w:r w:rsidR="00C94AA9">
        <w:t>,</w:t>
      </w:r>
      <w:r w:rsidR="005F044A">
        <w:t xml:space="preserve"> and that it was envisaged that it would enable quicker decision-</w:t>
      </w:r>
      <w:r w:rsidR="00C94AA9">
        <w:t>making</w:t>
      </w:r>
      <w:r w:rsidR="005F044A">
        <w:t>.</w:t>
      </w:r>
    </w:p>
    <w:p w14:paraId="1F80158D" w14:textId="77777777" w:rsidR="008070FF" w:rsidRDefault="0010009C" w:rsidP="00CE62E0">
      <w:pPr>
        <w:tabs>
          <w:tab w:val="clear" w:pos="284"/>
          <w:tab w:val="left" w:pos="426"/>
        </w:tabs>
      </w:pPr>
      <w:r>
        <w:lastRenderedPageBreak/>
        <w:t>47</w:t>
      </w:r>
      <w:r w:rsidR="008070FF">
        <w:t>.</w:t>
      </w:r>
      <w:r w:rsidR="008070FF">
        <w:tab/>
        <w:t xml:space="preserve">In </w:t>
      </w:r>
      <w:r w:rsidR="00134728">
        <w:t xml:space="preserve">2019, UNOPS also completed the </w:t>
      </w:r>
      <w:r w:rsidR="008070FF">
        <w:t xml:space="preserve">development of a new project management manual, comprising prescriptive content </w:t>
      </w:r>
      <w:r w:rsidR="00AD0EED">
        <w:t xml:space="preserve">for project management in UNOPS, </w:t>
      </w:r>
      <w:r w:rsidR="008070FF">
        <w:t xml:space="preserve">as well as a wealth of guidance on sustainable implementation approaches. The manual was in turn supported by the introduction of a new </w:t>
      </w:r>
      <w:r w:rsidR="00BA2DCF">
        <w:t xml:space="preserve">enterprise portfolio and </w:t>
      </w:r>
      <w:r w:rsidR="008070FF">
        <w:t>project management system “</w:t>
      </w:r>
      <w:proofErr w:type="spellStart"/>
      <w:r w:rsidR="008070FF">
        <w:t>OneUNOPS</w:t>
      </w:r>
      <w:proofErr w:type="spellEnd"/>
      <w:r w:rsidR="008070FF">
        <w:t xml:space="preserve"> </w:t>
      </w:r>
      <w:r w:rsidR="00BA2DCF">
        <w:t>Projects</w:t>
      </w:r>
      <w:r w:rsidR="008070FF">
        <w:t>”</w:t>
      </w:r>
      <w:r w:rsidR="00BA2DCF">
        <w:t>.</w:t>
      </w:r>
      <w:r w:rsidR="008070FF">
        <w:t xml:space="preserve"> The Committee commended the efforts</w:t>
      </w:r>
      <w:r w:rsidR="00134728">
        <w:t>,</w:t>
      </w:r>
      <w:r w:rsidR="008070FF">
        <w:t xml:space="preserve"> noting that the new manual and systems support the drive for accountability</w:t>
      </w:r>
      <w:r w:rsidR="00134728">
        <w:t xml:space="preserve">, consistency </w:t>
      </w:r>
      <w:r w:rsidR="008070FF">
        <w:t>and quality of implementation.</w:t>
      </w:r>
    </w:p>
    <w:p w14:paraId="0FC77FBE" w14:textId="77777777" w:rsidR="00317E68" w:rsidRDefault="0010009C" w:rsidP="00CE62E0">
      <w:pPr>
        <w:tabs>
          <w:tab w:val="clear" w:pos="284"/>
          <w:tab w:val="left" w:pos="426"/>
        </w:tabs>
      </w:pPr>
      <w:r>
        <w:t>48</w:t>
      </w:r>
      <w:r w:rsidR="00674AFA">
        <w:t>.</w:t>
      </w:r>
      <w:r w:rsidR="00674AFA">
        <w:tab/>
        <w:t xml:space="preserve">The Committee noted that the Executive Board had </w:t>
      </w:r>
      <w:r w:rsidR="00317E68">
        <w:t>taken note of the Secretary-General’s decision to establish a UNOPS Client Board, and abolish the Policy Advisory Committee, which had been inactive for a number of years. It was emphasized, that the Client Board would not be part of the UNOPS governance structure. It would strictly be advi</w:t>
      </w:r>
      <w:r w:rsidR="00AD0EED">
        <w:t xml:space="preserve">sory to the Executive Director; </w:t>
      </w:r>
      <w:r w:rsidR="00317E68">
        <w:t>it would comprise a general and a UN segment</w:t>
      </w:r>
      <w:r w:rsidR="00AD0EED">
        <w:t>;</w:t>
      </w:r>
      <w:r w:rsidR="00317E68">
        <w:t xml:space="preserve"> and its agenda could, inter alia, be informed by the UNOPS partner survey. </w:t>
      </w:r>
    </w:p>
    <w:p w14:paraId="737C545E" w14:textId="77777777" w:rsidR="00317E68" w:rsidRDefault="0010009C" w:rsidP="00CE62E0">
      <w:pPr>
        <w:tabs>
          <w:tab w:val="clear" w:pos="284"/>
          <w:tab w:val="left" w:pos="426"/>
        </w:tabs>
      </w:pPr>
      <w:r>
        <w:t>49</w:t>
      </w:r>
      <w:r w:rsidR="00317E68">
        <w:t>.</w:t>
      </w:r>
      <w:r w:rsidR="00317E68">
        <w:tab/>
        <w:t>The Committee welcomed the Secretary-General’s initiative, emphasizing the added opportunity for qualitative strategic engagement with partners through the new mechanism. It fur</w:t>
      </w:r>
      <w:r w:rsidR="00AD0EED">
        <w:t>ther noted that the decision to</w:t>
      </w:r>
      <w:r w:rsidR="00317E68">
        <w:t xml:space="preserve"> abolish the Policy Advisory Committee wou</w:t>
      </w:r>
      <w:r w:rsidR="00AD0EED">
        <w:t>ld reinstate full consistency of</w:t>
      </w:r>
      <w:r w:rsidR="00317E68">
        <w:t xml:space="preserve"> the external and inter</w:t>
      </w:r>
      <w:r w:rsidR="00BA2DCF">
        <w:t>nal UNOPS governance structure.</w:t>
      </w:r>
    </w:p>
    <w:p w14:paraId="03BD8AC5" w14:textId="77777777" w:rsidR="00134728" w:rsidRPr="00050EFC" w:rsidRDefault="00134728" w:rsidP="00CE62E0">
      <w:pPr>
        <w:tabs>
          <w:tab w:val="clear" w:pos="284"/>
          <w:tab w:val="left" w:pos="426"/>
        </w:tabs>
        <w:rPr>
          <w:i/>
        </w:rPr>
      </w:pPr>
      <w:r w:rsidRPr="00050EFC">
        <w:rPr>
          <w:i/>
        </w:rPr>
        <w:t>Risk management</w:t>
      </w:r>
    </w:p>
    <w:p w14:paraId="19815B58" w14:textId="77777777" w:rsidR="00134728" w:rsidRDefault="0010009C" w:rsidP="00CE62E0">
      <w:pPr>
        <w:tabs>
          <w:tab w:val="clear" w:pos="284"/>
          <w:tab w:val="left" w:pos="426"/>
        </w:tabs>
      </w:pPr>
      <w:r>
        <w:t>5</w:t>
      </w:r>
      <w:r w:rsidR="007356AD">
        <w:t>0</w:t>
      </w:r>
      <w:r w:rsidR="00134728">
        <w:t>.</w:t>
      </w:r>
      <w:r w:rsidR="00134728">
        <w:tab/>
        <w:t>Throughout the year, all meetings of the Committee involved consideration of risk, be it from a strategic, financial and/or audit perspective; and the monitoring of risk factors and mitigation activities ongoing throughout the year.</w:t>
      </w:r>
    </w:p>
    <w:p w14:paraId="129A0627" w14:textId="77777777" w:rsidR="00134728" w:rsidRDefault="0010009C" w:rsidP="00CE62E0">
      <w:pPr>
        <w:tabs>
          <w:tab w:val="clear" w:pos="284"/>
          <w:tab w:val="left" w:pos="426"/>
        </w:tabs>
      </w:pPr>
      <w:r>
        <w:t>5</w:t>
      </w:r>
      <w:r w:rsidR="007356AD">
        <w:t>1</w:t>
      </w:r>
      <w:r w:rsidR="00134728">
        <w:t>.</w:t>
      </w:r>
      <w:r w:rsidR="00134728">
        <w:tab/>
        <w:t>The breadth of expertise of the members enabled the Committee to fulfil is advisory role and responsibilities. It enabled the Committee to provide a priori and foresight advice on potential risk areas – both upside and downside. Through this</w:t>
      </w:r>
      <w:r w:rsidR="00AD0EED">
        <w:t>,</w:t>
      </w:r>
      <w:r w:rsidR="00134728">
        <w:t xml:space="preserve"> it could advise on mitigating thinking and action in order to increase value and impact potential, and reduce cost and adverse consequences.</w:t>
      </w:r>
    </w:p>
    <w:p w14:paraId="39EACF13" w14:textId="77777777" w:rsidR="00134728" w:rsidRDefault="0010009C" w:rsidP="00CE62E0">
      <w:pPr>
        <w:tabs>
          <w:tab w:val="clear" w:pos="284"/>
          <w:tab w:val="left" w:pos="426"/>
        </w:tabs>
      </w:pPr>
      <w:r>
        <w:t>5</w:t>
      </w:r>
      <w:r w:rsidR="007356AD">
        <w:t>2</w:t>
      </w:r>
      <w:r w:rsidR="00134728">
        <w:t>.</w:t>
      </w:r>
      <w:r w:rsidR="00134728">
        <w:tab/>
        <w:t xml:space="preserve">Discussions of risks were initiated both ways. The dialogue was open and transparent, and mitigating thinking and actions </w:t>
      </w:r>
      <w:r w:rsidR="00BA2DCF">
        <w:t xml:space="preserve">were </w:t>
      </w:r>
      <w:r w:rsidR="00134728">
        <w:t xml:space="preserve">reached through dialogue and monitoring. The tone was one of looking for potential risks and opportunities to improve, and </w:t>
      </w:r>
      <w:r w:rsidR="00BA2DCF">
        <w:t>exploring items in depth</w:t>
      </w:r>
      <w:r w:rsidR="00134728">
        <w:t xml:space="preserve">. The </w:t>
      </w:r>
      <w:proofErr w:type="gramStart"/>
      <w:r w:rsidR="00134728">
        <w:t>long term</w:t>
      </w:r>
      <w:proofErr w:type="gramEnd"/>
      <w:r w:rsidR="00134728">
        <w:t xml:space="preserve"> focus was on culture of risk consciousness, appropriate mitigation, and the building of capacity and capability to handle and thrive in the adverse and ever changing risk environment.</w:t>
      </w:r>
    </w:p>
    <w:p w14:paraId="0016DBA1" w14:textId="77777777" w:rsidR="00134728" w:rsidRDefault="0010009C" w:rsidP="00CE62E0">
      <w:pPr>
        <w:tabs>
          <w:tab w:val="clear" w:pos="284"/>
          <w:tab w:val="left" w:pos="426"/>
        </w:tabs>
      </w:pPr>
      <w:r>
        <w:t>5</w:t>
      </w:r>
      <w:r w:rsidR="007356AD">
        <w:t>3</w:t>
      </w:r>
      <w:r w:rsidR="00134728">
        <w:t>.</w:t>
      </w:r>
      <w:r w:rsidR="00134728">
        <w:tab/>
        <w:t>Based on it</w:t>
      </w:r>
      <w:r w:rsidR="00AD0EED">
        <w:t>s engagement the Committee found</w:t>
      </w:r>
      <w:r w:rsidR="00134728">
        <w:t xml:space="preserve"> that the UNOPS leadership has a strong commitment to actively managing risks, including through fostering and reinforcing a culture of accountability, enabled through clear policies and IT tools. Areas th</w:t>
      </w:r>
      <w:r w:rsidR="00940A43">
        <w:t>at</w:t>
      </w:r>
      <w:r w:rsidR="00134728">
        <w:t xml:space="preserve"> may be considered for focus and continuous improvement include: </w:t>
      </w:r>
    </w:p>
    <w:p w14:paraId="07F46D28" w14:textId="77777777" w:rsidR="00134728" w:rsidRDefault="00134728" w:rsidP="00134728">
      <w:pPr>
        <w:tabs>
          <w:tab w:val="left" w:pos="426"/>
        </w:tabs>
        <w:ind w:left="284"/>
      </w:pPr>
      <w:r>
        <w:t xml:space="preserve">a) Increased integration with the results-based management and monitoring driving strategy implementation. </w:t>
      </w:r>
    </w:p>
    <w:p w14:paraId="470C5DD1" w14:textId="77777777" w:rsidR="00134728" w:rsidRDefault="00134728" w:rsidP="00134728">
      <w:pPr>
        <w:tabs>
          <w:tab w:val="left" w:pos="426"/>
        </w:tabs>
        <w:ind w:left="284"/>
      </w:pPr>
      <w:r>
        <w:t>b) Enhanced integration of ERM and ICF frameworks, and the associated compliance monitoring.</w:t>
      </w:r>
    </w:p>
    <w:p w14:paraId="4077EA98" w14:textId="77777777" w:rsidR="00134728" w:rsidRDefault="00134728" w:rsidP="00134728">
      <w:pPr>
        <w:tabs>
          <w:tab w:val="left" w:pos="426"/>
        </w:tabs>
        <w:ind w:left="284"/>
      </w:pPr>
      <w:r>
        <w:t>c) Continued development of quantitative risk management models</w:t>
      </w:r>
      <w:r w:rsidR="00BA2DCF">
        <w:t xml:space="preserve">, </w:t>
      </w:r>
      <w:r>
        <w:t>including predictive modelling based on machine learning/Artificial Intelligence.</w:t>
      </w:r>
    </w:p>
    <w:p w14:paraId="536F9E69" w14:textId="77777777" w:rsidR="00134728" w:rsidRDefault="00134728" w:rsidP="00134728">
      <w:pPr>
        <w:tabs>
          <w:tab w:val="left" w:pos="426"/>
        </w:tabs>
        <w:ind w:left="284"/>
      </w:pPr>
      <w:r>
        <w:t>d) An ever stronger and more visible integration with culture, leadership and people development practice.</w:t>
      </w:r>
    </w:p>
    <w:p w14:paraId="7C1D1023" w14:textId="77777777" w:rsidR="007356AD" w:rsidRPr="00EC7B99" w:rsidRDefault="007356AD" w:rsidP="007356AD">
      <w:pPr>
        <w:keepNext/>
        <w:tabs>
          <w:tab w:val="clear" w:pos="284"/>
          <w:tab w:val="left" w:pos="426"/>
        </w:tabs>
        <w:rPr>
          <w:i/>
        </w:rPr>
      </w:pPr>
      <w:bookmarkStart w:id="14" w:name="_Toc3541966"/>
      <w:r w:rsidRPr="00EC7B99">
        <w:rPr>
          <w:i/>
        </w:rPr>
        <w:t>Information</w:t>
      </w:r>
      <w:r>
        <w:rPr>
          <w:i/>
        </w:rPr>
        <w:t xml:space="preserve"> and cyber </w:t>
      </w:r>
      <w:r w:rsidRPr="00EC7B99">
        <w:rPr>
          <w:i/>
        </w:rPr>
        <w:t>security</w:t>
      </w:r>
    </w:p>
    <w:p w14:paraId="0201016F" w14:textId="77777777" w:rsidR="007356AD" w:rsidRDefault="007356AD" w:rsidP="007356AD">
      <w:pPr>
        <w:tabs>
          <w:tab w:val="clear" w:pos="284"/>
          <w:tab w:val="left" w:pos="426"/>
        </w:tabs>
      </w:pPr>
      <w:r>
        <w:t>54.</w:t>
      </w:r>
      <w:r>
        <w:tab/>
        <w:t>The Committee welcomed the new Chief Information Security Officer (CISO) who had been embedded in IAIG.</w:t>
      </w:r>
    </w:p>
    <w:p w14:paraId="7BA0B665" w14:textId="77777777" w:rsidR="007356AD" w:rsidRDefault="007356AD" w:rsidP="007356AD">
      <w:pPr>
        <w:tabs>
          <w:tab w:val="clear" w:pos="284"/>
          <w:tab w:val="left" w:pos="426"/>
        </w:tabs>
      </w:pPr>
      <w:r>
        <w:t>55.</w:t>
      </w:r>
      <w:r>
        <w:tab/>
        <w:t>The Committee noted that the initial focus of the CISO had been to compile a baseline assessment of the sta</w:t>
      </w:r>
      <w:r w:rsidR="00BA2DCF">
        <w:t>tus of cyber security in UNOPS.</w:t>
      </w:r>
      <w:r>
        <w:t xml:space="preserve"> It further noted that ISO 27001 was envisaged to be the preferred standard reference framework for information security.</w:t>
      </w:r>
    </w:p>
    <w:p w14:paraId="5F822DF0" w14:textId="77777777" w:rsidR="007356AD" w:rsidRDefault="007356AD" w:rsidP="007356AD">
      <w:pPr>
        <w:tabs>
          <w:tab w:val="clear" w:pos="284"/>
          <w:tab w:val="left" w:pos="426"/>
        </w:tabs>
      </w:pPr>
      <w:r>
        <w:t>56.</w:t>
      </w:r>
      <w:r>
        <w:tab/>
        <w:t xml:space="preserve">The Committee noted that although the UN in principle is not subject to national data protection laws, adequate data protection and cyber security would be essential for the organization to remain a </w:t>
      </w:r>
      <w:r>
        <w:lastRenderedPageBreak/>
        <w:t>credible partner. This particularly, because many of the partner organizations would be subject to such regulations and related scrutiny.</w:t>
      </w:r>
    </w:p>
    <w:p w14:paraId="20293AAA" w14:textId="77777777" w:rsidR="00215502" w:rsidRDefault="00215502" w:rsidP="005F044A">
      <w:pPr>
        <w:pStyle w:val="Heading1"/>
      </w:pPr>
      <w:bookmarkStart w:id="15" w:name="_Toc34638436"/>
      <w:r w:rsidRPr="00B41DAA">
        <w:t>Financial matters</w:t>
      </w:r>
      <w:bookmarkEnd w:id="14"/>
      <w:bookmarkEnd w:id="15"/>
    </w:p>
    <w:p w14:paraId="68BC4381" w14:textId="77777777" w:rsidR="006F0515" w:rsidRDefault="006F0515" w:rsidP="00CE62E0">
      <w:pPr>
        <w:tabs>
          <w:tab w:val="clear" w:pos="284"/>
          <w:tab w:val="left" w:pos="426"/>
        </w:tabs>
        <w:rPr>
          <w:lang w:val="en-GB"/>
        </w:rPr>
      </w:pPr>
      <w:r>
        <w:rPr>
          <w:i/>
        </w:rPr>
        <w:t>Financial performance</w:t>
      </w:r>
      <w:r>
        <w:rPr>
          <w:lang w:val="en-GB"/>
        </w:rPr>
        <w:t xml:space="preserve"> </w:t>
      </w:r>
    </w:p>
    <w:p w14:paraId="19768B1A" w14:textId="77777777" w:rsidR="00091F97" w:rsidRDefault="0010009C" w:rsidP="00CE62E0">
      <w:pPr>
        <w:tabs>
          <w:tab w:val="clear" w:pos="284"/>
          <w:tab w:val="left" w:pos="426"/>
        </w:tabs>
        <w:rPr>
          <w:lang w:val="en-GB"/>
        </w:rPr>
      </w:pPr>
      <w:r>
        <w:rPr>
          <w:lang w:val="en-GB"/>
        </w:rPr>
        <w:t>57</w:t>
      </w:r>
      <w:r w:rsidR="00215502">
        <w:rPr>
          <w:lang w:val="en-GB"/>
        </w:rPr>
        <w:t>.</w:t>
      </w:r>
      <w:r w:rsidR="00215502">
        <w:rPr>
          <w:lang w:val="en-GB"/>
        </w:rPr>
        <w:tab/>
      </w:r>
      <w:r w:rsidR="00215502" w:rsidRPr="00B665F6">
        <w:rPr>
          <w:lang w:val="en-GB"/>
        </w:rPr>
        <w:t>During the year, the Committee was kept abreast of the organization’s overall financial performance. Presented with an update on the indicative financial performance for 201</w:t>
      </w:r>
      <w:r w:rsidR="00C94AA9">
        <w:rPr>
          <w:lang w:val="en-GB"/>
        </w:rPr>
        <w:t>8</w:t>
      </w:r>
      <w:r w:rsidR="00215502" w:rsidRPr="00B665F6">
        <w:rPr>
          <w:lang w:val="en-GB"/>
        </w:rPr>
        <w:t xml:space="preserve">, it noted the </w:t>
      </w:r>
      <w:r w:rsidR="00BA2DCF">
        <w:rPr>
          <w:lang w:val="en-GB"/>
        </w:rPr>
        <w:t>indications</w:t>
      </w:r>
      <w:r w:rsidR="00215502" w:rsidRPr="00B665F6">
        <w:rPr>
          <w:lang w:val="en-GB"/>
        </w:rPr>
        <w:t xml:space="preserve"> of strong financial performance and </w:t>
      </w:r>
      <w:r w:rsidR="00215502">
        <w:rPr>
          <w:lang w:val="en-GB"/>
        </w:rPr>
        <w:t>a</w:t>
      </w:r>
      <w:r w:rsidR="00BA2DCF">
        <w:rPr>
          <w:lang w:val="en-GB"/>
        </w:rPr>
        <w:t xml:space="preserve">n overall </w:t>
      </w:r>
      <w:r w:rsidR="00215502" w:rsidRPr="00B665F6">
        <w:rPr>
          <w:lang w:val="en-GB"/>
        </w:rPr>
        <w:t>solid financial position. This was confirmed when the Committee was presented with the final audited financial statements</w:t>
      </w:r>
      <w:r w:rsidR="00C94AA9">
        <w:rPr>
          <w:lang w:val="en-GB"/>
        </w:rPr>
        <w:t xml:space="preserve"> later in the year</w:t>
      </w:r>
      <w:r w:rsidR="00215502" w:rsidRPr="00B665F6">
        <w:rPr>
          <w:lang w:val="en-GB"/>
        </w:rPr>
        <w:t>. The Committee note</w:t>
      </w:r>
      <w:r w:rsidR="00091F97">
        <w:rPr>
          <w:lang w:val="en-GB"/>
        </w:rPr>
        <w:t>d</w:t>
      </w:r>
      <w:r w:rsidR="00215502" w:rsidRPr="00B665F6">
        <w:rPr>
          <w:lang w:val="en-GB"/>
        </w:rPr>
        <w:t xml:space="preserve"> that the UNOPS financial statements are fully IPSAS compliant</w:t>
      </w:r>
      <w:r w:rsidR="00091F97">
        <w:rPr>
          <w:lang w:val="en-GB"/>
        </w:rPr>
        <w:t>, and that the audit had not resulted in matters of emphasis.</w:t>
      </w:r>
    </w:p>
    <w:p w14:paraId="73C312C0" w14:textId="77777777" w:rsidR="006F0515" w:rsidRPr="00C3706D" w:rsidRDefault="0010009C" w:rsidP="00CE62E0">
      <w:pPr>
        <w:tabs>
          <w:tab w:val="clear" w:pos="284"/>
          <w:tab w:val="left" w:pos="426"/>
        </w:tabs>
        <w:rPr>
          <w:lang w:val="en-GB"/>
        </w:rPr>
      </w:pPr>
      <w:r>
        <w:rPr>
          <w:lang w:val="en-GB"/>
        </w:rPr>
        <w:t>58</w:t>
      </w:r>
      <w:r w:rsidR="006F0515">
        <w:rPr>
          <w:lang w:val="en-GB"/>
        </w:rPr>
        <w:t>.</w:t>
      </w:r>
      <w:r w:rsidR="006F0515">
        <w:rPr>
          <w:lang w:val="en-GB"/>
        </w:rPr>
        <w:tab/>
      </w:r>
      <w:r w:rsidR="006F0515" w:rsidRPr="008F7E21">
        <w:rPr>
          <w:lang w:val="en-GB"/>
        </w:rPr>
        <w:t xml:space="preserve">In relation to </w:t>
      </w:r>
      <w:r w:rsidR="006F0515">
        <w:rPr>
          <w:lang w:val="en-GB"/>
        </w:rPr>
        <w:t xml:space="preserve">the </w:t>
      </w:r>
      <w:r w:rsidR="006F0515" w:rsidRPr="008F7E21">
        <w:rPr>
          <w:lang w:val="en-GB"/>
        </w:rPr>
        <w:t>statement of financial performance for 201</w:t>
      </w:r>
      <w:r w:rsidR="006F0515">
        <w:rPr>
          <w:lang w:val="en-GB"/>
        </w:rPr>
        <w:t>8</w:t>
      </w:r>
      <w:r w:rsidR="006F0515" w:rsidRPr="000B7EB8">
        <w:rPr>
          <w:lang w:val="en-GB"/>
        </w:rPr>
        <w:t xml:space="preserve"> </w:t>
      </w:r>
      <w:r w:rsidR="006F0515">
        <w:rPr>
          <w:lang w:val="en-GB"/>
        </w:rPr>
        <w:t xml:space="preserve">- </w:t>
      </w:r>
      <w:r w:rsidR="006F0515" w:rsidRPr="008F7E21">
        <w:rPr>
          <w:lang w:val="en-GB"/>
        </w:rPr>
        <w:t>the income statement</w:t>
      </w:r>
      <w:r w:rsidR="006F0515">
        <w:rPr>
          <w:lang w:val="en-GB"/>
        </w:rPr>
        <w:t xml:space="preserve"> - </w:t>
      </w:r>
      <w:r w:rsidR="006F0515" w:rsidRPr="008F7E21">
        <w:rPr>
          <w:lang w:val="en-GB"/>
        </w:rPr>
        <w:t>the Committee note</w:t>
      </w:r>
      <w:r w:rsidR="006F0515">
        <w:rPr>
          <w:lang w:val="en-GB"/>
        </w:rPr>
        <w:t>d</w:t>
      </w:r>
      <w:r w:rsidR="006F0515" w:rsidRPr="008F7E21">
        <w:rPr>
          <w:lang w:val="en-GB"/>
        </w:rPr>
        <w:t xml:space="preserve"> that the UNOPS revenue f</w:t>
      </w:r>
      <w:r w:rsidR="006F0515">
        <w:rPr>
          <w:lang w:val="en-GB"/>
        </w:rPr>
        <w:t>rom</w:t>
      </w:r>
      <w:r w:rsidR="006F0515" w:rsidRPr="008F7E21">
        <w:rPr>
          <w:lang w:val="en-GB"/>
        </w:rPr>
        <w:t xml:space="preserve"> project activities had increased from </w:t>
      </w:r>
      <w:r w:rsidR="006F0515">
        <w:rPr>
          <w:lang w:val="en-GB"/>
        </w:rPr>
        <w:t xml:space="preserve">USD </w:t>
      </w:r>
      <w:r w:rsidR="006F0515" w:rsidRPr="008F7E21">
        <w:rPr>
          <w:lang w:val="en-GB"/>
        </w:rPr>
        <w:t>83</w:t>
      </w:r>
      <w:r w:rsidR="006F0515">
        <w:rPr>
          <w:lang w:val="en-GB"/>
        </w:rPr>
        <w:t>2</w:t>
      </w:r>
      <w:r w:rsidR="006F0515" w:rsidRPr="008F7E21">
        <w:rPr>
          <w:lang w:val="en-GB"/>
        </w:rPr>
        <w:t xml:space="preserve"> million to </w:t>
      </w:r>
      <w:r w:rsidR="006F0515">
        <w:rPr>
          <w:lang w:val="en-GB"/>
        </w:rPr>
        <w:t>USD 941</w:t>
      </w:r>
      <w:r w:rsidR="006F0515" w:rsidRPr="008F7E21">
        <w:rPr>
          <w:lang w:val="en-GB"/>
        </w:rPr>
        <w:t xml:space="preserve"> million. It further note</w:t>
      </w:r>
      <w:r w:rsidR="006F0515">
        <w:rPr>
          <w:lang w:val="en-GB"/>
        </w:rPr>
        <w:t>d</w:t>
      </w:r>
      <w:r w:rsidR="006F0515" w:rsidRPr="008F7E21">
        <w:rPr>
          <w:lang w:val="en-GB"/>
        </w:rPr>
        <w:t xml:space="preserve"> that </w:t>
      </w:r>
      <w:r w:rsidR="006F0515">
        <w:rPr>
          <w:lang w:val="en-GB"/>
        </w:rPr>
        <w:t>project-related expenses had amounted to USD 853</w:t>
      </w:r>
      <w:r w:rsidR="006F0515" w:rsidRPr="008F7E21">
        <w:rPr>
          <w:lang w:val="en-GB"/>
        </w:rPr>
        <w:t xml:space="preserve"> million, and </w:t>
      </w:r>
      <w:r w:rsidR="006F0515">
        <w:rPr>
          <w:lang w:val="en-GB"/>
        </w:rPr>
        <w:t>net revenue from project activities to USD 88</w:t>
      </w:r>
      <w:r w:rsidR="006F0515" w:rsidRPr="008F7E21">
        <w:rPr>
          <w:lang w:val="en-GB"/>
        </w:rPr>
        <w:t xml:space="preserve"> million. It further note</w:t>
      </w:r>
      <w:r w:rsidR="006F0515">
        <w:rPr>
          <w:lang w:val="en-GB"/>
        </w:rPr>
        <w:t>d</w:t>
      </w:r>
      <w:r w:rsidR="006F0515" w:rsidRPr="008F7E21">
        <w:rPr>
          <w:lang w:val="en-GB"/>
        </w:rPr>
        <w:t xml:space="preserve"> that in 201</w:t>
      </w:r>
      <w:r w:rsidR="006F0515">
        <w:rPr>
          <w:lang w:val="en-GB"/>
        </w:rPr>
        <w:t>8</w:t>
      </w:r>
      <w:r w:rsidR="006F0515" w:rsidRPr="008F7E21">
        <w:rPr>
          <w:lang w:val="en-GB"/>
        </w:rPr>
        <w:t xml:space="preserve"> the UNOPS </w:t>
      </w:r>
      <w:r w:rsidR="006F0515">
        <w:rPr>
          <w:lang w:val="en-GB"/>
        </w:rPr>
        <w:t>turnover</w:t>
      </w:r>
      <w:r w:rsidR="006F0515" w:rsidRPr="008F7E21">
        <w:rPr>
          <w:lang w:val="en-GB"/>
        </w:rPr>
        <w:t xml:space="preserve"> had included an additional </w:t>
      </w:r>
      <w:r w:rsidR="006F0515">
        <w:rPr>
          <w:lang w:val="en-GB"/>
        </w:rPr>
        <w:t>USD 1</w:t>
      </w:r>
      <w:r w:rsidR="006F0515" w:rsidRPr="008F7E21">
        <w:rPr>
          <w:lang w:val="en-GB"/>
        </w:rPr>
        <w:t>,</w:t>
      </w:r>
      <w:r w:rsidR="006F0515">
        <w:rPr>
          <w:lang w:val="en-GB"/>
        </w:rPr>
        <w:t>010</w:t>
      </w:r>
      <w:r w:rsidR="006F0515" w:rsidRPr="008F7E21">
        <w:rPr>
          <w:lang w:val="en-GB"/>
        </w:rPr>
        <w:t xml:space="preserve"> million of agent expense.</w:t>
      </w:r>
    </w:p>
    <w:p w14:paraId="1DB33355" w14:textId="77777777" w:rsidR="006F0515" w:rsidRDefault="006F0515" w:rsidP="00CE62E0">
      <w:pPr>
        <w:tabs>
          <w:tab w:val="clear" w:pos="284"/>
          <w:tab w:val="left" w:pos="426"/>
        </w:tabs>
        <w:rPr>
          <w:lang w:val="en-GB"/>
        </w:rPr>
      </w:pPr>
      <w:r>
        <w:rPr>
          <w:i/>
        </w:rPr>
        <w:t>Operational reserve</w:t>
      </w:r>
      <w:r>
        <w:rPr>
          <w:lang w:val="en-GB"/>
        </w:rPr>
        <w:t xml:space="preserve"> </w:t>
      </w:r>
    </w:p>
    <w:p w14:paraId="7EC506C9" w14:textId="77777777" w:rsidR="00C74337" w:rsidRDefault="0010009C" w:rsidP="00CE62E0">
      <w:pPr>
        <w:tabs>
          <w:tab w:val="clear" w:pos="284"/>
          <w:tab w:val="left" w:pos="426"/>
        </w:tabs>
        <w:rPr>
          <w:lang w:val="en-GB"/>
        </w:rPr>
      </w:pPr>
      <w:r>
        <w:rPr>
          <w:lang w:val="en-GB"/>
        </w:rPr>
        <w:t>59</w:t>
      </w:r>
      <w:r w:rsidR="00215502">
        <w:rPr>
          <w:lang w:val="en-GB"/>
        </w:rPr>
        <w:t>.</w:t>
      </w:r>
      <w:r w:rsidR="00215502">
        <w:rPr>
          <w:lang w:val="en-GB"/>
        </w:rPr>
        <w:tab/>
      </w:r>
      <w:r w:rsidR="00215502" w:rsidRPr="008F7E21">
        <w:rPr>
          <w:lang w:val="en-GB"/>
        </w:rPr>
        <w:t>In relation to the UNOPS operational reserve the Committee note</w:t>
      </w:r>
      <w:r w:rsidR="00C74337">
        <w:rPr>
          <w:lang w:val="en-GB"/>
        </w:rPr>
        <w:t>d</w:t>
      </w:r>
      <w:r w:rsidR="00215502" w:rsidRPr="008F7E21">
        <w:rPr>
          <w:lang w:val="en-GB"/>
        </w:rPr>
        <w:t xml:space="preserve"> that based on the 201</w:t>
      </w:r>
      <w:r w:rsidR="00C74337">
        <w:rPr>
          <w:lang w:val="en-GB"/>
        </w:rPr>
        <w:t>8</w:t>
      </w:r>
      <w:r w:rsidR="00215502" w:rsidRPr="008F7E21">
        <w:rPr>
          <w:lang w:val="en-GB"/>
        </w:rPr>
        <w:t xml:space="preserve"> results the reserve continued to exceed the minimum reserve requirements established by the Executive Board. It note</w:t>
      </w:r>
      <w:r w:rsidR="00C74337">
        <w:rPr>
          <w:lang w:val="en-GB"/>
        </w:rPr>
        <w:t>d</w:t>
      </w:r>
      <w:r w:rsidR="00215502" w:rsidRPr="008F7E21">
        <w:rPr>
          <w:lang w:val="en-GB"/>
        </w:rPr>
        <w:t xml:space="preserve"> that contingent liabilities had been disclosed in notes to the financial statements, and that the solid financial position would enable continued pursuit of the social impact investment strategy laid out in the strategic plan, 2018-2021.</w:t>
      </w:r>
      <w:r w:rsidR="00215502">
        <w:rPr>
          <w:lang w:val="en-GB"/>
        </w:rPr>
        <w:t xml:space="preserve"> </w:t>
      </w:r>
      <w:r w:rsidR="00C74337">
        <w:rPr>
          <w:lang w:val="en-GB"/>
        </w:rPr>
        <w:t>In this context it noted the provisions of the financial regulation</w:t>
      </w:r>
      <w:r w:rsidR="008104E4">
        <w:rPr>
          <w:lang w:val="en-GB"/>
        </w:rPr>
        <w:t>s</w:t>
      </w:r>
      <w:r w:rsidR="00C74337">
        <w:rPr>
          <w:lang w:val="en-GB"/>
        </w:rPr>
        <w:t xml:space="preserve"> that up to 50 per cent of the excess over the minimum reserve at the discretion of the Executive Director may be used for investments in future revenue generating activities.</w:t>
      </w:r>
      <w:r w:rsidR="00105ACB">
        <w:rPr>
          <w:lang w:val="en-GB"/>
        </w:rPr>
        <w:t xml:space="preserve"> </w:t>
      </w:r>
      <w:r w:rsidR="00C74337">
        <w:rPr>
          <w:lang w:val="en-GB"/>
        </w:rPr>
        <w:t xml:space="preserve">It further </w:t>
      </w:r>
      <w:r w:rsidR="00105ACB">
        <w:rPr>
          <w:lang w:val="en-GB"/>
        </w:rPr>
        <w:t>noted that social impact investment had been disclosed in notes to the statements. Overall</w:t>
      </w:r>
      <w:r w:rsidR="00BA2DCF">
        <w:rPr>
          <w:lang w:val="en-GB"/>
        </w:rPr>
        <w:t>,</w:t>
      </w:r>
      <w:r w:rsidR="00105ACB">
        <w:rPr>
          <w:lang w:val="en-GB"/>
        </w:rPr>
        <w:t xml:space="preserve"> it </w:t>
      </w:r>
      <w:r w:rsidR="00C74337">
        <w:rPr>
          <w:lang w:val="en-GB"/>
        </w:rPr>
        <w:t>observed that although the reserves exceed the minimum level</w:t>
      </w:r>
      <w:r w:rsidR="00BA2DCF">
        <w:rPr>
          <w:lang w:val="en-GB"/>
        </w:rPr>
        <w:t>,</w:t>
      </w:r>
      <w:r w:rsidR="00C74337">
        <w:rPr>
          <w:lang w:val="en-GB"/>
        </w:rPr>
        <w:t xml:space="preserve"> they still appear relatively modest considering the size of the portfolio and the </w:t>
      </w:r>
      <w:r w:rsidR="00BA2DCF">
        <w:rPr>
          <w:lang w:val="en-GB"/>
        </w:rPr>
        <w:t xml:space="preserve">risks associated with the </w:t>
      </w:r>
      <w:r w:rsidR="00C74337">
        <w:rPr>
          <w:lang w:val="en-GB"/>
        </w:rPr>
        <w:t>operational environment.</w:t>
      </w:r>
    </w:p>
    <w:p w14:paraId="67A25516" w14:textId="77777777" w:rsidR="006F0515" w:rsidRDefault="006F0515" w:rsidP="00574ADA">
      <w:pPr>
        <w:keepNext/>
        <w:tabs>
          <w:tab w:val="clear" w:pos="284"/>
          <w:tab w:val="left" w:pos="426"/>
        </w:tabs>
        <w:rPr>
          <w:lang w:val="en-GB"/>
        </w:rPr>
      </w:pPr>
      <w:r>
        <w:rPr>
          <w:i/>
          <w:lang w:val="en-GB"/>
        </w:rPr>
        <w:t>Budget estimates</w:t>
      </w:r>
      <w:r>
        <w:rPr>
          <w:lang w:val="en-GB"/>
        </w:rPr>
        <w:t xml:space="preserve"> </w:t>
      </w:r>
    </w:p>
    <w:p w14:paraId="59A727CC" w14:textId="77777777" w:rsidR="006F0515" w:rsidRDefault="0010009C" w:rsidP="00CE62E0">
      <w:pPr>
        <w:tabs>
          <w:tab w:val="clear" w:pos="284"/>
          <w:tab w:val="left" w:pos="426"/>
        </w:tabs>
        <w:rPr>
          <w:lang w:val="en-GB"/>
        </w:rPr>
      </w:pPr>
      <w:r>
        <w:rPr>
          <w:lang w:val="en-GB"/>
        </w:rPr>
        <w:t>60</w:t>
      </w:r>
      <w:r w:rsidR="006F0515">
        <w:rPr>
          <w:lang w:val="en-GB"/>
        </w:rPr>
        <w:t>.</w:t>
      </w:r>
      <w:r w:rsidR="006F0515">
        <w:rPr>
          <w:lang w:val="en-GB"/>
        </w:rPr>
        <w:tab/>
        <w:t>Presented with the biennial budget estimates, 2020-2021 the Committee noted that these essentially serve as a link between, on the one hand the strategic plan, and on the other hand the internal annual budgets and results framework</w:t>
      </w:r>
      <w:r w:rsidR="00105ACB">
        <w:rPr>
          <w:lang w:val="en-GB"/>
        </w:rPr>
        <w:t>s</w:t>
      </w:r>
      <w:r w:rsidR="006F0515">
        <w:rPr>
          <w:lang w:val="en-GB"/>
        </w:rPr>
        <w:t xml:space="preserve">. In reviewing the report of the ACABQ the Committee noted that the minimum requirement for the UNOPS operational reserve in recent years had remained relatively stable. </w:t>
      </w:r>
      <w:r w:rsidR="00105ACB">
        <w:rPr>
          <w:lang w:val="en-GB"/>
        </w:rPr>
        <w:t xml:space="preserve">It noted that this </w:t>
      </w:r>
      <w:r w:rsidR="006F0515">
        <w:rPr>
          <w:lang w:val="en-GB"/>
        </w:rPr>
        <w:t>was because also the management expense from which the requirement is derived had been kept at stable levels in spite of the significant growth in the organization’s overall delivery.</w:t>
      </w:r>
    </w:p>
    <w:p w14:paraId="7CAEB225" w14:textId="77777777" w:rsidR="006F0515" w:rsidRDefault="006F0515" w:rsidP="00CE62E0">
      <w:pPr>
        <w:tabs>
          <w:tab w:val="clear" w:pos="284"/>
          <w:tab w:val="left" w:pos="426"/>
        </w:tabs>
        <w:rPr>
          <w:lang w:val="en-GB"/>
        </w:rPr>
      </w:pPr>
      <w:r>
        <w:rPr>
          <w:i/>
          <w:lang w:val="en-GB"/>
        </w:rPr>
        <w:t>Accounting standards</w:t>
      </w:r>
      <w:r>
        <w:rPr>
          <w:lang w:val="en-GB"/>
        </w:rPr>
        <w:t xml:space="preserve"> </w:t>
      </w:r>
    </w:p>
    <w:p w14:paraId="54F52B01" w14:textId="77777777" w:rsidR="006F0515" w:rsidRDefault="0010009C" w:rsidP="00CE62E0">
      <w:pPr>
        <w:tabs>
          <w:tab w:val="clear" w:pos="284"/>
          <w:tab w:val="left" w:pos="426"/>
        </w:tabs>
        <w:rPr>
          <w:lang w:val="en-GB"/>
        </w:rPr>
      </w:pPr>
      <w:r>
        <w:rPr>
          <w:lang w:val="en-GB"/>
        </w:rPr>
        <w:t>61</w:t>
      </w:r>
      <w:r w:rsidR="006F0515">
        <w:rPr>
          <w:lang w:val="en-GB"/>
        </w:rPr>
        <w:t>.</w:t>
      </w:r>
      <w:r w:rsidR="006F0515">
        <w:rPr>
          <w:lang w:val="en-GB"/>
        </w:rPr>
        <w:tab/>
      </w:r>
      <w:r w:rsidR="006F0515" w:rsidRPr="008F7E21">
        <w:rPr>
          <w:lang w:val="en-GB"/>
        </w:rPr>
        <w:t>The Committee note</w:t>
      </w:r>
      <w:r w:rsidR="006F0515">
        <w:rPr>
          <w:lang w:val="en-GB"/>
        </w:rPr>
        <w:t>d</w:t>
      </w:r>
      <w:r w:rsidR="006F0515" w:rsidRPr="008F7E21">
        <w:rPr>
          <w:lang w:val="en-GB"/>
        </w:rPr>
        <w:t xml:space="preserve"> that also in 201</w:t>
      </w:r>
      <w:r w:rsidR="006F0515">
        <w:rPr>
          <w:lang w:val="en-GB"/>
        </w:rPr>
        <w:t>8</w:t>
      </w:r>
      <w:r w:rsidR="006F0515" w:rsidRPr="008F7E21">
        <w:rPr>
          <w:lang w:val="en-GB"/>
        </w:rPr>
        <w:t xml:space="preserve">, the UNOPS revenue from project implementation services </w:t>
      </w:r>
      <w:r w:rsidR="006F0515">
        <w:rPr>
          <w:lang w:val="en-GB"/>
        </w:rPr>
        <w:t xml:space="preserve">had been </w:t>
      </w:r>
      <w:r w:rsidR="006F0515" w:rsidRPr="008F7E21">
        <w:rPr>
          <w:lang w:val="en-GB"/>
        </w:rPr>
        <w:t>recognized as exchange transactions in accordance with IPSAS 9</w:t>
      </w:r>
      <w:r w:rsidR="00105ACB">
        <w:rPr>
          <w:lang w:val="en-GB"/>
        </w:rPr>
        <w:t xml:space="preserve">, </w:t>
      </w:r>
      <w:r w:rsidR="006F0515" w:rsidRPr="008F7E21">
        <w:rPr>
          <w:lang w:val="en-GB"/>
        </w:rPr>
        <w:t>and IPSAS 11 for construction contracts. It noted that exchange transactions in internal United Nations financial reporting are understood as part of revenue from other activities. In view of this it note</w:t>
      </w:r>
      <w:r w:rsidR="006F0515">
        <w:rPr>
          <w:lang w:val="en-GB"/>
        </w:rPr>
        <w:t>d</w:t>
      </w:r>
      <w:r w:rsidR="006F0515" w:rsidRPr="008F7E21">
        <w:rPr>
          <w:lang w:val="en-GB"/>
        </w:rPr>
        <w:t xml:space="preserve"> that the UNOPS revenue is unlike that of the majority of United Nations organizations, wh</w:t>
      </w:r>
      <w:r w:rsidR="00BA2DCF">
        <w:rPr>
          <w:lang w:val="en-GB"/>
        </w:rPr>
        <w:t>ich</w:t>
      </w:r>
      <w:r w:rsidR="006F0515" w:rsidRPr="008F7E21">
        <w:rPr>
          <w:lang w:val="en-GB"/>
        </w:rPr>
        <w:t xml:space="preserve"> derive their revenue f</w:t>
      </w:r>
      <w:r w:rsidR="00105ACB">
        <w:rPr>
          <w:lang w:val="en-GB"/>
        </w:rPr>
        <w:t xml:space="preserve">rom </w:t>
      </w:r>
      <w:r w:rsidR="006F0515" w:rsidRPr="008F7E21">
        <w:rPr>
          <w:lang w:val="en-GB"/>
        </w:rPr>
        <w:t>non-exchange transactions, which are recognized in accordance with IPSAS 23. In internal United Nations reporting non-exchange transactions are understood as assessed, voluntary core, or ear</w:t>
      </w:r>
      <w:r w:rsidR="006F0515">
        <w:rPr>
          <w:lang w:val="en-GB"/>
        </w:rPr>
        <w:t>marked non-core contributions.</w:t>
      </w:r>
    </w:p>
    <w:p w14:paraId="5C7F9F0D" w14:textId="77777777" w:rsidR="00215502" w:rsidRDefault="0010009C" w:rsidP="00CE62E0">
      <w:pPr>
        <w:tabs>
          <w:tab w:val="clear" w:pos="284"/>
          <w:tab w:val="left" w:pos="426"/>
        </w:tabs>
      </w:pPr>
      <w:r>
        <w:t>62</w:t>
      </w:r>
      <w:r w:rsidR="00215502" w:rsidRPr="0001100F">
        <w:t>.</w:t>
      </w:r>
      <w:r w:rsidR="00215502" w:rsidRPr="0001100F">
        <w:tab/>
        <w:t xml:space="preserve">In </w:t>
      </w:r>
      <w:r w:rsidR="00215502">
        <w:t>relation to management of organization-wide strategic risks, the Committee recall</w:t>
      </w:r>
      <w:r w:rsidR="00C94AA9">
        <w:t>ed</w:t>
      </w:r>
      <w:r w:rsidR="00215502">
        <w:t xml:space="preserve"> that the UNOPS financial statements are audited as a going concern</w:t>
      </w:r>
      <w:r w:rsidR="00C94AA9">
        <w:t>; and that</w:t>
      </w:r>
      <w:r w:rsidR="00215502">
        <w:t xml:space="preserve"> UNOPS</w:t>
      </w:r>
      <w:r w:rsidR="00C94AA9">
        <w:t>,</w:t>
      </w:r>
      <w:r w:rsidR="00215502">
        <w:t xml:space="preserve"> with its unique self-financed business</w:t>
      </w:r>
      <w:r w:rsidR="00C94AA9">
        <w:t xml:space="preserve"> model, is</w:t>
      </w:r>
      <w:r w:rsidR="00215502">
        <w:t xml:space="preserve"> one of few United Nations organizations for which this is the case.</w:t>
      </w:r>
      <w:r w:rsidR="00091F97">
        <w:t xml:space="preserve"> It further noted that the need to accumulate some surplus is commensurate with the need to ensure the ability to operate as a going concern in accordance with the financial regulations established by the Executive Board.</w:t>
      </w:r>
    </w:p>
    <w:p w14:paraId="27059FD3" w14:textId="77777777" w:rsidR="00215502" w:rsidRDefault="0010009C" w:rsidP="00CE62E0">
      <w:pPr>
        <w:tabs>
          <w:tab w:val="clear" w:pos="284"/>
          <w:tab w:val="left" w:pos="426"/>
        </w:tabs>
        <w:rPr>
          <w:lang w:val="en-GB"/>
        </w:rPr>
      </w:pPr>
      <w:r>
        <w:rPr>
          <w:lang w:val="en-GB"/>
        </w:rPr>
        <w:lastRenderedPageBreak/>
        <w:t>63</w:t>
      </w:r>
      <w:r w:rsidR="00215502">
        <w:rPr>
          <w:lang w:val="en-GB"/>
        </w:rPr>
        <w:t>.</w:t>
      </w:r>
      <w:r w:rsidR="00215502">
        <w:rPr>
          <w:lang w:val="en-GB"/>
        </w:rPr>
        <w:tab/>
      </w:r>
      <w:r w:rsidR="00215502" w:rsidRPr="008F7E21">
        <w:rPr>
          <w:lang w:val="en-GB"/>
        </w:rPr>
        <w:t>The Committee repeat</w:t>
      </w:r>
      <w:r w:rsidR="00C94AA9">
        <w:rPr>
          <w:lang w:val="en-GB"/>
        </w:rPr>
        <w:t>ed</w:t>
      </w:r>
      <w:r w:rsidR="00215502" w:rsidRPr="008F7E21">
        <w:rPr>
          <w:lang w:val="en-GB"/>
        </w:rPr>
        <w:t xml:space="preserve"> its past encouragements that UNOPS continue its pursuit to leverage the strategic advantage presented by IPSAS for enhanced transparency and accountability, including for external reporting and internal performance management, as well as reporting against requirements and standards established within the United Nations system. In this context it note</w:t>
      </w:r>
      <w:r w:rsidR="00C94AA9">
        <w:rPr>
          <w:lang w:val="en-GB"/>
        </w:rPr>
        <w:t>d</w:t>
      </w:r>
      <w:r w:rsidR="00215502" w:rsidRPr="008F7E21">
        <w:rPr>
          <w:lang w:val="en-GB"/>
        </w:rPr>
        <w:t xml:space="preserve"> the</w:t>
      </w:r>
      <w:r w:rsidR="0044738E">
        <w:rPr>
          <w:lang w:val="en-GB"/>
        </w:rPr>
        <w:t xml:space="preserve"> continued </w:t>
      </w:r>
      <w:r w:rsidR="00215502" w:rsidRPr="008F7E21">
        <w:rPr>
          <w:lang w:val="en-GB"/>
        </w:rPr>
        <w:t xml:space="preserve">ambition </w:t>
      </w:r>
      <w:r w:rsidR="00215502">
        <w:rPr>
          <w:lang w:val="en-GB"/>
        </w:rPr>
        <w:t xml:space="preserve">to </w:t>
      </w:r>
      <w:r w:rsidR="00215502" w:rsidRPr="008F7E21">
        <w:rPr>
          <w:lang w:val="en-GB"/>
        </w:rPr>
        <w:t>significantly shorten internal financial closure cycles.</w:t>
      </w:r>
    </w:p>
    <w:p w14:paraId="1DD11CEC" w14:textId="77777777" w:rsidR="001F29CE" w:rsidRDefault="000D3758" w:rsidP="005F044A">
      <w:pPr>
        <w:pStyle w:val="Heading1"/>
      </w:pPr>
      <w:bookmarkStart w:id="16" w:name="_Toc3541971"/>
      <w:bookmarkStart w:id="17" w:name="_Toc34638437"/>
      <w:r w:rsidRPr="00A35233">
        <w:t>Conclusion</w:t>
      </w:r>
      <w:bookmarkEnd w:id="16"/>
      <w:bookmarkEnd w:id="17"/>
    </w:p>
    <w:p w14:paraId="7A4F5735" w14:textId="77777777" w:rsidR="00F22003" w:rsidRPr="00623407" w:rsidRDefault="0010009C" w:rsidP="00CE62E0">
      <w:pPr>
        <w:tabs>
          <w:tab w:val="clear" w:pos="284"/>
          <w:tab w:val="left" w:pos="426"/>
        </w:tabs>
        <w:rPr>
          <w:lang w:val="en-GB"/>
        </w:rPr>
      </w:pPr>
      <w:r>
        <w:rPr>
          <w:lang w:val="en-GB"/>
        </w:rPr>
        <w:t>64</w:t>
      </w:r>
      <w:r w:rsidR="00F22003">
        <w:rPr>
          <w:lang w:val="en-GB"/>
        </w:rPr>
        <w:t>.</w:t>
      </w:r>
      <w:r w:rsidR="00F22003">
        <w:rPr>
          <w:lang w:val="en-GB"/>
        </w:rPr>
        <w:tab/>
      </w:r>
      <w:r w:rsidR="00185955" w:rsidRPr="00F22003">
        <w:rPr>
          <w:lang w:val="en-GB"/>
        </w:rPr>
        <w:t>Throughout 201</w:t>
      </w:r>
      <w:r w:rsidR="006B22BA">
        <w:rPr>
          <w:lang w:val="en-GB"/>
        </w:rPr>
        <w:t>9</w:t>
      </w:r>
      <w:r w:rsidR="001F29CE" w:rsidRPr="00F22003">
        <w:rPr>
          <w:lang w:val="en-GB"/>
        </w:rPr>
        <w:t>, UNOPS has identified opportunities to further optimise its contributions and value-add to the UN System and beyond. At the same time UNOPS has kept focus on e</w:t>
      </w:r>
      <w:r w:rsidR="00105ACB">
        <w:rPr>
          <w:lang w:val="en-GB"/>
        </w:rPr>
        <w:t>nhancing management systems and ensuring a solid and robust financial po</w:t>
      </w:r>
      <w:r w:rsidR="00BA2DCF">
        <w:rPr>
          <w:lang w:val="en-GB"/>
        </w:rPr>
        <w:t>sition guarding against sudden s</w:t>
      </w:r>
      <w:r w:rsidR="00105ACB">
        <w:rPr>
          <w:lang w:val="en-GB"/>
        </w:rPr>
        <w:t xml:space="preserve">hocks and </w:t>
      </w:r>
      <w:r w:rsidR="00623407">
        <w:rPr>
          <w:lang w:val="en-GB"/>
        </w:rPr>
        <w:t>risks that could</w:t>
      </w:r>
      <w:r w:rsidR="001F29CE" w:rsidRPr="00F22003">
        <w:rPr>
          <w:lang w:val="en-GB"/>
        </w:rPr>
        <w:t xml:space="preserve"> affect the </w:t>
      </w:r>
      <w:r w:rsidR="00F22003" w:rsidRPr="00F22003">
        <w:rPr>
          <w:lang w:val="en-GB"/>
        </w:rPr>
        <w:t>medium</w:t>
      </w:r>
      <w:r w:rsidR="001F29CE" w:rsidRPr="00F22003">
        <w:rPr>
          <w:lang w:val="en-GB"/>
        </w:rPr>
        <w:t xml:space="preserve">-term sustainability of its unique </w:t>
      </w:r>
      <w:r w:rsidR="009975FC" w:rsidRPr="00F22003">
        <w:rPr>
          <w:lang w:val="en-GB"/>
        </w:rPr>
        <w:t>self-financing business model. In its advisory capacity, t</w:t>
      </w:r>
      <w:r w:rsidR="001F29CE" w:rsidRPr="00F22003">
        <w:rPr>
          <w:lang w:val="en-GB"/>
        </w:rPr>
        <w:t xml:space="preserve">he Committee has </w:t>
      </w:r>
      <w:r w:rsidR="00F22003" w:rsidRPr="00F22003">
        <w:rPr>
          <w:lang w:val="en-GB"/>
        </w:rPr>
        <w:t xml:space="preserve">reviewed the governance reports presented pursuant to </w:t>
      </w:r>
      <w:r w:rsidR="00E565C4" w:rsidRPr="00F22003">
        <w:rPr>
          <w:lang w:val="en-GB"/>
        </w:rPr>
        <w:t>decisions</w:t>
      </w:r>
      <w:r w:rsidR="001F29CE" w:rsidRPr="00F22003">
        <w:rPr>
          <w:lang w:val="en-GB"/>
        </w:rPr>
        <w:t xml:space="preserve"> of the General Assembly and Executive Board</w:t>
      </w:r>
      <w:r w:rsidR="00E565C4" w:rsidRPr="00F22003">
        <w:rPr>
          <w:lang w:val="en-GB"/>
        </w:rPr>
        <w:t>.</w:t>
      </w:r>
    </w:p>
    <w:p w14:paraId="50D1856A" w14:textId="77777777" w:rsidR="00F22003" w:rsidRDefault="00AD00A7" w:rsidP="00CE62E0">
      <w:pPr>
        <w:tabs>
          <w:tab w:val="clear" w:pos="284"/>
          <w:tab w:val="left" w:pos="426"/>
        </w:tabs>
      </w:pPr>
      <w:r>
        <w:t>6</w:t>
      </w:r>
      <w:r w:rsidR="0010009C">
        <w:t>5</w:t>
      </w:r>
      <w:r w:rsidR="00F22003">
        <w:t>.</w:t>
      </w:r>
      <w:r w:rsidR="00F22003">
        <w:tab/>
        <w:t xml:space="preserve">In relation to overall management of strategic risks the </w:t>
      </w:r>
      <w:r w:rsidR="00491B62">
        <w:t>C</w:t>
      </w:r>
      <w:r w:rsidR="00F22003">
        <w:t xml:space="preserve">ommittee notes the organization’s continued focus on review and adjustment of </w:t>
      </w:r>
      <w:r w:rsidR="00491B62">
        <w:t>its</w:t>
      </w:r>
      <w:r w:rsidR="00F22003">
        <w:t xml:space="preserve"> policy framework and structures, and the attention to ensuring that day-to-day implementation is supported by IT tools</w:t>
      </w:r>
      <w:r w:rsidR="00491B62">
        <w:t>,</w:t>
      </w:r>
      <w:r w:rsidR="00F22003">
        <w:t xml:space="preserve"> which are continuously prioritized for improvement.</w:t>
      </w:r>
      <w:r w:rsidR="00BA2DCF">
        <w:t xml:space="preserve"> It further notes</w:t>
      </w:r>
      <w:r w:rsidR="006B22BA">
        <w:t xml:space="preserve"> that procedures and tools in place to ensure internal accountability for timely implementation of oversight recommendations are an important component of </w:t>
      </w:r>
      <w:r w:rsidR="00BA2DCF">
        <w:t>t</w:t>
      </w:r>
      <w:r w:rsidR="006B22BA">
        <w:t>he organization’s o</w:t>
      </w:r>
      <w:r w:rsidR="00BA2DCF">
        <w:t>verall risk management system.</w:t>
      </w:r>
    </w:p>
    <w:p w14:paraId="10F80269" w14:textId="77777777" w:rsidR="00A379B2" w:rsidRPr="00616509" w:rsidRDefault="0010009C" w:rsidP="00CE62E0">
      <w:pPr>
        <w:tabs>
          <w:tab w:val="clear" w:pos="284"/>
          <w:tab w:val="left" w:pos="426"/>
        </w:tabs>
      </w:pPr>
      <w:r>
        <w:t>66</w:t>
      </w:r>
      <w:r w:rsidR="002F7DBA" w:rsidRPr="00616509">
        <w:t>.</w:t>
      </w:r>
      <w:r w:rsidR="00030582" w:rsidRPr="00616509">
        <w:tab/>
      </w:r>
      <w:r w:rsidR="006E75BD" w:rsidRPr="00616509">
        <w:t xml:space="preserve">In </w:t>
      </w:r>
      <w:r w:rsidR="00030582" w:rsidRPr="00616509">
        <w:t>20</w:t>
      </w:r>
      <w:r w:rsidR="006B22BA">
        <w:t>20</w:t>
      </w:r>
      <w:r w:rsidR="00030582" w:rsidRPr="00616509">
        <w:t xml:space="preserve">, </w:t>
      </w:r>
      <w:r w:rsidR="006E75BD" w:rsidRPr="00616509">
        <w:t xml:space="preserve">the Committee will continue to </w:t>
      </w:r>
      <w:r w:rsidR="00A379B2" w:rsidRPr="00616509">
        <w:t>perform its advisory function</w:t>
      </w:r>
      <w:r w:rsidR="00C91D1E" w:rsidRPr="00616509">
        <w:t>s</w:t>
      </w:r>
      <w:r w:rsidR="00A379B2" w:rsidRPr="00616509">
        <w:t xml:space="preserve"> </w:t>
      </w:r>
      <w:r w:rsidR="00C91D1E" w:rsidRPr="00616509">
        <w:t xml:space="preserve">in accordance with the provisions </w:t>
      </w:r>
      <w:r w:rsidR="00030582" w:rsidRPr="00616509">
        <w:t xml:space="preserve">of </w:t>
      </w:r>
      <w:r w:rsidR="00C91D1E" w:rsidRPr="00616509">
        <w:t>its T</w:t>
      </w:r>
      <w:r w:rsidR="00A379B2" w:rsidRPr="00616509">
        <w:t xml:space="preserve">erms of </w:t>
      </w:r>
      <w:r w:rsidR="00C91D1E" w:rsidRPr="00616509">
        <w:t>R</w:t>
      </w:r>
      <w:r w:rsidR="00A379B2" w:rsidRPr="00616509">
        <w:t>eferences</w:t>
      </w:r>
      <w:r w:rsidR="00C91D1E" w:rsidRPr="00616509">
        <w:t>. This will include</w:t>
      </w:r>
      <w:r w:rsidR="00030582" w:rsidRPr="00616509">
        <w:t>, inter alia, parti</w:t>
      </w:r>
      <w:r w:rsidR="006E75BD" w:rsidRPr="00616509">
        <w:t xml:space="preserve">cular </w:t>
      </w:r>
      <w:r w:rsidR="00A379B2" w:rsidRPr="00616509">
        <w:t xml:space="preserve">focus on </w:t>
      </w:r>
      <w:r w:rsidR="00030582" w:rsidRPr="00616509">
        <w:t xml:space="preserve">the organization’s </w:t>
      </w:r>
      <w:r w:rsidR="006E75BD" w:rsidRPr="00616509">
        <w:t>measures to</w:t>
      </w:r>
      <w:r w:rsidR="00645B6C" w:rsidRPr="00616509">
        <w:t xml:space="preserve"> </w:t>
      </w:r>
      <w:r w:rsidR="006B22BA">
        <w:t>ensure gender equality and mainstreaming</w:t>
      </w:r>
      <w:r w:rsidR="00A379B2" w:rsidRPr="00616509">
        <w:rPr>
          <w:rFonts w:cs="Times New Roman"/>
        </w:rPr>
        <w:t xml:space="preserve">; </w:t>
      </w:r>
      <w:r w:rsidR="00A379B2" w:rsidRPr="00616509">
        <w:t xml:space="preserve">deter and detect </w:t>
      </w:r>
      <w:r w:rsidR="00645B6C" w:rsidRPr="00616509">
        <w:t>fraud</w:t>
      </w:r>
      <w:r w:rsidR="00A379B2" w:rsidRPr="00616509">
        <w:t>;</w:t>
      </w:r>
      <w:r w:rsidR="006E75BD" w:rsidRPr="00616509">
        <w:t xml:space="preserve"> </w:t>
      </w:r>
      <w:r w:rsidR="00C91D1E" w:rsidRPr="00616509">
        <w:t xml:space="preserve">manage </w:t>
      </w:r>
      <w:r w:rsidR="006E75BD" w:rsidRPr="00616509">
        <w:t>cyber security</w:t>
      </w:r>
      <w:r w:rsidR="00C91D1E" w:rsidRPr="00616509">
        <w:t xml:space="preserve"> and risks</w:t>
      </w:r>
      <w:r w:rsidR="00AD00A7">
        <w:t>, and further build its culture of accountability</w:t>
      </w:r>
      <w:r w:rsidR="00C91D1E" w:rsidRPr="00616509">
        <w:t>.</w:t>
      </w:r>
    </w:p>
    <w:p w14:paraId="158133E3" w14:textId="77777777" w:rsidR="00AD00A7" w:rsidRDefault="00AD00A7" w:rsidP="005967E3">
      <w:pPr>
        <w:rPr>
          <w:rFonts w:cs="Times New Roman"/>
        </w:rPr>
      </w:pPr>
    </w:p>
    <w:p w14:paraId="18B058B8" w14:textId="77777777" w:rsidR="00574ADA" w:rsidRDefault="00574ADA" w:rsidP="005967E3">
      <w:pPr>
        <w:rPr>
          <w:rFonts w:cs="Times New Roman"/>
        </w:rPr>
      </w:pPr>
    </w:p>
    <w:p w14:paraId="404848BC" w14:textId="77777777" w:rsidR="00574ADA" w:rsidRDefault="00574ADA" w:rsidP="005967E3">
      <w:pPr>
        <w:rPr>
          <w:rFonts w:cs="Times New Roman"/>
        </w:rPr>
      </w:pPr>
    </w:p>
    <w:p w14:paraId="301B2F7C" w14:textId="77777777" w:rsidR="00AD00A7" w:rsidRPr="00C220E0" w:rsidRDefault="00AD00A7" w:rsidP="005967E3">
      <w:pPr>
        <w:rPr>
          <w:rFonts w:cs="Times New Roman"/>
        </w:rPr>
      </w:pPr>
    </w:p>
    <w:p w14:paraId="1DF98410" w14:textId="77777777" w:rsidR="00C220E0" w:rsidRPr="00C220E0" w:rsidRDefault="00C220E0" w:rsidP="00C91D1E">
      <w:pPr>
        <w:tabs>
          <w:tab w:val="left" w:pos="426"/>
        </w:tabs>
        <w:autoSpaceDE w:val="0"/>
        <w:autoSpaceDN w:val="0"/>
        <w:adjustRightInd w:val="0"/>
        <w:spacing w:after="60"/>
        <w:jc w:val="center"/>
        <w:rPr>
          <w:rFonts w:eastAsia="Times New Roman" w:cs="Times New Roman"/>
          <w:lang w:val="en-GB" w:eastAsia="en-GB"/>
        </w:rPr>
      </w:pPr>
      <w:r w:rsidRPr="00C220E0">
        <w:rPr>
          <w:rFonts w:eastAsia="Times New Roman" w:cs="Times New Roman"/>
          <w:lang w:val="en-GB" w:eastAsia="en-GB"/>
        </w:rPr>
        <w:t>________________________</w:t>
      </w:r>
    </w:p>
    <w:p w14:paraId="084C0F64" w14:textId="77777777" w:rsidR="00C220E0" w:rsidRPr="00C220E0" w:rsidRDefault="00945616" w:rsidP="00C91D1E">
      <w:pPr>
        <w:tabs>
          <w:tab w:val="left" w:pos="426"/>
        </w:tabs>
        <w:autoSpaceDE w:val="0"/>
        <w:autoSpaceDN w:val="0"/>
        <w:adjustRightInd w:val="0"/>
        <w:spacing w:after="60"/>
        <w:jc w:val="center"/>
        <w:rPr>
          <w:rFonts w:eastAsia="Times New Roman" w:cs="Times New Roman"/>
          <w:lang w:val="en-GB" w:eastAsia="en-GB"/>
        </w:rPr>
      </w:pPr>
      <w:proofErr w:type="spellStart"/>
      <w:r>
        <w:rPr>
          <w:rFonts w:eastAsia="Times New Roman" w:cs="Times New Roman"/>
          <w:lang w:val="en-GB" w:eastAsia="en-GB"/>
        </w:rPr>
        <w:t>Bente</w:t>
      </w:r>
      <w:proofErr w:type="spellEnd"/>
      <w:r>
        <w:rPr>
          <w:rFonts w:eastAsia="Times New Roman" w:cs="Times New Roman"/>
          <w:lang w:val="en-GB" w:eastAsia="en-GB"/>
        </w:rPr>
        <w:t xml:space="preserve"> </w:t>
      </w:r>
      <w:proofErr w:type="spellStart"/>
      <w:r>
        <w:rPr>
          <w:rFonts w:eastAsia="Times New Roman" w:cs="Times New Roman"/>
          <w:lang w:val="en-GB" w:eastAsia="en-GB"/>
        </w:rPr>
        <w:t>Svensson</w:t>
      </w:r>
      <w:proofErr w:type="spellEnd"/>
    </w:p>
    <w:p w14:paraId="68F71DEE" w14:textId="77777777" w:rsidR="00C220E0" w:rsidRPr="00C220E0" w:rsidRDefault="00C220E0" w:rsidP="00C91D1E">
      <w:pPr>
        <w:tabs>
          <w:tab w:val="left" w:pos="426"/>
        </w:tabs>
        <w:autoSpaceDE w:val="0"/>
        <w:autoSpaceDN w:val="0"/>
        <w:adjustRightInd w:val="0"/>
        <w:spacing w:after="60"/>
        <w:jc w:val="center"/>
        <w:rPr>
          <w:rFonts w:eastAsia="Times New Roman" w:cs="Times New Roman"/>
          <w:lang w:val="en-GB" w:eastAsia="en-GB"/>
        </w:rPr>
      </w:pPr>
      <w:r w:rsidRPr="00C220E0">
        <w:rPr>
          <w:rFonts w:eastAsia="Times New Roman" w:cs="Times New Roman"/>
          <w:lang w:val="en-GB" w:eastAsia="en-GB"/>
        </w:rPr>
        <w:t>Chair, UNOPS Audit Advisory Committee</w:t>
      </w:r>
    </w:p>
    <w:p w14:paraId="6B4432E9" w14:textId="77777777" w:rsidR="00DF547F" w:rsidRPr="00C220E0" w:rsidRDefault="00C220E0" w:rsidP="00C91D1E">
      <w:pPr>
        <w:tabs>
          <w:tab w:val="left" w:pos="426"/>
        </w:tabs>
        <w:autoSpaceDE w:val="0"/>
        <w:autoSpaceDN w:val="0"/>
        <w:adjustRightInd w:val="0"/>
        <w:spacing w:after="60"/>
        <w:jc w:val="center"/>
        <w:rPr>
          <w:rFonts w:cs="Times New Roman"/>
        </w:rPr>
      </w:pPr>
      <w:r w:rsidRPr="00C220E0">
        <w:rPr>
          <w:rFonts w:eastAsia="Times New Roman" w:cs="Times New Roman"/>
          <w:lang w:val="en-GB" w:eastAsia="en-GB"/>
        </w:rPr>
        <w:t xml:space="preserve">Copenhagen, </w:t>
      </w:r>
      <w:r w:rsidR="006562DE">
        <w:rPr>
          <w:rFonts w:eastAsia="Times New Roman" w:cs="Times New Roman"/>
          <w:lang w:val="en-GB" w:eastAsia="en-GB"/>
        </w:rPr>
        <w:t>March</w:t>
      </w:r>
      <w:r w:rsidRPr="00C220E0">
        <w:rPr>
          <w:rFonts w:eastAsia="Times New Roman" w:cs="Times New Roman"/>
          <w:lang w:val="en-GB" w:eastAsia="en-GB"/>
        </w:rPr>
        <w:t xml:space="preserve"> 20</w:t>
      </w:r>
      <w:r w:rsidR="006B22BA">
        <w:rPr>
          <w:rFonts w:eastAsia="Times New Roman" w:cs="Times New Roman"/>
          <w:lang w:val="en-GB" w:eastAsia="en-GB"/>
        </w:rPr>
        <w:t>20</w:t>
      </w:r>
    </w:p>
    <w:sectPr w:rsidR="00DF547F" w:rsidRPr="00C220E0" w:rsidSect="003A7256">
      <w:pgSz w:w="12240" w:h="15840" w:code="1"/>
      <w:pgMar w:top="1134" w:right="1985" w:bottom="1134" w:left="1985"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3C411" w14:textId="77777777" w:rsidR="00373C53" w:rsidRDefault="00373C53" w:rsidP="00BC2114">
      <w:r>
        <w:separator/>
      </w:r>
    </w:p>
  </w:endnote>
  <w:endnote w:type="continuationSeparator" w:id="0">
    <w:p w14:paraId="5975BF86" w14:textId="77777777" w:rsidR="00373C53" w:rsidRDefault="00373C53" w:rsidP="00BC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928702"/>
      <w:docPartObj>
        <w:docPartGallery w:val="Page Numbers (Bottom of Page)"/>
        <w:docPartUnique/>
      </w:docPartObj>
    </w:sdtPr>
    <w:sdtEndPr>
      <w:rPr>
        <w:rFonts w:cs="Times New Roman"/>
        <w:noProof/>
        <w:sz w:val="18"/>
      </w:rPr>
    </w:sdtEndPr>
    <w:sdtContent>
      <w:p w14:paraId="1EE13AB8" w14:textId="77777777" w:rsidR="00373C53" w:rsidRPr="007356AD" w:rsidRDefault="00373C53" w:rsidP="007356AD">
        <w:pPr>
          <w:pStyle w:val="Footer"/>
          <w:jc w:val="right"/>
          <w:rPr>
            <w:rFonts w:cs="Times New Roman"/>
            <w:noProof/>
            <w:sz w:val="18"/>
          </w:rPr>
        </w:pPr>
        <w:r w:rsidRPr="00030582">
          <w:rPr>
            <w:rFonts w:cs="Times New Roman"/>
            <w:sz w:val="18"/>
          </w:rPr>
          <w:fldChar w:fldCharType="begin"/>
        </w:r>
        <w:r w:rsidRPr="00030582">
          <w:rPr>
            <w:rFonts w:cs="Times New Roman"/>
            <w:sz w:val="18"/>
          </w:rPr>
          <w:instrText xml:space="preserve"> PAGE   \* MERGEFORMAT </w:instrText>
        </w:r>
        <w:r w:rsidRPr="00030582">
          <w:rPr>
            <w:rFonts w:cs="Times New Roman"/>
            <w:sz w:val="18"/>
          </w:rPr>
          <w:fldChar w:fldCharType="separate"/>
        </w:r>
        <w:r w:rsidR="00472446">
          <w:rPr>
            <w:rFonts w:cs="Times New Roman"/>
            <w:noProof/>
            <w:sz w:val="18"/>
          </w:rPr>
          <w:t>9</w:t>
        </w:r>
        <w:r w:rsidRPr="00030582">
          <w:rPr>
            <w:rFonts w:cs="Times New Roman"/>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213B9" w14:textId="77777777" w:rsidR="00373C53" w:rsidRDefault="00373C53" w:rsidP="00BC2114">
      <w:r>
        <w:separator/>
      </w:r>
    </w:p>
  </w:footnote>
  <w:footnote w:type="continuationSeparator" w:id="0">
    <w:p w14:paraId="2301EBE5" w14:textId="77777777" w:rsidR="00373C53" w:rsidRDefault="00373C53" w:rsidP="00BC2114">
      <w:r>
        <w:continuationSeparator/>
      </w:r>
    </w:p>
  </w:footnote>
  <w:footnote w:id="1">
    <w:p w14:paraId="70272388" w14:textId="77777777" w:rsidR="00373C53" w:rsidRPr="00E1271E" w:rsidRDefault="00373C53" w:rsidP="008B3DF8">
      <w:pPr>
        <w:pStyle w:val="FootnoteText"/>
        <w:rPr>
          <w:rFonts w:cs="Times New Roman"/>
          <w:sz w:val="16"/>
          <w:szCs w:val="16"/>
          <w:lang w:val="en-GB"/>
        </w:rPr>
      </w:pPr>
      <w:r w:rsidRPr="00E1271E">
        <w:rPr>
          <w:rStyle w:val="FootnoteReference"/>
          <w:rFonts w:cs="Times New Roman"/>
          <w:sz w:val="16"/>
          <w:szCs w:val="16"/>
        </w:rPr>
        <w:footnoteRef/>
      </w:r>
      <w:r w:rsidRPr="00E1271E">
        <w:rPr>
          <w:rFonts w:cs="Times New Roman"/>
          <w:sz w:val="16"/>
          <w:szCs w:val="16"/>
        </w:rPr>
        <w:t xml:space="preserve"> </w:t>
      </w:r>
      <w:r w:rsidRPr="00E1271E">
        <w:rPr>
          <w:rFonts w:cs="Times New Roman"/>
          <w:sz w:val="16"/>
          <w:szCs w:val="16"/>
          <w:lang w:val="en-GB"/>
        </w:rPr>
        <w:t>In the period 2007-2014, the UNOPS Strategy and Audit Advisory Committee (SAAC) fulfilled the</w:t>
      </w:r>
      <w:r>
        <w:rPr>
          <w:rFonts w:cs="Times New Roman"/>
          <w:sz w:val="16"/>
          <w:szCs w:val="16"/>
          <w:lang w:val="en-GB"/>
        </w:rPr>
        <w:t xml:space="preserve"> </w:t>
      </w:r>
      <w:r w:rsidRPr="00E1271E">
        <w:rPr>
          <w:rFonts w:cs="Times New Roman"/>
          <w:sz w:val="16"/>
          <w:szCs w:val="16"/>
          <w:lang w:val="en-GB"/>
        </w:rPr>
        <w:t xml:space="preserve">functions </w:t>
      </w:r>
      <w:r>
        <w:rPr>
          <w:rFonts w:cs="Times New Roman"/>
          <w:sz w:val="16"/>
          <w:szCs w:val="16"/>
          <w:lang w:val="en-GB"/>
        </w:rPr>
        <w:t>of the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6" w:type="dxa"/>
      <w:tblInd w:w="-967" w:type="dxa"/>
      <w:tblBorders>
        <w:bottom w:val="single" w:sz="2" w:space="0" w:color="auto"/>
      </w:tblBorders>
      <w:tblLayout w:type="fixed"/>
      <w:tblCellMar>
        <w:left w:w="0" w:type="dxa"/>
        <w:right w:w="0" w:type="dxa"/>
      </w:tblCellMar>
      <w:tblLook w:val="0000" w:firstRow="0" w:lastRow="0" w:firstColumn="0" w:lastColumn="0" w:noHBand="0" w:noVBand="0"/>
    </w:tblPr>
    <w:tblGrid>
      <w:gridCol w:w="9866"/>
      <w:gridCol w:w="20"/>
    </w:tblGrid>
    <w:tr w:rsidR="00574ADA" w:rsidRPr="00574ADA" w14:paraId="6A9CF598" w14:textId="77777777" w:rsidTr="00574ADA">
      <w:trPr>
        <w:trHeight w:hRule="exact" w:val="864"/>
      </w:trPr>
      <w:tc>
        <w:tcPr>
          <w:tcW w:w="9866" w:type="dxa"/>
          <w:vAlign w:val="bottom"/>
        </w:tcPr>
        <w:p w14:paraId="091D07BF" w14:textId="77777777" w:rsidR="00574ADA" w:rsidRPr="00574ADA" w:rsidRDefault="00574ADA" w:rsidP="00AA2DAE">
          <w:pPr>
            <w:tabs>
              <w:tab w:val="clear" w:pos="284"/>
              <w:tab w:val="left" w:pos="425"/>
              <w:tab w:val="center" w:pos="4819"/>
              <w:tab w:val="right" w:pos="9638"/>
            </w:tabs>
            <w:spacing w:after="80"/>
            <w:jc w:val="center"/>
            <w:rPr>
              <w:rFonts w:eastAsia="Times New Roman" w:cs="Times New Roman"/>
              <w:b/>
              <w:szCs w:val="20"/>
              <w:lang w:eastAsia="en-GB"/>
            </w:rPr>
          </w:pPr>
          <w:r>
            <w:rPr>
              <w:rFonts w:eastAsia="Times New Roman" w:cs="Times New Roman"/>
              <w:bCs/>
              <w:sz w:val="18"/>
              <w:szCs w:val="18"/>
              <w:lang w:val="en-GB" w:eastAsia="en-GB"/>
            </w:rPr>
            <w:t xml:space="preserve">UNOPS </w:t>
          </w:r>
          <w:r w:rsidRPr="004B7B20">
            <w:rPr>
              <w:rFonts w:eastAsia="Times New Roman" w:cs="Times New Roman"/>
              <w:bCs/>
              <w:sz w:val="18"/>
              <w:szCs w:val="18"/>
              <w:lang w:val="en-GB" w:eastAsia="en-GB"/>
            </w:rPr>
            <w:t>Audit Advisory Committee - Annual Report 201</w:t>
          </w:r>
          <w:r>
            <w:rPr>
              <w:rFonts w:eastAsia="Times New Roman" w:cs="Times New Roman"/>
              <w:bCs/>
              <w:sz w:val="18"/>
              <w:szCs w:val="18"/>
              <w:lang w:val="en-GB" w:eastAsia="en-GB"/>
            </w:rPr>
            <w:t>9</w:t>
          </w:r>
          <w:r w:rsidRPr="004B7B20">
            <w:rPr>
              <w:rFonts w:eastAsia="Times New Roman" w:cs="Times New Roman"/>
              <w:bCs/>
              <w:sz w:val="18"/>
              <w:szCs w:val="18"/>
              <w:lang w:val="en-GB" w:eastAsia="en-GB"/>
            </w:rPr>
            <w:t xml:space="preserve"> (DP/OPS/</w:t>
          </w:r>
          <w:r w:rsidRPr="00E223C3">
            <w:rPr>
              <w:rFonts w:eastAsia="Times New Roman" w:cs="Times New Roman"/>
              <w:bCs/>
              <w:sz w:val="18"/>
              <w:szCs w:val="18"/>
              <w:lang w:val="en-GB" w:eastAsia="en-GB"/>
            </w:rPr>
            <w:t>20</w:t>
          </w:r>
          <w:r>
            <w:rPr>
              <w:rFonts w:eastAsia="Times New Roman" w:cs="Times New Roman"/>
              <w:bCs/>
              <w:sz w:val="18"/>
              <w:szCs w:val="18"/>
              <w:lang w:val="en-GB" w:eastAsia="en-GB"/>
            </w:rPr>
            <w:t>20/</w:t>
          </w:r>
          <w:r w:rsidR="00AA2DAE">
            <w:rPr>
              <w:rFonts w:eastAsia="Times New Roman" w:cs="Times New Roman"/>
              <w:bCs/>
              <w:sz w:val="18"/>
              <w:szCs w:val="18"/>
              <w:lang w:val="en-GB" w:eastAsia="en-GB"/>
            </w:rPr>
            <w:t>2</w:t>
          </w:r>
          <w:r w:rsidRPr="00E223C3">
            <w:rPr>
              <w:rFonts w:eastAsia="Times New Roman" w:cs="Times New Roman"/>
              <w:bCs/>
              <w:sz w:val="18"/>
              <w:szCs w:val="18"/>
              <w:lang w:val="en-GB" w:eastAsia="en-GB"/>
            </w:rPr>
            <w:t xml:space="preserve"> – </w:t>
          </w:r>
          <w:r w:rsidRPr="00A15900">
            <w:rPr>
              <w:rFonts w:eastAsia="Times New Roman" w:cs="Times New Roman"/>
              <w:bCs/>
              <w:sz w:val="18"/>
              <w:szCs w:val="18"/>
              <w:lang w:val="en-GB" w:eastAsia="en-GB"/>
            </w:rPr>
            <w:t>Annex 3)</w:t>
          </w:r>
        </w:p>
      </w:tc>
      <w:tc>
        <w:tcPr>
          <w:tcW w:w="20" w:type="dxa"/>
          <w:vAlign w:val="bottom"/>
        </w:tcPr>
        <w:p w14:paraId="39BEDFD0" w14:textId="77777777" w:rsidR="00574ADA" w:rsidRPr="00574ADA" w:rsidRDefault="00574ADA" w:rsidP="00574ADA">
          <w:pPr>
            <w:tabs>
              <w:tab w:val="clear" w:pos="284"/>
              <w:tab w:val="left" w:pos="426"/>
              <w:tab w:val="center" w:pos="4819"/>
              <w:tab w:val="right" w:pos="9638"/>
            </w:tabs>
            <w:spacing w:after="0"/>
            <w:jc w:val="center"/>
            <w:rPr>
              <w:rFonts w:eastAsia="Times New Roman" w:cs="Times New Roman"/>
              <w:sz w:val="17"/>
              <w:szCs w:val="17"/>
              <w:lang w:eastAsia="en-GB"/>
            </w:rPr>
          </w:pPr>
        </w:p>
      </w:tc>
    </w:tr>
  </w:tbl>
  <w:p w14:paraId="2286A98D" w14:textId="77777777" w:rsidR="00373C53" w:rsidRDefault="00373C53" w:rsidP="007356AD">
    <w:pPr>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3DE5"/>
    <w:multiLevelType w:val="hybridMultilevel"/>
    <w:tmpl w:val="94202BD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8234E3D"/>
    <w:multiLevelType w:val="hybridMultilevel"/>
    <w:tmpl w:val="A612B51C"/>
    <w:lvl w:ilvl="0" w:tplc="F9D4DB3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09BD4ABE"/>
    <w:multiLevelType w:val="hybridMultilevel"/>
    <w:tmpl w:val="581465E2"/>
    <w:lvl w:ilvl="0" w:tplc="F6FA5FFC">
      <w:start w:val="2"/>
      <w:numFmt w:val="bullet"/>
      <w:lvlText w:val="-"/>
      <w:lvlJc w:val="left"/>
      <w:pPr>
        <w:ind w:left="1069" w:hanging="360"/>
      </w:pPr>
      <w:rPr>
        <w:rFonts w:ascii="Calibri" w:eastAsiaTheme="minorHAnsi" w:hAnsi="Calibri" w:cs="Calibri" w:hint="default"/>
        <w:sz w:val="20"/>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3" w15:restartNumberingAfterBreak="0">
    <w:nsid w:val="143F72A4"/>
    <w:multiLevelType w:val="hybridMultilevel"/>
    <w:tmpl w:val="C7E2CE04"/>
    <w:lvl w:ilvl="0" w:tplc="6D9457EE">
      <w:start w:val="20"/>
      <w:numFmt w:val="upperRoman"/>
      <w:lvlText w:val="%1."/>
      <w:lvlJc w:val="left"/>
      <w:pPr>
        <w:ind w:left="720" w:hanging="72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A73165"/>
    <w:multiLevelType w:val="hybridMultilevel"/>
    <w:tmpl w:val="5C5499B0"/>
    <w:lvl w:ilvl="0" w:tplc="F6FA5FFC">
      <w:start w:val="2"/>
      <w:numFmt w:val="bullet"/>
      <w:lvlText w:val="-"/>
      <w:lvlJc w:val="left"/>
      <w:pPr>
        <w:ind w:left="1069" w:hanging="360"/>
      </w:pPr>
      <w:rPr>
        <w:rFonts w:ascii="Calibri" w:eastAsiaTheme="minorHAnsi" w:hAnsi="Calibri" w:cs="Calibri" w:hint="default"/>
        <w:sz w:val="20"/>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5" w15:restartNumberingAfterBreak="0">
    <w:nsid w:val="17D32BC5"/>
    <w:multiLevelType w:val="hybridMultilevel"/>
    <w:tmpl w:val="9D823194"/>
    <w:lvl w:ilvl="0" w:tplc="F28A3D7C">
      <w:start w:val="3"/>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81E6AF6"/>
    <w:multiLevelType w:val="hybridMultilevel"/>
    <w:tmpl w:val="042A25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BD2F09"/>
    <w:multiLevelType w:val="hybridMultilevel"/>
    <w:tmpl w:val="4900088A"/>
    <w:lvl w:ilvl="0" w:tplc="5D469EE6">
      <w:start w:val="1"/>
      <w:numFmt w:val="decimal"/>
      <w:lvlText w:val="%1."/>
      <w:lvlJc w:val="left"/>
      <w:pPr>
        <w:ind w:left="360" w:hanging="360"/>
      </w:pPr>
      <w:rPr>
        <w:rFonts w:asciiTheme="minorHAnsi" w:hAnsiTheme="minorHAnsi" w:cstheme="minorBid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49A6F37"/>
    <w:multiLevelType w:val="hybridMultilevel"/>
    <w:tmpl w:val="5CB4ED3C"/>
    <w:lvl w:ilvl="0" w:tplc="FE186CF0">
      <w:start w:val="1"/>
      <w:numFmt w:val="lowerLetter"/>
      <w:lvlText w:val="%1."/>
      <w:lvlJc w:val="left"/>
      <w:pPr>
        <w:ind w:left="1080" w:hanging="360"/>
      </w:pPr>
      <w:rPr>
        <w:rFonts w:hint="default"/>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1B50DA"/>
    <w:multiLevelType w:val="hybridMultilevel"/>
    <w:tmpl w:val="DA881004"/>
    <w:lvl w:ilvl="0" w:tplc="B4605624">
      <w:start w:val="1"/>
      <w:numFmt w:val="upp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457CB5"/>
    <w:multiLevelType w:val="hybridMultilevel"/>
    <w:tmpl w:val="71DEDB74"/>
    <w:lvl w:ilvl="0" w:tplc="AB7EA608">
      <w:start w:val="1"/>
      <w:numFmt w:val="upperLetter"/>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48576D"/>
    <w:multiLevelType w:val="hybridMultilevel"/>
    <w:tmpl w:val="32F2B5C2"/>
    <w:lvl w:ilvl="0" w:tplc="5E0A138A">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E447E"/>
    <w:multiLevelType w:val="hybridMultilevel"/>
    <w:tmpl w:val="3F54DC42"/>
    <w:lvl w:ilvl="0" w:tplc="3D86B8D4">
      <w:start w:val="20"/>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9C351D"/>
    <w:multiLevelType w:val="hybridMultilevel"/>
    <w:tmpl w:val="FA32F5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14316E"/>
    <w:multiLevelType w:val="hybridMultilevel"/>
    <w:tmpl w:val="0608B46E"/>
    <w:lvl w:ilvl="0" w:tplc="6BB43B98">
      <w:start w:val="20"/>
      <w:numFmt w:val="upperRoman"/>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522850"/>
    <w:multiLevelType w:val="hybridMultilevel"/>
    <w:tmpl w:val="29006B84"/>
    <w:lvl w:ilvl="0" w:tplc="9064CF10">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BB541E"/>
    <w:multiLevelType w:val="hybridMultilevel"/>
    <w:tmpl w:val="B79C8D22"/>
    <w:lvl w:ilvl="0" w:tplc="EEA27F02">
      <w:start w:val="20"/>
      <w:numFmt w:val="upperRoman"/>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0614E9"/>
    <w:multiLevelType w:val="hybridMultilevel"/>
    <w:tmpl w:val="A6382022"/>
    <w:lvl w:ilvl="0" w:tplc="CC6AAF5E">
      <w:start w:val="1"/>
      <w:numFmt w:val="decimal"/>
      <w:lvlText w:val="%1."/>
      <w:lvlJc w:val="left"/>
      <w:pPr>
        <w:ind w:left="1440" w:hanging="360"/>
      </w:pPr>
      <w:rPr>
        <w:rFonts w:ascii="Times New Roman" w:hAnsi="Times New Roman" w:cs="Times New Roman"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5168AC"/>
    <w:multiLevelType w:val="hybridMultilevel"/>
    <w:tmpl w:val="E8B4C60E"/>
    <w:lvl w:ilvl="0" w:tplc="90CC8190">
      <w:start w:val="20"/>
      <w:numFmt w:val="upperRoman"/>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A9F14C5"/>
    <w:multiLevelType w:val="hybridMultilevel"/>
    <w:tmpl w:val="82F6BCB0"/>
    <w:lvl w:ilvl="0" w:tplc="0809000F">
      <w:start w:val="1"/>
      <w:numFmt w:val="decimal"/>
      <w:lvlText w:val="%1."/>
      <w:lvlJc w:val="left"/>
      <w:pPr>
        <w:ind w:left="360" w:hanging="360"/>
      </w:pPr>
      <w:rPr>
        <w:rFonts w:hint="default"/>
      </w:rPr>
    </w:lvl>
    <w:lvl w:ilvl="1" w:tplc="5BDEAE68">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C055B14"/>
    <w:multiLevelType w:val="hybridMultilevel"/>
    <w:tmpl w:val="A64AD0E0"/>
    <w:lvl w:ilvl="0" w:tplc="08090019">
      <w:start w:val="1"/>
      <w:numFmt w:val="lowerLetter"/>
      <w:lvlText w:val="%1."/>
      <w:lvlJc w:val="left"/>
      <w:pPr>
        <w:ind w:left="360" w:hanging="360"/>
      </w:pPr>
      <w:rPr>
        <w:rFonts w:hint="default"/>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BF03B4"/>
    <w:multiLevelType w:val="hybridMultilevel"/>
    <w:tmpl w:val="6FB4C1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1E40D19"/>
    <w:multiLevelType w:val="hybridMultilevel"/>
    <w:tmpl w:val="0ECE441E"/>
    <w:lvl w:ilvl="0" w:tplc="7D7EB24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3522BE"/>
    <w:multiLevelType w:val="hybridMultilevel"/>
    <w:tmpl w:val="80E65B10"/>
    <w:lvl w:ilvl="0" w:tplc="06DC7D5E">
      <w:start w:val="3"/>
      <w:numFmt w:val="upperLetter"/>
      <w:lvlText w:val="%1."/>
      <w:lvlJc w:val="left"/>
      <w:pPr>
        <w:ind w:left="360" w:hanging="360"/>
      </w:pPr>
      <w:rPr>
        <w:rFonts w:ascii="Times New Roman" w:hAnsi="Times New Roman" w:cs="Times New Roman" w:hint="default"/>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8544B0"/>
    <w:multiLevelType w:val="hybridMultilevel"/>
    <w:tmpl w:val="CB74973C"/>
    <w:lvl w:ilvl="0" w:tplc="BF9EC7B8">
      <w:start w:val="3"/>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4CBC068E"/>
    <w:multiLevelType w:val="hybridMultilevel"/>
    <w:tmpl w:val="40BA7A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25DF3"/>
    <w:multiLevelType w:val="hybridMultilevel"/>
    <w:tmpl w:val="91EA57F0"/>
    <w:lvl w:ilvl="0" w:tplc="5036C254">
      <w:start w:val="1"/>
      <w:numFmt w:val="decimal"/>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27" w15:restartNumberingAfterBreak="0">
    <w:nsid w:val="50D41EC4"/>
    <w:multiLevelType w:val="hybridMultilevel"/>
    <w:tmpl w:val="12CEF11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1200F2D"/>
    <w:multiLevelType w:val="hybridMultilevel"/>
    <w:tmpl w:val="5E2AD8DA"/>
    <w:lvl w:ilvl="0" w:tplc="FAE249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8B45E6"/>
    <w:multiLevelType w:val="hybridMultilevel"/>
    <w:tmpl w:val="B238ADB8"/>
    <w:lvl w:ilvl="0" w:tplc="BF9EC7B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54994C49"/>
    <w:multiLevelType w:val="hybridMultilevel"/>
    <w:tmpl w:val="7FCC3B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7077A7"/>
    <w:multiLevelType w:val="hybridMultilevel"/>
    <w:tmpl w:val="110EA3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8160A10"/>
    <w:multiLevelType w:val="hybridMultilevel"/>
    <w:tmpl w:val="649AC6D8"/>
    <w:lvl w:ilvl="0" w:tplc="08090017">
      <w:start w:val="1"/>
      <w:numFmt w:val="lowerLetter"/>
      <w:lvlText w:val="%1)"/>
      <w:lvlJc w:val="left"/>
      <w:pPr>
        <w:ind w:left="779" w:hanging="360"/>
      </w:pPr>
    </w:lvl>
    <w:lvl w:ilvl="1" w:tplc="08090019" w:tentative="1">
      <w:start w:val="1"/>
      <w:numFmt w:val="lowerLetter"/>
      <w:lvlText w:val="%2."/>
      <w:lvlJc w:val="left"/>
      <w:pPr>
        <w:ind w:left="1499" w:hanging="360"/>
      </w:pPr>
    </w:lvl>
    <w:lvl w:ilvl="2" w:tplc="0809001B" w:tentative="1">
      <w:start w:val="1"/>
      <w:numFmt w:val="lowerRoman"/>
      <w:lvlText w:val="%3."/>
      <w:lvlJc w:val="right"/>
      <w:pPr>
        <w:ind w:left="2219" w:hanging="180"/>
      </w:pPr>
    </w:lvl>
    <w:lvl w:ilvl="3" w:tplc="0809000F" w:tentative="1">
      <w:start w:val="1"/>
      <w:numFmt w:val="decimal"/>
      <w:lvlText w:val="%4."/>
      <w:lvlJc w:val="left"/>
      <w:pPr>
        <w:ind w:left="2939" w:hanging="360"/>
      </w:pPr>
    </w:lvl>
    <w:lvl w:ilvl="4" w:tplc="08090019" w:tentative="1">
      <w:start w:val="1"/>
      <w:numFmt w:val="lowerLetter"/>
      <w:lvlText w:val="%5."/>
      <w:lvlJc w:val="left"/>
      <w:pPr>
        <w:ind w:left="3659" w:hanging="360"/>
      </w:pPr>
    </w:lvl>
    <w:lvl w:ilvl="5" w:tplc="0809001B" w:tentative="1">
      <w:start w:val="1"/>
      <w:numFmt w:val="lowerRoman"/>
      <w:lvlText w:val="%6."/>
      <w:lvlJc w:val="right"/>
      <w:pPr>
        <w:ind w:left="4379" w:hanging="180"/>
      </w:pPr>
    </w:lvl>
    <w:lvl w:ilvl="6" w:tplc="0809000F" w:tentative="1">
      <w:start w:val="1"/>
      <w:numFmt w:val="decimal"/>
      <w:lvlText w:val="%7."/>
      <w:lvlJc w:val="left"/>
      <w:pPr>
        <w:ind w:left="5099" w:hanging="360"/>
      </w:pPr>
    </w:lvl>
    <w:lvl w:ilvl="7" w:tplc="08090019" w:tentative="1">
      <w:start w:val="1"/>
      <w:numFmt w:val="lowerLetter"/>
      <w:lvlText w:val="%8."/>
      <w:lvlJc w:val="left"/>
      <w:pPr>
        <w:ind w:left="5819" w:hanging="360"/>
      </w:pPr>
    </w:lvl>
    <w:lvl w:ilvl="8" w:tplc="0809001B" w:tentative="1">
      <w:start w:val="1"/>
      <w:numFmt w:val="lowerRoman"/>
      <w:lvlText w:val="%9."/>
      <w:lvlJc w:val="right"/>
      <w:pPr>
        <w:ind w:left="6539" w:hanging="180"/>
      </w:pPr>
    </w:lvl>
  </w:abstractNum>
  <w:abstractNum w:abstractNumId="33" w15:restartNumberingAfterBreak="0">
    <w:nsid w:val="5E193435"/>
    <w:multiLevelType w:val="hybridMultilevel"/>
    <w:tmpl w:val="3C666282"/>
    <w:lvl w:ilvl="0" w:tplc="08090017">
      <w:start w:val="1"/>
      <w:numFmt w:val="lowerLetter"/>
      <w:lvlText w:val="%1)"/>
      <w:lvlJc w:val="left"/>
      <w:pPr>
        <w:ind w:left="779" w:hanging="360"/>
      </w:pPr>
    </w:lvl>
    <w:lvl w:ilvl="1" w:tplc="08090019" w:tentative="1">
      <w:start w:val="1"/>
      <w:numFmt w:val="lowerLetter"/>
      <w:lvlText w:val="%2."/>
      <w:lvlJc w:val="left"/>
      <w:pPr>
        <w:ind w:left="1499" w:hanging="360"/>
      </w:pPr>
    </w:lvl>
    <w:lvl w:ilvl="2" w:tplc="0809001B" w:tentative="1">
      <w:start w:val="1"/>
      <w:numFmt w:val="lowerRoman"/>
      <w:lvlText w:val="%3."/>
      <w:lvlJc w:val="right"/>
      <w:pPr>
        <w:ind w:left="2219" w:hanging="180"/>
      </w:pPr>
    </w:lvl>
    <w:lvl w:ilvl="3" w:tplc="0809000F" w:tentative="1">
      <w:start w:val="1"/>
      <w:numFmt w:val="decimal"/>
      <w:lvlText w:val="%4."/>
      <w:lvlJc w:val="left"/>
      <w:pPr>
        <w:ind w:left="2939" w:hanging="360"/>
      </w:pPr>
    </w:lvl>
    <w:lvl w:ilvl="4" w:tplc="08090019" w:tentative="1">
      <w:start w:val="1"/>
      <w:numFmt w:val="lowerLetter"/>
      <w:lvlText w:val="%5."/>
      <w:lvlJc w:val="left"/>
      <w:pPr>
        <w:ind w:left="3659" w:hanging="360"/>
      </w:pPr>
    </w:lvl>
    <w:lvl w:ilvl="5" w:tplc="0809001B" w:tentative="1">
      <w:start w:val="1"/>
      <w:numFmt w:val="lowerRoman"/>
      <w:lvlText w:val="%6."/>
      <w:lvlJc w:val="right"/>
      <w:pPr>
        <w:ind w:left="4379" w:hanging="180"/>
      </w:pPr>
    </w:lvl>
    <w:lvl w:ilvl="6" w:tplc="0809000F" w:tentative="1">
      <w:start w:val="1"/>
      <w:numFmt w:val="decimal"/>
      <w:lvlText w:val="%7."/>
      <w:lvlJc w:val="left"/>
      <w:pPr>
        <w:ind w:left="5099" w:hanging="360"/>
      </w:pPr>
    </w:lvl>
    <w:lvl w:ilvl="7" w:tplc="08090019" w:tentative="1">
      <w:start w:val="1"/>
      <w:numFmt w:val="lowerLetter"/>
      <w:lvlText w:val="%8."/>
      <w:lvlJc w:val="left"/>
      <w:pPr>
        <w:ind w:left="5819" w:hanging="360"/>
      </w:pPr>
    </w:lvl>
    <w:lvl w:ilvl="8" w:tplc="0809001B" w:tentative="1">
      <w:start w:val="1"/>
      <w:numFmt w:val="lowerRoman"/>
      <w:lvlText w:val="%9."/>
      <w:lvlJc w:val="right"/>
      <w:pPr>
        <w:ind w:left="6539" w:hanging="180"/>
      </w:pPr>
    </w:lvl>
  </w:abstractNum>
  <w:abstractNum w:abstractNumId="34" w15:restartNumberingAfterBreak="0">
    <w:nsid w:val="5E1B778C"/>
    <w:multiLevelType w:val="hybridMultilevel"/>
    <w:tmpl w:val="68840F48"/>
    <w:lvl w:ilvl="0" w:tplc="9354A7A0">
      <w:start w:val="1"/>
      <w:numFmt w:val="decimal"/>
      <w:lvlText w:val="%1."/>
      <w:lvlJc w:val="left"/>
      <w:pPr>
        <w:ind w:left="45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A14078"/>
    <w:multiLevelType w:val="hybridMultilevel"/>
    <w:tmpl w:val="586803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0C363ED"/>
    <w:multiLevelType w:val="hybridMultilevel"/>
    <w:tmpl w:val="DE38B3DA"/>
    <w:lvl w:ilvl="0" w:tplc="E110A7E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5A478F"/>
    <w:multiLevelType w:val="hybridMultilevel"/>
    <w:tmpl w:val="7DE43208"/>
    <w:lvl w:ilvl="0" w:tplc="507AB50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C0A1489"/>
    <w:multiLevelType w:val="hybridMultilevel"/>
    <w:tmpl w:val="9EF49166"/>
    <w:lvl w:ilvl="0" w:tplc="78EEE880">
      <w:start w:val="1"/>
      <w:numFmt w:val="decimal"/>
      <w:lvlText w:val="%1."/>
      <w:lvlJc w:val="left"/>
      <w:pPr>
        <w:ind w:left="595" w:hanging="311"/>
      </w:pPr>
      <w:rPr>
        <w:rFonts w:ascii="Times New Roman" w:hAnsi="Times New Roman" w:cs="Times New Roman" w:hint="default"/>
        <w:b w:val="0"/>
        <w:color w:val="auto"/>
        <w:sz w:val="22"/>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9" w15:restartNumberingAfterBreak="0">
    <w:nsid w:val="6D761264"/>
    <w:multiLevelType w:val="hybridMultilevel"/>
    <w:tmpl w:val="0450EE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DCC7632"/>
    <w:multiLevelType w:val="hybridMultilevel"/>
    <w:tmpl w:val="79449D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15:restartNumberingAfterBreak="0">
    <w:nsid w:val="70251905"/>
    <w:multiLevelType w:val="hybridMultilevel"/>
    <w:tmpl w:val="AE602C70"/>
    <w:lvl w:ilvl="0" w:tplc="683AD89E">
      <w:start w:val="20"/>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0763C75"/>
    <w:multiLevelType w:val="hybridMultilevel"/>
    <w:tmpl w:val="2FEA7B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D95144"/>
    <w:multiLevelType w:val="hybridMultilevel"/>
    <w:tmpl w:val="D3E2198A"/>
    <w:lvl w:ilvl="0" w:tplc="F6FA5FFC">
      <w:start w:val="2"/>
      <w:numFmt w:val="bullet"/>
      <w:lvlText w:val="-"/>
      <w:lvlJc w:val="left"/>
      <w:pPr>
        <w:ind w:left="1069" w:hanging="360"/>
      </w:pPr>
      <w:rPr>
        <w:rFonts w:ascii="Calibri" w:eastAsiaTheme="minorHAnsi" w:hAnsi="Calibri" w:cs="Calibri" w:hint="default"/>
        <w:sz w:val="20"/>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44" w15:restartNumberingAfterBreak="0">
    <w:nsid w:val="742C7B6D"/>
    <w:multiLevelType w:val="hybridMultilevel"/>
    <w:tmpl w:val="FDD2106A"/>
    <w:lvl w:ilvl="0" w:tplc="13783F7A">
      <w:start w:val="20"/>
      <w:numFmt w:val="upperRoman"/>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5244A91"/>
    <w:multiLevelType w:val="hybridMultilevel"/>
    <w:tmpl w:val="620265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36"/>
  </w:num>
  <w:num w:numId="3">
    <w:abstractNumId w:val="8"/>
  </w:num>
  <w:num w:numId="4">
    <w:abstractNumId w:val="38"/>
  </w:num>
  <w:num w:numId="5">
    <w:abstractNumId w:val="10"/>
  </w:num>
  <w:num w:numId="6">
    <w:abstractNumId w:val="9"/>
  </w:num>
  <w:num w:numId="7">
    <w:abstractNumId w:val="23"/>
  </w:num>
  <w:num w:numId="8">
    <w:abstractNumId w:val="34"/>
  </w:num>
  <w:num w:numId="9">
    <w:abstractNumId w:val="31"/>
  </w:num>
  <w:num w:numId="10">
    <w:abstractNumId w:val="0"/>
  </w:num>
  <w:num w:numId="11">
    <w:abstractNumId w:val="21"/>
  </w:num>
  <w:num w:numId="12">
    <w:abstractNumId w:val="20"/>
  </w:num>
  <w:num w:numId="13">
    <w:abstractNumId w:val="17"/>
  </w:num>
  <w:num w:numId="14">
    <w:abstractNumId w:val="35"/>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45"/>
  </w:num>
  <w:num w:numId="18">
    <w:abstractNumId w:val="11"/>
  </w:num>
  <w:num w:numId="19">
    <w:abstractNumId w:val="42"/>
  </w:num>
  <w:num w:numId="20">
    <w:abstractNumId w:val="3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
  </w:num>
  <w:num w:numId="2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41"/>
  </w:num>
  <w:num w:numId="33">
    <w:abstractNumId w:val="16"/>
  </w:num>
  <w:num w:numId="34">
    <w:abstractNumId w:val="44"/>
  </w:num>
  <w:num w:numId="35">
    <w:abstractNumId w:val="14"/>
  </w:num>
  <w:num w:numId="36">
    <w:abstractNumId w:val="3"/>
  </w:num>
  <w:num w:numId="37">
    <w:abstractNumId w:val="12"/>
  </w:num>
  <w:num w:numId="38">
    <w:abstractNumId w:val="18"/>
  </w:num>
  <w:num w:numId="39">
    <w:abstractNumId w:val="25"/>
  </w:num>
  <w:num w:numId="40">
    <w:abstractNumId w:val="6"/>
  </w:num>
  <w:num w:numId="41">
    <w:abstractNumId w:val="32"/>
  </w:num>
  <w:num w:numId="42">
    <w:abstractNumId w:val="33"/>
  </w:num>
  <w:num w:numId="43">
    <w:abstractNumId w:val="1"/>
  </w:num>
  <w:num w:numId="44">
    <w:abstractNumId w:val="30"/>
  </w:num>
  <w:num w:numId="45">
    <w:abstractNumId w:val="15"/>
  </w:num>
  <w:num w:numId="46">
    <w:abstractNumId w:val="28"/>
  </w:num>
  <w:num w:numId="47">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61F"/>
    <w:rsid w:val="0000098E"/>
    <w:rsid w:val="00000A47"/>
    <w:rsid w:val="00001021"/>
    <w:rsid w:val="000019BC"/>
    <w:rsid w:val="0000260D"/>
    <w:rsid w:val="00002DF7"/>
    <w:rsid w:val="00003A9B"/>
    <w:rsid w:val="00004177"/>
    <w:rsid w:val="0000455F"/>
    <w:rsid w:val="00006794"/>
    <w:rsid w:val="00006FE9"/>
    <w:rsid w:val="00007414"/>
    <w:rsid w:val="0001100F"/>
    <w:rsid w:val="000113D2"/>
    <w:rsid w:val="000113F0"/>
    <w:rsid w:val="0001363B"/>
    <w:rsid w:val="00013A12"/>
    <w:rsid w:val="000150FE"/>
    <w:rsid w:val="00015635"/>
    <w:rsid w:val="0001574A"/>
    <w:rsid w:val="000165F6"/>
    <w:rsid w:val="00016C1E"/>
    <w:rsid w:val="0002149E"/>
    <w:rsid w:val="00021687"/>
    <w:rsid w:val="000224BA"/>
    <w:rsid w:val="00022686"/>
    <w:rsid w:val="000249BD"/>
    <w:rsid w:val="0002699C"/>
    <w:rsid w:val="00030582"/>
    <w:rsid w:val="000318B3"/>
    <w:rsid w:val="00032190"/>
    <w:rsid w:val="00032A93"/>
    <w:rsid w:val="00033D34"/>
    <w:rsid w:val="00034058"/>
    <w:rsid w:val="00034C58"/>
    <w:rsid w:val="000363E1"/>
    <w:rsid w:val="000370EF"/>
    <w:rsid w:val="0003754D"/>
    <w:rsid w:val="00040173"/>
    <w:rsid w:val="00041102"/>
    <w:rsid w:val="00042C7A"/>
    <w:rsid w:val="00044181"/>
    <w:rsid w:val="000446B9"/>
    <w:rsid w:val="00044A04"/>
    <w:rsid w:val="000450D6"/>
    <w:rsid w:val="00046548"/>
    <w:rsid w:val="000466B2"/>
    <w:rsid w:val="00046D42"/>
    <w:rsid w:val="00046E42"/>
    <w:rsid w:val="00050222"/>
    <w:rsid w:val="00050EFC"/>
    <w:rsid w:val="00052024"/>
    <w:rsid w:val="00053837"/>
    <w:rsid w:val="00053FAF"/>
    <w:rsid w:val="0005464C"/>
    <w:rsid w:val="0005482A"/>
    <w:rsid w:val="0005511A"/>
    <w:rsid w:val="00055181"/>
    <w:rsid w:val="000564F4"/>
    <w:rsid w:val="00056FF6"/>
    <w:rsid w:val="00061561"/>
    <w:rsid w:val="00062356"/>
    <w:rsid w:val="00066A7C"/>
    <w:rsid w:val="00066BE4"/>
    <w:rsid w:val="00067A60"/>
    <w:rsid w:val="00072A4A"/>
    <w:rsid w:val="0007386A"/>
    <w:rsid w:val="00075D91"/>
    <w:rsid w:val="0007718A"/>
    <w:rsid w:val="00080203"/>
    <w:rsid w:val="00081162"/>
    <w:rsid w:val="00082032"/>
    <w:rsid w:val="00082BCF"/>
    <w:rsid w:val="00083C14"/>
    <w:rsid w:val="00083EDC"/>
    <w:rsid w:val="000850DE"/>
    <w:rsid w:val="000865DA"/>
    <w:rsid w:val="000867B0"/>
    <w:rsid w:val="0008682C"/>
    <w:rsid w:val="00087350"/>
    <w:rsid w:val="00090C18"/>
    <w:rsid w:val="00091F97"/>
    <w:rsid w:val="000922B8"/>
    <w:rsid w:val="00092925"/>
    <w:rsid w:val="000935DB"/>
    <w:rsid w:val="00095964"/>
    <w:rsid w:val="0009614F"/>
    <w:rsid w:val="0009689D"/>
    <w:rsid w:val="00096B07"/>
    <w:rsid w:val="000A1751"/>
    <w:rsid w:val="000A1B14"/>
    <w:rsid w:val="000A1E75"/>
    <w:rsid w:val="000A2C03"/>
    <w:rsid w:val="000A3C1A"/>
    <w:rsid w:val="000A4246"/>
    <w:rsid w:val="000A5118"/>
    <w:rsid w:val="000A5676"/>
    <w:rsid w:val="000A59F3"/>
    <w:rsid w:val="000A605D"/>
    <w:rsid w:val="000A6899"/>
    <w:rsid w:val="000A724D"/>
    <w:rsid w:val="000B02BA"/>
    <w:rsid w:val="000B1E4A"/>
    <w:rsid w:val="000B30C8"/>
    <w:rsid w:val="000B3603"/>
    <w:rsid w:val="000B41D4"/>
    <w:rsid w:val="000B6F23"/>
    <w:rsid w:val="000B7A53"/>
    <w:rsid w:val="000B7D75"/>
    <w:rsid w:val="000B7EB8"/>
    <w:rsid w:val="000C0694"/>
    <w:rsid w:val="000C1938"/>
    <w:rsid w:val="000C19F0"/>
    <w:rsid w:val="000C2817"/>
    <w:rsid w:val="000C50C1"/>
    <w:rsid w:val="000C600D"/>
    <w:rsid w:val="000C6F0C"/>
    <w:rsid w:val="000D277C"/>
    <w:rsid w:val="000D2D2C"/>
    <w:rsid w:val="000D34B7"/>
    <w:rsid w:val="000D3758"/>
    <w:rsid w:val="000D3807"/>
    <w:rsid w:val="000D66BD"/>
    <w:rsid w:val="000E290B"/>
    <w:rsid w:val="000E2CD0"/>
    <w:rsid w:val="000E2D35"/>
    <w:rsid w:val="000E4EF6"/>
    <w:rsid w:val="000E715C"/>
    <w:rsid w:val="000E7CA6"/>
    <w:rsid w:val="000F1624"/>
    <w:rsid w:val="000F28E5"/>
    <w:rsid w:val="000F2AD4"/>
    <w:rsid w:val="000F51D0"/>
    <w:rsid w:val="000F5D4F"/>
    <w:rsid w:val="000F71FC"/>
    <w:rsid w:val="000F7E54"/>
    <w:rsid w:val="0010009C"/>
    <w:rsid w:val="00102367"/>
    <w:rsid w:val="00103C17"/>
    <w:rsid w:val="00103E7D"/>
    <w:rsid w:val="001048F2"/>
    <w:rsid w:val="001049E9"/>
    <w:rsid w:val="00105ACB"/>
    <w:rsid w:val="00107B24"/>
    <w:rsid w:val="00111B22"/>
    <w:rsid w:val="001129DE"/>
    <w:rsid w:val="00112F4C"/>
    <w:rsid w:val="001134F9"/>
    <w:rsid w:val="001139F2"/>
    <w:rsid w:val="00113D59"/>
    <w:rsid w:val="0011661C"/>
    <w:rsid w:val="0011708A"/>
    <w:rsid w:val="00117FF3"/>
    <w:rsid w:val="00120317"/>
    <w:rsid w:val="001205FF"/>
    <w:rsid w:val="0012253E"/>
    <w:rsid w:val="00123080"/>
    <w:rsid w:val="00123089"/>
    <w:rsid w:val="00123DB4"/>
    <w:rsid w:val="0012488B"/>
    <w:rsid w:val="00125455"/>
    <w:rsid w:val="00125C64"/>
    <w:rsid w:val="00130D77"/>
    <w:rsid w:val="00132800"/>
    <w:rsid w:val="00133E2A"/>
    <w:rsid w:val="00134728"/>
    <w:rsid w:val="00134E41"/>
    <w:rsid w:val="00135854"/>
    <w:rsid w:val="001366A6"/>
    <w:rsid w:val="00136752"/>
    <w:rsid w:val="001410EC"/>
    <w:rsid w:val="00141F50"/>
    <w:rsid w:val="00143234"/>
    <w:rsid w:val="001432F7"/>
    <w:rsid w:val="00143BD3"/>
    <w:rsid w:val="00144F91"/>
    <w:rsid w:val="00144FA0"/>
    <w:rsid w:val="00145512"/>
    <w:rsid w:val="00146913"/>
    <w:rsid w:val="001470FD"/>
    <w:rsid w:val="0014746E"/>
    <w:rsid w:val="00147E16"/>
    <w:rsid w:val="00150F72"/>
    <w:rsid w:val="0015105F"/>
    <w:rsid w:val="00152AA1"/>
    <w:rsid w:val="00152FEE"/>
    <w:rsid w:val="0015600F"/>
    <w:rsid w:val="0015766C"/>
    <w:rsid w:val="001606E4"/>
    <w:rsid w:val="00162890"/>
    <w:rsid w:val="00162E33"/>
    <w:rsid w:val="00166BBE"/>
    <w:rsid w:val="00166C81"/>
    <w:rsid w:val="00171F6A"/>
    <w:rsid w:val="00172A4A"/>
    <w:rsid w:val="0017473C"/>
    <w:rsid w:val="001747F4"/>
    <w:rsid w:val="001758CA"/>
    <w:rsid w:val="001759B1"/>
    <w:rsid w:val="00175D46"/>
    <w:rsid w:val="00175FE4"/>
    <w:rsid w:val="00176B18"/>
    <w:rsid w:val="00177958"/>
    <w:rsid w:val="00180FE3"/>
    <w:rsid w:val="00181339"/>
    <w:rsid w:val="0018275B"/>
    <w:rsid w:val="00182E2B"/>
    <w:rsid w:val="00183D38"/>
    <w:rsid w:val="00183EA3"/>
    <w:rsid w:val="00184400"/>
    <w:rsid w:val="0018527E"/>
    <w:rsid w:val="0018531E"/>
    <w:rsid w:val="00185955"/>
    <w:rsid w:val="00187176"/>
    <w:rsid w:val="00187247"/>
    <w:rsid w:val="00190B16"/>
    <w:rsid w:val="001928F2"/>
    <w:rsid w:val="00195C98"/>
    <w:rsid w:val="00195EBD"/>
    <w:rsid w:val="001A0535"/>
    <w:rsid w:val="001A0577"/>
    <w:rsid w:val="001A0D3F"/>
    <w:rsid w:val="001A1300"/>
    <w:rsid w:val="001A16F8"/>
    <w:rsid w:val="001A1F8E"/>
    <w:rsid w:val="001A2FF9"/>
    <w:rsid w:val="001A41F9"/>
    <w:rsid w:val="001A5726"/>
    <w:rsid w:val="001A58FF"/>
    <w:rsid w:val="001A6D56"/>
    <w:rsid w:val="001B038E"/>
    <w:rsid w:val="001B163A"/>
    <w:rsid w:val="001B3B14"/>
    <w:rsid w:val="001B4268"/>
    <w:rsid w:val="001B5087"/>
    <w:rsid w:val="001B5EB9"/>
    <w:rsid w:val="001B607F"/>
    <w:rsid w:val="001B6119"/>
    <w:rsid w:val="001B6511"/>
    <w:rsid w:val="001B703A"/>
    <w:rsid w:val="001B754A"/>
    <w:rsid w:val="001B7B5F"/>
    <w:rsid w:val="001C2E9C"/>
    <w:rsid w:val="001C3239"/>
    <w:rsid w:val="001C44FD"/>
    <w:rsid w:val="001C4CF0"/>
    <w:rsid w:val="001C64C3"/>
    <w:rsid w:val="001C74B6"/>
    <w:rsid w:val="001C77B9"/>
    <w:rsid w:val="001C7802"/>
    <w:rsid w:val="001D05AE"/>
    <w:rsid w:val="001D100B"/>
    <w:rsid w:val="001D1A24"/>
    <w:rsid w:val="001D285D"/>
    <w:rsid w:val="001D2FCE"/>
    <w:rsid w:val="001D66CF"/>
    <w:rsid w:val="001D7243"/>
    <w:rsid w:val="001E1A9B"/>
    <w:rsid w:val="001E236E"/>
    <w:rsid w:val="001E3FFF"/>
    <w:rsid w:val="001E4234"/>
    <w:rsid w:val="001E63F4"/>
    <w:rsid w:val="001E7A04"/>
    <w:rsid w:val="001F0BA2"/>
    <w:rsid w:val="001F25DA"/>
    <w:rsid w:val="001F29CE"/>
    <w:rsid w:val="001F3E6F"/>
    <w:rsid w:val="001F43DF"/>
    <w:rsid w:val="001F4F1D"/>
    <w:rsid w:val="00200C0B"/>
    <w:rsid w:val="0020203B"/>
    <w:rsid w:val="00202511"/>
    <w:rsid w:val="00202643"/>
    <w:rsid w:val="002027CA"/>
    <w:rsid w:val="00202BCB"/>
    <w:rsid w:val="00204470"/>
    <w:rsid w:val="00204D55"/>
    <w:rsid w:val="0020622C"/>
    <w:rsid w:val="002063A3"/>
    <w:rsid w:val="00206811"/>
    <w:rsid w:val="00206BDC"/>
    <w:rsid w:val="002074D4"/>
    <w:rsid w:val="0021054A"/>
    <w:rsid w:val="00211C0C"/>
    <w:rsid w:val="00211C4B"/>
    <w:rsid w:val="00213530"/>
    <w:rsid w:val="00213756"/>
    <w:rsid w:val="00215502"/>
    <w:rsid w:val="0021798E"/>
    <w:rsid w:val="00217B91"/>
    <w:rsid w:val="00217B9C"/>
    <w:rsid w:val="0022112B"/>
    <w:rsid w:val="00225856"/>
    <w:rsid w:val="002263B1"/>
    <w:rsid w:val="00226547"/>
    <w:rsid w:val="00227058"/>
    <w:rsid w:val="002274FD"/>
    <w:rsid w:val="00232098"/>
    <w:rsid w:val="00232427"/>
    <w:rsid w:val="00233F8D"/>
    <w:rsid w:val="00234E64"/>
    <w:rsid w:val="002352B3"/>
    <w:rsid w:val="00235405"/>
    <w:rsid w:val="002355B4"/>
    <w:rsid w:val="00235DD4"/>
    <w:rsid w:val="00235E75"/>
    <w:rsid w:val="00236004"/>
    <w:rsid w:val="00236666"/>
    <w:rsid w:val="00237D12"/>
    <w:rsid w:val="00237D21"/>
    <w:rsid w:val="00243619"/>
    <w:rsid w:val="00243C20"/>
    <w:rsid w:val="002445BA"/>
    <w:rsid w:val="002459F1"/>
    <w:rsid w:val="0024658D"/>
    <w:rsid w:val="00247105"/>
    <w:rsid w:val="00247216"/>
    <w:rsid w:val="00247431"/>
    <w:rsid w:val="00250486"/>
    <w:rsid w:val="0025220B"/>
    <w:rsid w:val="00252DCC"/>
    <w:rsid w:val="00254AB4"/>
    <w:rsid w:val="00255667"/>
    <w:rsid w:val="0025625C"/>
    <w:rsid w:val="002604D8"/>
    <w:rsid w:val="00261AEA"/>
    <w:rsid w:val="0026314C"/>
    <w:rsid w:val="002648FD"/>
    <w:rsid w:val="002651A9"/>
    <w:rsid w:val="002666CF"/>
    <w:rsid w:val="002677AD"/>
    <w:rsid w:val="00267E1A"/>
    <w:rsid w:val="00267F9F"/>
    <w:rsid w:val="00271122"/>
    <w:rsid w:val="002714F8"/>
    <w:rsid w:val="00272BC6"/>
    <w:rsid w:val="00274525"/>
    <w:rsid w:val="0027683B"/>
    <w:rsid w:val="0028084E"/>
    <w:rsid w:val="0028155F"/>
    <w:rsid w:val="0028339B"/>
    <w:rsid w:val="002833E2"/>
    <w:rsid w:val="00283E0F"/>
    <w:rsid w:val="00285661"/>
    <w:rsid w:val="00287A3F"/>
    <w:rsid w:val="00291214"/>
    <w:rsid w:val="0029122E"/>
    <w:rsid w:val="0029270D"/>
    <w:rsid w:val="00292BC0"/>
    <w:rsid w:val="002A24C0"/>
    <w:rsid w:val="002A327C"/>
    <w:rsid w:val="002A3A3F"/>
    <w:rsid w:val="002A42A1"/>
    <w:rsid w:val="002A45A2"/>
    <w:rsid w:val="002A48FF"/>
    <w:rsid w:val="002B22BE"/>
    <w:rsid w:val="002B2521"/>
    <w:rsid w:val="002B3F09"/>
    <w:rsid w:val="002B446E"/>
    <w:rsid w:val="002B4AB0"/>
    <w:rsid w:val="002B4FC4"/>
    <w:rsid w:val="002B50D7"/>
    <w:rsid w:val="002B6952"/>
    <w:rsid w:val="002C0711"/>
    <w:rsid w:val="002C19D8"/>
    <w:rsid w:val="002C1C24"/>
    <w:rsid w:val="002C1FB1"/>
    <w:rsid w:val="002C2094"/>
    <w:rsid w:val="002C22D3"/>
    <w:rsid w:val="002C24A9"/>
    <w:rsid w:val="002C3F1D"/>
    <w:rsid w:val="002C535B"/>
    <w:rsid w:val="002C7139"/>
    <w:rsid w:val="002C7296"/>
    <w:rsid w:val="002C7704"/>
    <w:rsid w:val="002D0409"/>
    <w:rsid w:val="002D0482"/>
    <w:rsid w:val="002D0C0D"/>
    <w:rsid w:val="002D410D"/>
    <w:rsid w:val="002D495A"/>
    <w:rsid w:val="002D5671"/>
    <w:rsid w:val="002D7731"/>
    <w:rsid w:val="002D796C"/>
    <w:rsid w:val="002E2095"/>
    <w:rsid w:val="002E336D"/>
    <w:rsid w:val="002F04EE"/>
    <w:rsid w:val="002F06FB"/>
    <w:rsid w:val="002F079F"/>
    <w:rsid w:val="002F07B4"/>
    <w:rsid w:val="002F0FD8"/>
    <w:rsid w:val="002F13F3"/>
    <w:rsid w:val="002F1B7E"/>
    <w:rsid w:val="002F406F"/>
    <w:rsid w:val="002F4D1A"/>
    <w:rsid w:val="002F7724"/>
    <w:rsid w:val="002F7DBA"/>
    <w:rsid w:val="00301A6B"/>
    <w:rsid w:val="00303226"/>
    <w:rsid w:val="0030338C"/>
    <w:rsid w:val="00303440"/>
    <w:rsid w:val="003037A5"/>
    <w:rsid w:val="00306611"/>
    <w:rsid w:val="003074AD"/>
    <w:rsid w:val="003106FD"/>
    <w:rsid w:val="00310B3D"/>
    <w:rsid w:val="00312D92"/>
    <w:rsid w:val="00313E8C"/>
    <w:rsid w:val="00314175"/>
    <w:rsid w:val="0031655E"/>
    <w:rsid w:val="00316879"/>
    <w:rsid w:val="00317448"/>
    <w:rsid w:val="00317E68"/>
    <w:rsid w:val="00320865"/>
    <w:rsid w:val="003218B7"/>
    <w:rsid w:val="0032296D"/>
    <w:rsid w:val="00322C7A"/>
    <w:rsid w:val="00323D20"/>
    <w:rsid w:val="00325BFE"/>
    <w:rsid w:val="003316A1"/>
    <w:rsid w:val="00332AC6"/>
    <w:rsid w:val="00332C2E"/>
    <w:rsid w:val="00332F58"/>
    <w:rsid w:val="00335FB7"/>
    <w:rsid w:val="0033670C"/>
    <w:rsid w:val="00337A3D"/>
    <w:rsid w:val="003415A5"/>
    <w:rsid w:val="00342B82"/>
    <w:rsid w:val="00347526"/>
    <w:rsid w:val="0035071E"/>
    <w:rsid w:val="00351BAE"/>
    <w:rsid w:val="00352E27"/>
    <w:rsid w:val="00355BF2"/>
    <w:rsid w:val="00356EA4"/>
    <w:rsid w:val="00357525"/>
    <w:rsid w:val="00360352"/>
    <w:rsid w:val="00363FB1"/>
    <w:rsid w:val="00364E28"/>
    <w:rsid w:val="00365D15"/>
    <w:rsid w:val="00366DDF"/>
    <w:rsid w:val="00366E44"/>
    <w:rsid w:val="00366F8D"/>
    <w:rsid w:val="00370092"/>
    <w:rsid w:val="00370D45"/>
    <w:rsid w:val="00372C98"/>
    <w:rsid w:val="00373AC2"/>
    <w:rsid w:val="00373B2F"/>
    <w:rsid w:val="00373C53"/>
    <w:rsid w:val="00374728"/>
    <w:rsid w:val="003759C3"/>
    <w:rsid w:val="00375FD5"/>
    <w:rsid w:val="003768C2"/>
    <w:rsid w:val="00376EC5"/>
    <w:rsid w:val="003770FA"/>
    <w:rsid w:val="00377A1B"/>
    <w:rsid w:val="00380434"/>
    <w:rsid w:val="00380605"/>
    <w:rsid w:val="00380FD8"/>
    <w:rsid w:val="00381D1E"/>
    <w:rsid w:val="0038237C"/>
    <w:rsid w:val="00383611"/>
    <w:rsid w:val="003869A1"/>
    <w:rsid w:val="00387515"/>
    <w:rsid w:val="00391CA7"/>
    <w:rsid w:val="0039355D"/>
    <w:rsid w:val="00394703"/>
    <w:rsid w:val="003954BB"/>
    <w:rsid w:val="003955B6"/>
    <w:rsid w:val="00396850"/>
    <w:rsid w:val="0039730A"/>
    <w:rsid w:val="00397DBD"/>
    <w:rsid w:val="003A1906"/>
    <w:rsid w:val="003A209E"/>
    <w:rsid w:val="003A2FA5"/>
    <w:rsid w:val="003A30DF"/>
    <w:rsid w:val="003A4891"/>
    <w:rsid w:val="003A4903"/>
    <w:rsid w:val="003A7256"/>
    <w:rsid w:val="003A7B89"/>
    <w:rsid w:val="003B1A25"/>
    <w:rsid w:val="003B2814"/>
    <w:rsid w:val="003B3418"/>
    <w:rsid w:val="003B5CF6"/>
    <w:rsid w:val="003B5F52"/>
    <w:rsid w:val="003B6691"/>
    <w:rsid w:val="003B6CD2"/>
    <w:rsid w:val="003C2B12"/>
    <w:rsid w:val="003C5B28"/>
    <w:rsid w:val="003C5FF6"/>
    <w:rsid w:val="003D0912"/>
    <w:rsid w:val="003D3FEE"/>
    <w:rsid w:val="003D6DC5"/>
    <w:rsid w:val="003E1196"/>
    <w:rsid w:val="003E41CC"/>
    <w:rsid w:val="003E43B4"/>
    <w:rsid w:val="003E54BF"/>
    <w:rsid w:val="003E5ABE"/>
    <w:rsid w:val="003E5B25"/>
    <w:rsid w:val="003E69BB"/>
    <w:rsid w:val="003E7594"/>
    <w:rsid w:val="003E7E0A"/>
    <w:rsid w:val="003F458B"/>
    <w:rsid w:val="003F5CC8"/>
    <w:rsid w:val="003F5E38"/>
    <w:rsid w:val="003F60E9"/>
    <w:rsid w:val="003F7F3C"/>
    <w:rsid w:val="00400D1C"/>
    <w:rsid w:val="00400E8F"/>
    <w:rsid w:val="004013C6"/>
    <w:rsid w:val="00401B7E"/>
    <w:rsid w:val="00401C7A"/>
    <w:rsid w:val="0040239A"/>
    <w:rsid w:val="00403752"/>
    <w:rsid w:val="004039FC"/>
    <w:rsid w:val="004043A5"/>
    <w:rsid w:val="00404E76"/>
    <w:rsid w:val="0040636D"/>
    <w:rsid w:val="004079BD"/>
    <w:rsid w:val="00411735"/>
    <w:rsid w:val="00411B79"/>
    <w:rsid w:val="0041219C"/>
    <w:rsid w:val="00413E53"/>
    <w:rsid w:val="0041464D"/>
    <w:rsid w:val="00414D01"/>
    <w:rsid w:val="00414F27"/>
    <w:rsid w:val="00415CC4"/>
    <w:rsid w:val="0041601E"/>
    <w:rsid w:val="0041677D"/>
    <w:rsid w:val="00417AE9"/>
    <w:rsid w:val="00420C9D"/>
    <w:rsid w:val="004238CB"/>
    <w:rsid w:val="004238D2"/>
    <w:rsid w:val="00423EBA"/>
    <w:rsid w:val="00423F6E"/>
    <w:rsid w:val="00425F54"/>
    <w:rsid w:val="0042651A"/>
    <w:rsid w:val="0042746E"/>
    <w:rsid w:val="00427C2F"/>
    <w:rsid w:val="0043094B"/>
    <w:rsid w:val="00432D95"/>
    <w:rsid w:val="004339BF"/>
    <w:rsid w:val="00433A10"/>
    <w:rsid w:val="00434047"/>
    <w:rsid w:val="004349CB"/>
    <w:rsid w:val="0043525D"/>
    <w:rsid w:val="0043649A"/>
    <w:rsid w:val="0044045D"/>
    <w:rsid w:val="0044119A"/>
    <w:rsid w:val="00441F96"/>
    <w:rsid w:val="004420E0"/>
    <w:rsid w:val="00444A93"/>
    <w:rsid w:val="00445570"/>
    <w:rsid w:val="0044738E"/>
    <w:rsid w:val="00450D57"/>
    <w:rsid w:val="00452220"/>
    <w:rsid w:val="00452826"/>
    <w:rsid w:val="0045288E"/>
    <w:rsid w:val="00454CF7"/>
    <w:rsid w:val="004551FD"/>
    <w:rsid w:val="004561BF"/>
    <w:rsid w:val="00456DCA"/>
    <w:rsid w:val="00457E5D"/>
    <w:rsid w:val="00461592"/>
    <w:rsid w:val="00461A12"/>
    <w:rsid w:val="004639E4"/>
    <w:rsid w:val="00463C61"/>
    <w:rsid w:val="00465A23"/>
    <w:rsid w:val="00467319"/>
    <w:rsid w:val="00467634"/>
    <w:rsid w:val="00467A82"/>
    <w:rsid w:val="00467D98"/>
    <w:rsid w:val="00472446"/>
    <w:rsid w:val="00473078"/>
    <w:rsid w:val="00474016"/>
    <w:rsid w:val="004754B6"/>
    <w:rsid w:val="004776CD"/>
    <w:rsid w:val="0048101E"/>
    <w:rsid w:val="00481F8A"/>
    <w:rsid w:val="00481F98"/>
    <w:rsid w:val="0048217D"/>
    <w:rsid w:val="004848D4"/>
    <w:rsid w:val="00484F76"/>
    <w:rsid w:val="00491B62"/>
    <w:rsid w:val="004926C9"/>
    <w:rsid w:val="00492B2E"/>
    <w:rsid w:val="004946A5"/>
    <w:rsid w:val="004947B1"/>
    <w:rsid w:val="00495213"/>
    <w:rsid w:val="00495FDB"/>
    <w:rsid w:val="00497C6B"/>
    <w:rsid w:val="004A3EFD"/>
    <w:rsid w:val="004A548E"/>
    <w:rsid w:val="004A5EC4"/>
    <w:rsid w:val="004A6B59"/>
    <w:rsid w:val="004A7273"/>
    <w:rsid w:val="004A7DC7"/>
    <w:rsid w:val="004B04D7"/>
    <w:rsid w:val="004B066B"/>
    <w:rsid w:val="004B1443"/>
    <w:rsid w:val="004B1D7D"/>
    <w:rsid w:val="004B2011"/>
    <w:rsid w:val="004B4B69"/>
    <w:rsid w:val="004B4DA6"/>
    <w:rsid w:val="004B55D7"/>
    <w:rsid w:val="004B5771"/>
    <w:rsid w:val="004B6D26"/>
    <w:rsid w:val="004B7B97"/>
    <w:rsid w:val="004C0051"/>
    <w:rsid w:val="004C1C88"/>
    <w:rsid w:val="004C3D15"/>
    <w:rsid w:val="004C58F2"/>
    <w:rsid w:val="004C5E53"/>
    <w:rsid w:val="004C6C17"/>
    <w:rsid w:val="004C7C5D"/>
    <w:rsid w:val="004D0865"/>
    <w:rsid w:val="004D1B90"/>
    <w:rsid w:val="004D2FD1"/>
    <w:rsid w:val="004D427A"/>
    <w:rsid w:val="004D4B88"/>
    <w:rsid w:val="004D4BA3"/>
    <w:rsid w:val="004D5006"/>
    <w:rsid w:val="004D52DA"/>
    <w:rsid w:val="004D6829"/>
    <w:rsid w:val="004D7FCB"/>
    <w:rsid w:val="004E064A"/>
    <w:rsid w:val="004E0AFA"/>
    <w:rsid w:val="004E17C0"/>
    <w:rsid w:val="004E18FA"/>
    <w:rsid w:val="004E21E8"/>
    <w:rsid w:val="004E29D5"/>
    <w:rsid w:val="004E480F"/>
    <w:rsid w:val="004E76A3"/>
    <w:rsid w:val="004F17F8"/>
    <w:rsid w:val="004F19F9"/>
    <w:rsid w:val="004F201D"/>
    <w:rsid w:val="004F3B95"/>
    <w:rsid w:val="004F54B6"/>
    <w:rsid w:val="004F58AA"/>
    <w:rsid w:val="004F58BB"/>
    <w:rsid w:val="004F75C2"/>
    <w:rsid w:val="00500305"/>
    <w:rsid w:val="00501AC3"/>
    <w:rsid w:val="00502527"/>
    <w:rsid w:val="005028E9"/>
    <w:rsid w:val="005033CF"/>
    <w:rsid w:val="00503629"/>
    <w:rsid w:val="00503877"/>
    <w:rsid w:val="00505AC0"/>
    <w:rsid w:val="005065EC"/>
    <w:rsid w:val="0050757F"/>
    <w:rsid w:val="00510C64"/>
    <w:rsid w:val="005135AA"/>
    <w:rsid w:val="00513B7A"/>
    <w:rsid w:val="005143A4"/>
    <w:rsid w:val="00515B4A"/>
    <w:rsid w:val="00516A47"/>
    <w:rsid w:val="00516CB2"/>
    <w:rsid w:val="00516ED6"/>
    <w:rsid w:val="0051714B"/>
    <w:rsid w:val="00520098"/>
    <w:rsid w:val="00521189"/>
    <w:rsid w:val="005211EE"/>
    <w:rsid w:val="005218E7"/>
    <w:rsid w:val="00522B3A"/>
    <w:rsid w:val="00524041"/>
    <w:rsid w:val="005245D7"/>
    <w:rsid w:val="00524F0A"/>
    <w:rsid w:val="00526EFA"/>
    <w:rsid w:val="00531CCB"/>
    <w:rsid w:val="00535956"/>
    <w:rsid w:val="005361E8"/>
    <w:rsid w:val="00536781"/>
    <w:rsid w:val="005368A4"/>
    <w:rsid w:val="0054157E"/>
    <w:rsid w:val="00541A1B"/>
    <w:rsid w:val="0054233D"/>
    <w:rsid w:val="00542ED9"/>
    <w:rsid w:val="00544418"/>
    <w:rsid w:val="00545D73"/>
    <w:rsid w:val="005461E8"/>
    <w:rsid w:val="00546310"/>
    <w:rsid w:val="0054693F"/>
    <w:rsid w:val="00546D0B"/>
    <w:rsid w:val="005473F9"/>
    <w:rsid w:val="00550000"/>
    <w:rsid w:val="00550484"/>
    <w:rsid w:val="00550F55"/>
    <w:rsid w:val="00550FAC"/>
    <w:rsid w:val="005518D6"/>
    <w:rsid w:val="00551FB0"/>
    <w:rsid w:val="00553A57"/>
    <w:rsid w:val="00553C65"/>
    <w:rsid w:val="00555250"/>
    <w:rsid w:val="00556A44"/>
    <w:rsid w:val="0056043B"/>
    <w:rsid w:val="005606D5"/>
    <w:rsid w:val="00560C6F"/>
    <w:rsid w:val="00560D27"/>
    <w:rsid w:val="0056139C"/>
    <w:rsid w:val="00561A6A"/>
    <w:rsid w:val="005620E9"/>
    <w:rsid w:val="00563993"/>
    <w:rsid w:val="00563DB1"/>
    <w:rsid w:val="005647D5"/>
    <w:rsid w:val="00565D83"/>
    <w:rsid w:val="005663D4"/>
    <w:rsid w:val="005664C2"/>
    <w:rsid w:val="00567510"/>
    <w:rsid w:val="00571DAA"/>
    <w:rsid w:val="00571E6A"/>
    <w:rsid w:val="005734F6"/>
    <w:rsid w:val="00574ADA"/>
    <w:rsid w:val="00574F7F"/>
    <w:rsid w:val="00575B8C"/>
    <w:rsid w:val="005769D4"/>
    <w:rsid w:val="005776D4"/>
    <w:rsid w:val="00577C08"/>
    <w:rsid w:val="00580FD8"/>
    <w:rsid w:val="0058144C"/>
    <w:rsid w:val="005829A9"/>
    <w:rsid w:val="00584C59"/>
    <w:rsid w:val="00586487"/>
    <w:rsid w:val="005905BC"/>
    <w:rsid w:val="00590F20"/>
    <w:rsid w:val="00592A73"/>
    <w:rsid w:val="00592C3D"/>
    <w:rsid w:val="00592F56"/>
    <w:rsid w:val="005930A7"/>
    <w:rsid w:val="005963F5"/>
    <w:rsid w:val="005964DB"/>
    <w:rsid w:val="005967E3"/>
    <w:rsid w:val="00597382"/>
    <w:rsid w:val="005A0C93"/>
    <w:rsid w:val="005A1906"/>
    <w:rsid w:val="005A34A3"/>
    <w:rsid w:val="005A4A8A"/>
    <w:rsid w:val="005A4CF8"/>
    <w:rsid w:val="005A551A"/>
    <w:rsid w:val="005A7E4A"/>
    <w:rsid w:val="005B09C8"/>
    <w:rsid w:val="005B2AA7"/>
    <w:rsid w:val="005B68AB"/>
    <w:rsid w:val="005B6CD9"/>
    <w:rsid w:val="005B7009"/>
    <w:rsid w:val="005C005A"/>
    <w:rsid w:val="005C0466"/>
    <w:rsid w:val="005C168A"/>
    <w:rsid w:val="005C2103"/>
    <w:rsid w:val="005C28D0"/>
    <w:rsid w:val="005C45D6"/>
    <w:rsid w:val="005C7654"/>
    <w:rsid w:val="005D0CB4"/>
    <w:rsid w:val="005D0E45"/>
    <w:rsid w:val="005D2BB7"/>
    <w:rsid w:val="005D3DBD"/>
    <w:rsid w:val="005D525A"/>
    <w:rsid w:val="005D5AA3"/>
    <w:rsid w:val="005D60DC"/>
    <w:rsid w:val="005D6668"/>
    <w:rsid w:val="005D6A34"/>
    <w:rsid w:val="005D6C22"/>
    <w:rsid w:val="005D77F4"/>
    <w:rsid w:val="005D7AE6"/>
    <w:rsid w:val="005E0692"/>
    <w:rsid w:val="005E2D09"/>
    <w:rsid w:val="005E53F8"/>
    <w:rsid w:val="005E761D"/>
    <w:rsid w:val="005E7673"/>
    <w:rsid w:val="005E796F"/>
    <w:rsid w:val="005F0309"/>
    <w:rsid w:val="005F044A"/>
    <w:rsid w:val="005F103A"/>
    <w:rsid w:val="005F11EA"/>
    <w:rsid w:val="005F3E60"/>
    <w:rsid w:val="005F5CE3"/>
    <w:rsid w:val="006001CC"/>
    <w:rsid w:val="00600554"/>
    <w:rsid w:val="00600F11"/>
    <w:rsid w:val="00601D6A"/>
    <w:rsid w:val="00602D63"/>
    <w:rsid w:val="00603C90"/>
    <w:rsid w:val="006042BE"/>
    <w:rsid w:val="0060553D"/>
    <w:rsid w:val="006057A3"/>
    <w:rsid w:val="00606B2D"/>
    <w:rsid w:val="00607701"/>
    <w:rsid w:val="00612615"/>
    <w:rsid w:val="006131D9"/>
    <w:rsid w:val="00613A13"/>
    <w:rsid w:val="00613CC8"/>
    <w:rsid w:val="006152F7"/>
    <w:rsid w:val="006155F0"/>
    <w:rsid w:val="00616509"/>
    <w:rsid w:val="00620901"/>
    <w:rsid w:val="00621047"/>
    <w:rsid w:val="00622453"/>
    <w:rsid w:val="006224EA"/>
    <w:rsid w:val="0062250B"/>
    <w:rsid w:val="0062274A"/>
    <w:rsid w:val="00623407"/>
    <w:rsid w:val="00624E56"/>
    <w:rsid w:val="00625C14"/>
    <w:rsid w:val="00630D1B"/>
    <w:rsid w:val="00631B3C"/>
    <w:rsid w:val="00632112"/>
    <w:rsid w:val="00632A00"/>
    <w:rsid w:val="00633A2E"/>
    <w:rsid w:val="00634074"/>
    <w:rsid w:val="006358AF"/>
    <w:rsid w:val="00636CC7"/>
    <w:rsid w:val="00637235"/>
    <w:rsid w:val="00640973"/>
    <w:rsid w:val="0064184B"/>
    <w:rsid w:val="00642BA1"/>
    <w:rsid w:val="00644543"/>
    <w:rsid w:val="00645B6C"/>
    <w:rsid w:val="006465A6"/>
    <w:rsid w:val="00646D00"/>
    <w:rsid w:val="00650020"/>
    <w:rsid w:val="00651575"/>
    <w:rsid w:val="00653245"/>
    <w:rsid w:val="006539E0"/>
    <w:rsid w:val="00654E37"/>
    <w:rsid w:val="00655CC5"/>
    <w:rsid w:val="006562DE"/>
    <w:rsid w:val="00657D6E"/>
    <w:rsid w:val="00657E0D"/>
    <w:rsid w:val="006609AC"/>
    <w:rsid w:val="00661CE5"/>
    <w:rsid w:val="00661F48"/>
    <w:rsid w:val="00662C69"/>
    <w:rsid w:val="00664C46"/>
    <w:rsid w:val="00664DFB"/>
    <w:rsid w:val="006650B9"/>
    <w:rsid w:val="00665EE6"/>
    <w:rsid w:val="00667DD8"/>
    <w:rsid w:val="00670AE0"/>
    <w:rsid w:val="00674AFA"/>
    <w:rsid w:val="0067627C"/>
    <w:rsid w:val="00681475"/>
    <w:rsid w:val="00683161"/>
    <w:rsid w:val="006833A5"/>
    <w:rsid w:val="00685235"/>
    <w:rsid w:val="00685541"/>
    <w:rsid w:val="00686D6A"/>
    <w:rsid w:val="00686F8B"/>
    <w:rsid w:val="006921A1"/>
    <w:rsid w:val="006921A4"/>
    <w:rsid w:val="006935AD"/>
    <w:rsid w:val="006955B2"/>
    <w:rsid w:val="006957DB"/>
    <w:rsid w:val="006968C1"/>
    <w:rsid w:val="006A3733"/>
    <w:rsid w:val="006A54F5"/>
    <w:rsid w:val="006A6D3A"/>
    <w:rsid w:val="006B1009"/>
    <w:rsid w:val="006B136D"/>
    <w:rsid w:val="006B1693"/>
    <w:rsid w:val="006B22BA"/>
    <w:rsid w:val="006B274C"/>
    <w:rsid w:val="006B2C10"/>
    <w:rsid w:val="006B2CD0"/>
    <w:rsid w:val="006B37B4"/>
    <w:rsid w:val="006B3C8F"/>
    <w:rsid w:val="006B694B"/>
    <w:rsid w:val="006C008B"/>
    <w:rsid w:val="006C1D02"/>
    <w:rsid w:val="006C1E55"/>
    <w:rsid w:val="006C2F37"/>
    <w:rsid w:val="006C3632"/>
    <w:rsid w:val="006C3BAB"/>
    <w:rsid w:val="006C3FB6"/>
    <w:rsid w:val="006C409E"/>
    <w:rsid w:val="006C40A3"/>
    <w:rsid w:val="006C7AF1"/>
    <w:rsid w:val="006C7C74"/>
    <w:rsid w:val="006D008F"/>
    <w:rsid w:val="006D23DA"/>
    <w:rsid w:val="006D300B"/>
    <w:rsid w:val="006D352C"/>
    <w:rsid w:val="006D4995"/>
    <w:rsid w:val="006D52C3"/>
    <w:rsid w:val="006D55EA"/>
    <w:rsid w:val="006D5868"/>
    <w:rsid w:val="006D629D"/>
    <w:rsid w:val="006D6CD3"/>
    <w:rsid w:val="006E0922"/>
    <w:rsid w:val="006E0D22"/>
    <w:rsid w:val="006E0D7A"/>
    <w:rsid w:val="006E1C8A"/>
    <w:rsid w:val="006E2508"/>
    <w:rsid w:val="006E3129"/>
    <w:rsid w:val="006E3701"/>
    <w:rsid w:val="006E408E"/>
    <w:rsid w:val="006E75BD"/>
    <w:rsid w:val="006E7BD7"/>
    <w:rsid w:val="006F0515"/>
    <w:rsid w:val="006F4639"/>
    <w:rsid w:val="006F525E"/>
    <w:rsid w:val="006F5630"/>
    <w:rsid w:val="006F6059"/>
    <w:rsid w:val="006F7382"/>
    <w:rsid w:val="00700AAE"/>
    <w:rsid w:val="00701596"/>
    <w:rsid w:val="007015A6"/>
    <w:rsid w:val="00701657"/>
    <w:rsid w:val="00701EC3"/>
    <w:rsid w:val="00701ECF"/>
    <w:rsid w:val="0070470E"/>
    <w:rsid w:val="00705FE2"/>
    <w:rsid w:val="007064A5"/>
    <w:rsid w:val="00706571"/>
    <w:rsid w:val="00706E4B"/>
    <w:rsid w:val="0070719B"/>
    <w:rsid w:val="00711A31"/>
    <w:rsid w:val="0071254F"/>
    <w:rsid w:val="00712605"/>
    <w:rsid w:val="00713961"/>
    <w:rsid w:val="00714421"/>
    <w:rsid w:val="00714795"/>
    <w:rsid w:val="007174C5"/>
    <w:rsid w:val="00717691"/>
    <w:rsid w:val="00717735"/>
    <w:rsid w:val="00717B59"/>
    <w:rsid w:val="00720BA5"/>
    <w:rsid w:val="0072153B"/>
    <w:rsid w:val="007215EB"/>
    <w:rsid w:val="00721A27"/>
    <w:rsid w:val="00722595"/>
    <w:rsid w:val="007235D3"/>
    <w:rsid w:val="00724485"/>
    <w:rsid w:val="00724E7A"/>
    <w:rsid w:val="007256D0"/>
    <w:rsid w:val="007274D7"/>
    <w:rsid w:val="007307C4"/>
    <w:rsid w:val="00731B9F"/>
    <w:rsid w:val="00732FF5"/>
    <w:rsid w:val="007331B5"/>
    <w:rsid w:val="007356AD"/>
    <w:rsid w:val="00735B7E"/>
    <w:rsid w:val="00736536"/>
    <w:rsid w:val="007366D3"/>
    <w:rsid w:val="00736CD3"/>
    <w:rsid w:val="00742A2E"/>
    <w:rsid w:val="00744451"/>
    <w:rsid w:val="007453A2"/>
    <w:rsid w:val="00750D33"/>
    <w:rsid w:val="007541B6"/>
    <w:rsid w:val="007547B1"/>
    <w:rsid w:val="0075482B"/>
    <w:rsid w:val="00754880"/>
    <w:rsid w:val="007548F1"/>
    <w:rsid w:val="00754E31"/>
    <w:rsid w:val="007552C6"/>
    <w:rsid w:val="007605D1"/>
    <w:rsid w:val="007616F2"/>
    <w:rsid w:val="00761D2D"/>
    <w:rsid w:val="00762C9D"/>
    <w:rsid w:val="0076370F"/>
    <w:rsid w:val="007677E9"/>
    <w:rsid w:val="00771018"/>
    <w:rsid w:val="00773489"/>
    <w:rsid w:val="007737BD"/>
    <w:rsid w:val="007750A2"/>
    <w:rsid w:val="007759FF"/>
    <w:rsid w:val="00780938"/>
    <w:rsid w:val="007833F3"/>
    <w:rsid w:val="00783CF0"/>
    <w:rsid w:val="00784704"/>
    <w:rsid w:val="00784C4A"/>
    <w:rsid w:val="00784F6D"/>
    <w:rsid w:val="00785270"/>
    <w:rsid w:val="00785364"/>
    <w:rsid w:val="00790381"/>
    <w:rsid w:val="0079159F"/>
    <w:rsid w:val="007933FE"/>
    <w:rsid w:val="0079575B"/>
    <w:rsid w:val="007965F7"/>
    <w:rsid w:val="0079687F"/>
    <w:rsid w:val="00796E62"/>
    <w:rsid w:val="00797A21"/>
    <w:rsid w:val="007A001F"/>
    <w:rsid w:val="007A0183"/>
    <w:rsid w:val="007A0F0C"/>
    <w:rsid w:val="007A4135"/>
    <w:rsid w:val="007A6286"/>
    <w:rsid w:val="007A65CF"/>
    <w:rsid w:val="007A6656"/>
    <w:rsid w:val="007A6AA6"/>
    <w:rsid w:val="007B06F2"/>
    <w:rsid w:val="007B0CAB"/>
    <w:rsid w:val="007B0F31"/>
    <w:rsid w:val="007B101B"/>
    <w:rsid w:val="007B2E47"/>
    <w:rsid w:val="007B2F7E"/>
    <w:rsid w:val="007B3072"/>
    <w:rsid w:val="007B3E6E"/>
    <w:rsid w:val="007C1716"/>
    <w:rsid w:val="007C1D4B"/>
    <w:rsid w:val="007C2250"/>
    <w:rsid w:val="007C2C93"/>
    <w:rsid w:val="007C35C7"/>
    <w:rsid w:val="007C3725"/>
    <w:rsid w:val="007C4F5C"/>
    <w:rsid w:val="007C65BD"/>
    <w:rsid w:val="007C6E4C"/>
    <w:rsid w:val="007C6FD2"/>
    <w:rsid w:val="007C7745"/>
    <w:rsid w:val="007C78A2"/>
    <w:rsid w:val="007C7D8A"/>
    <w:rsid w:val="007D455C"/>
    <w:rsid w:val="007D5263"/>
    <w:rsid w:val="007D593F"/>
    <w:rsid w:val="007D6497"/>
    <w:rsid w:val="007D73AC"/>
    <w:rsid w:val="007E19EF"/>
    <w:rsid w:val="007E33F6"/>
    <w:rsid w:val="007E4203"/>
    <w:rsid w:val="007E52BF"/>
    <w:rsid w:val="007E556A"/>
    <w:rsid w:val="007E66EC"/>
    <w:rsid w:val="007E7124"/>
    <w:rsid w:val="007F0D23"/>
    <w:rsid w:val="007F0D56"/>
    <w:rsid w:val="007F189F"/>
    <w:rsid w:val="007F1A87"/>
    <w:rsid w:val="007F1BAC"/>
    <w:rsid w:val="007F45B8"/>
    <w:rsid w:val="007F4DBE"/>
    <w:rsid w:val="007F57EB"/>
    <w:rsid w:val="007F67BB"/>
    <w:rsid w:val="008025A0"/>
    <w:rsid w:val="00803D94"/>
    <w:rsid w:val="008070C2"/>
    <w:rsid w:val="008070FF"/>
    <w:rsid w:val="0081044A"/>
    <w:rsid w:val="008104E4"/>
    <w:rsid w:val="00810FBE"/>
    <w:rsid w:val="00811BDE"/>
    <w:rsid w:val="00812A16"/>
    <w:rsid w:val="00812ED0"/>
    <w:rsid w:val="00816B74"/>
    <w:rsid w:val="0081715D"/>
    <w:rsid w:val="00817423"/>
    <w:rsid w:val="00821285"/>
    <w:rsid w:val="00821AC9"/>
    <w:rsid w:val="00824971"/>
    <w:rsid w:val="00826F14"/>
    <w:rsid w:val="0082707C"/>
    <w:rsid w:val="0083121B"/>
    <w:rsid w:val="008325E7"/>
    <w:rsid w:val="00833938"/>
    <w:rsid w:val="008345A3"/>
    <w:rsid w:val="0083561F"/>
    <w:rsid w:val="00835CB2"/>
    <w:rsid w:val="008367B9"/>
    <w:rsid w:val="00837FCA"/>
    <w:rsid w:val="0084086E"/>
    <w:rsid w:val="008413B8"/>
    <w:rsid w:val="00842B72"/>
    <w:rsid w:val="00844497"/>
    <w:rsid w:val="00844938"/>
    <w:rsid w:val="008455B6"/>
    <w:rsid w:val="008503D0"/>
    <w:rsid w:val="00852385"/>
    <w:rsid w:val="008527E4"/>
    <w:rsid w:val="00853B62"/>
    <w:rsid w:val="008545E4"/>
    <w:rsid w:val="00855550"/>
    <w:rsid w:val="00857104"/>
    <w:rsid w:val="008577DB"/>
    <w:rsid w:val="00857D5E"/>
    <w:rsid w:val="00861445"/>
    <w:rsid w:val="008665B6"/>
    <w:rsid w:val="00867128"/>
    <w:rsid w:val="00867F77"/>
    <w:rsid w:val="0087018E"/>
    <w:rsid w:val="00870C83"/>
    <w:rsid w:val="00870D77"/>
    <w:rsid w:val="00871CC6"/>
    <w:rsid w:val="00872A37"/>
    <w:rsid w:val="00873F0C"/>
    <w:rsid w:val="0088128D"/>
    <w:rsid w:val="00881779"/>
    <w:rsid w:val="00881C7E"/>
    <w:rsid w:val="00881FB3"/>
    <w:rsid w:val="0088269C"/>
    <w:rsid w:val="00882BE3"/>
    <w:rsid w:val="0088326D"/>
    <w:rsid w:val="00884524"/>
    <w:rsid w:val="00885AB0"/>
    <w:rsid w:val="00886927"/>
    <w:rsid w:val="00890631"/>
    <w:rsid w:val="00891B80"/>
    <w:rsid w:val="00891CCC"/>
    <w:rsid w:val="00891E17"/>
    <w:rsid w:val="008931C7"/>
    <w:rsid w:val="00894641"/>
    <w:rsid w:val="008948EF"/>
    <w:rsid w:val="008954B2"/>
    <w:rsid w:val="00896EF6"/>
    <w:rsid w:val="00897733"/>
    <w:rsid w:val="008A1C95"/>
    <w:rsid w:val="008A2C30"/>
    <w:rsid w:val="008A4143"/>
    <w:rsid w:val="008A4B95"/>
    <w:rsid w:val="008A5795"/>
    <w:rsid w:val="008A7871"/>
    <w:rsid w:val="008B0A26"/>
    <w:rsid w:val="008B11BC"/>
    <w:rsid w:val="008B1FE5"/>
    <w:rsid w:val="008B2E69"/>
    <w:rsid w:val="008B3DF8"/>
    <w:rsid w:val="008B6278"/>
    <w:rsid w:val="008B66E7"/>
    <w:rsid w:val="008B7173"/>
    <w:rsid w:val="008B7708"/>
    <w:rsid w:val="008C00FD"/>
    <w:rsid w:val="008C075E"/>
    <w:rsid w:val="008C0A30"/>
    <w:rsid w:val="008C0D51"/>
    <w:rsid w:val="008C223A"/>
    <w:rsid w:val="008C3FD6"/>
    <w:rsid w:val="008C480A"/>
    <w:rsid w:val="008C4841"/>
    <w:rsid w:val="008C5D16"/>
    <w:rsid w:val="008C7A6B"/>
    <w:rsid w:val="008D2B71"/>
    <w:rsid w:val="008D4092"/>
    <w:rsid w:val="008D464C"/>
    <w:rsid w:val="008D4BA0"/>
    <w:rsid w:val="008E1201"/>
    <w:rsid w:val="008E2F5E"/>
    <w:rsid w:val="008E30D1"/>
    <w:rsid w:val="008E318F"/>
    <w:rsid w:val="008E3F8A"/>
    <w:rsid w:val="008E7012"/>
    <w:rsid w:val="008F0652"/>
    <w:rsid w:val="008F0AEC"/>
    <w:rsid w:val="008F17F7"/>
    <w:rsid w:val="008F33EC"/>
    <w:rsid w:val="008F3AF4"/>
    <w:rsid w:val="008F5FCE"/>
    <w:rsid w:val="008F675F"/>
    <w:rsid w:val="008F710B"/>
    <w:rsid w:val="008F7299"/>
    <w:rsid w:val="008F7E21"/>
    <w:rsid w:val="0090006F"/>
    <w:rsid w:val="0090041D"/>
    <w:rsid w:val="00900D32"/>
    <w:rsid w:val="00902103"/>
    <w:rsid w:val="00903B66"/>
    <w:rsid w:val="00905E1B"/>
    <w:rsid w:val="00906841"/>
    <w:rsid w:val="009105A4"/>
    <w:rsid w:val="00914117"/>
    <w:rsid w:val="0092048D"/>
    <w:rsid w:val="009208D7"/>
    <w:rsid w:val="00921100"/>
    <w:rsid w:val="00922B94"/>
    <w:rsid w:val="00925497"/>
    <w:rsid w:val="00925AF1"/>
    <w:rsid w:val="00927693"/>
    <w:rsid w:val="00930385"/>
    <w:rsid w:val="009309D6"/>
    <w:rsid w:val="00931C0D"/>
    <w:rsid w:val="009328A7"/>
    <w:rsid w:val="00934079"/>
    <w:rsid w:val="009366BA"/>
    <w:rsid w:val="00936AEE"/>
    <w:rsid w:val="00936B5D"/>
    <w:rsid w:val="009378CE"/>
    <w:rsid w:val="009400F0"/>
    <w:rsid w:val="00940265"/>
    <w:rsid w:val="009402AE"/>
    <w:rsid w:val="00940A43"/>
    <w:rsid w:val="009417D8"/>
    <w:rsid w:val="00943DF4"/>
    <w:rsid w:val="00945616"/>
    <w:rsid w:val="009457AB"/>
    <w:rsid w:val="00946072"/>
    <w:rsid w:val="00946CAB"/>
    <w:rsid w:val="00950A97"/>
    <w:rsid w:val="009512C3"/>
    <w:rsid w:val="00951CC9"/>
    <w:rsid w:val="00952123"/>
    <w:rsid w:val="009558F9"/>
    <w:rsid w:val="00955978"/>
    <w:rsid w:val="00957940"/>
    <w:rsid w:val="0096032A"/>
    <w:rsid w:val="00960FAB"/>
    <w:rsid w:val="00964729"/>
    <w:rsid w:val="00965008"/>
    <w:rsid w:val="00966005"/>
    <w:rsid w:val="0096713E"/>
    <w:rsid w:val="0097266A"/>
    <w:rsid w:val="009752E2"/>
    <w:rsid w:val="00977FCC"/>
    <w:rsid w:val="009814A4"/>
    <w:rsid w:val="009814EA"/>
    <w:rsid w:val="00982D5A"/>
    <w:rsid w:val="009830B4"/>
    <w:rsid w:val="00983A4F"/>
    <w:rsid w:val="00983CD0"/>
    <w:rsid w:val="0098554F"/>
    <w:rsid w:val="0098567C"/>
    <w:rsid w:val="00986EC4"/>
    <w:rsid w:val="0098707B"/>
    <w:rsid w:val="009874DC"/>
    <w:rsid w:val="00987FF1"/>
    <w:rsid w:val="00990975"/>
    <w:rsid w:val="00991CC7"/>
    <w:rsid w:val="00993068"/>
    <w:rsid w:val="009932B6"/>
    <w:rsid w:val="00993411"/>
    <w:rsid w:val="00993F8A"/>
    <w:rsid w:val="009975FC"/>
    <w:rsid w:val="00997840"/>
    <w:rsid w:val="009A2528"/>
    <w:rsid w:val="009A28A4"/>
    <w:rsid w:val="009A4CDE"/>
    <w:rsid w:val="009A54E6"/>
    <w:rsid w:val="009A6845"/>
    <w:rsid w:val="009B0052"/>
    <w:rsid w:val="009B061B"/>
    <w:rsid w:val="009B278B"/>
    <w:rsid w:val="009B430C"/>
    <w:rsid w:val="009B50BF"/>
    <w:rsid w:val="009B6904"/>
    <w:rsid w:val="009B6FBE"/>
    <w:rsid w:val="009B7C42"/>
    <w:rsid w:val="009C0685"/>
    <w:rsid w:val="009C2E79"/>
    <w:rsid w:val="009C54AE"/>
    <w:rsid w:val="009C5A35"/>
    <w:rsid w:val="009C681B"/>
    <w:rsid w:val="009C6E94"/>
    <w:rsid w:val="009D029A"/>
    <w:rsid w:val="009D11A3"/>
    <w:rsid w:val="009D1EC3"/>
    <w:rsid w:val="009D3D39"/>
    <w:rsid w:val="009D4136"/>
    <w:rsid w:val="009D5A76"/>
    <w:rsid w:val="009D6699"/>
    <w:rsid w:val="009E1399"/>
    <w:rsid w:val="009E29F3"/>
    <w:rsid w:val="009E426E"/>
    <w:rsid w:val="009E6F2B"/>
    <w:rsid w:val="009E77A4"/>
    <w:rsid w:val="009F1A17"/>
    <w:rsid w:val="009F3E5A"/>
    <w:rsid w:val="009F4E89"/>
    <w:rsid w:val="009F5242"/>
    <w:rsid w:val="009F5A60"/>
    <w:rsid w:val="009F70A4"/>
    <w:rsid w:val="009F744E"/>
    <w:rsid w:val="009F75D2"/>
    <w:rsid w:val="00A01D5B"/>
    <w:rsid w:val="00A03E86"/>
    <w:rsid w:val="00A05846"/>
    <w:rsid w:val="00A05FE8"/>
    <w:rsid w:val="00A0691B"/>
    <w:rsid w:val="00A0727C"/>
    <w:rsid w:val="00A078FB"/>
    <w:rsid w:val="00A11893"/>
    <w:rsid w:val="00A128C2"/>
    <w:rsid w:val="00A12EAF"/>
    <w:rsid w:val="00A15900"/>
    <w:rsid w:val="00A20C83"/>
    <w:rsid w:val="00A254A6"/>
    <w:rsid w:val="00A27547"/>
    <w:rsid w:val="00A30611"/>
    <w:rsid w:val="00A320C1"/>
    <w:rsid w:val="00A32E7D"/>
    <w:rsid w:val="00A332D9"/>
    <w:rsid w:val="00A35233"/>
    <w:rsid w:val="00A362BF"/>
    <w:rsid w:val="00A3653F"/>
    <w:rsid w:val="00A370F2"/>
    <w:rsid w:val="00A37354"/>
    <w:rsid w:val="00A37454"/>
    <w:rsid w:val="00A379B2"/>
    <w:rsid w:val="00A402B5"/>
    <w:rsid w:val="00A40E5F"/>
    <w:rsid w:val="00A42B9A"/>
    <w:rsid w:val="00A435F7"/>
    <w:rsid w:val="00A43F3D"/>
    <w:rsid w:val="00A44803"/>
    <w:rsid w:val="00A44832"/>
    <w:rsid w:val="00A45A17"/>
    <w:rsid w:val="00A46DAC"/>
    <w:rsid w:val="00A47B24"/>
    <w:rsid w:val="00A50939"/>
    <w:rsid w:val="00A519FE"/>
    <w:rsid w:val="00A52D3E"/>
    <w:rsid w:val="00A54536"/>
    <w:rsid w:val="00A54E35"/>
    <w:rsid w:val="00A551ED"/>
    <w:rsid w:val="00A55322"/>
    <w:rsid w:val="00A56269"/>
    <w:rsid w:val="00A56E63"/>
    <w:rsid w:val="00A6145E"/>
    <w:rsid w:val="00A61722"/>
    <w:rsid w:val="00A62D1E"/>
    <w:rsid w:val="00A64839"/>
    <w:rsid w:val="00A6507C"/>
    <w:rsid w:val="00A65735"/>
    <w:rsid w:val="00A65E4B"/>
    <w:rsid w:val="00A7364B"/>
    <w:rsid w:val="00A73EC5"/>
    <w:rsid w:val="00A743B7"/>
    <w:rsid w:val="00A7594F"/>
    <w:rsid w:val="00A75E43"/>
    <w:rsid w:val="00A76071"/>
    <w:rsid w:val="00A77005"/>
    <w:rsid w:val="00A808BC"/>
    <w:rsid w:val="00A818FF"/>
    <w:rsid w:val="00A81C54"/>
    <w:rsid w:val="00A8246E"/>
    <w:rsid w:val="00A826EF"/>
    <w:rsid w:val="00A84C8E"/>
    <w:rsid w:val="00A85684"/>
    <w:rsid w:val="00A85903"/>
    <w:rsid w:val="00A87534"/>
    <w:rsid w:val="00A90B21"/>
    <w:rsid w:val="00A926C2"/>
    <w:rsid w:val="00A94155"/>
    <w:rsid w:val="00A9642E"/>
    <w:rsid w:val="00AA026A"/>
    <w:rsid w:val="00AA0FBF"/>
    <w:rsid w:val="00AA183F"/>
    <w:rsid w:val="00AA1CED"/>
    <w:rsid w:val="00AA1E98"/>
    <w:rsid w:val="00AA2DAE"/>
    <w:rsid w:val="00AA5B69"/>
    <w:rsid w:val="00AA6BA3"/>
    <w:rsid w:val="00AA795A"/>
    <w:rsid w:val="00AB174D"/>
    <w:rsid w:val="00AB3489"/>
    <w:rsid w:val="00AB4245"/>
    <w:rsid w:val="00AB5525"/>
    <w:rsid w:val="00AB5584"/>
    <w:rsid w:val="00AB5D40"/>
    <w:rsid w:val="00AB66A7"/>
    <w:rsid w:val="00AC072A"/>
    <w:rsid w:val="00AC09B5"/>
    <w:rsid w:val="00AC2AF6"/>
    <w:rsid w:val="00AC40BA"/>
    <w:rsid w:val="00AC698F"/>
    <w:rsid w:val="00AC720E"/>
    <w:rsid w:val="00AC72BD"/>
    <w:rsid w:val="00AD00A7"/>
    <w:rsid w:val="00AD0EED"/>
    <w:rsid w:val="00AD15D6"/>
    <w:rsid w:val="00AD2E20"/>
    <w:rsid w:val="00AD3B96"/>
    <w:rsid w:val="00AD42CC"/>
    <w:rsid w:val="00AD45A4"/>
    <w:rsid w:val="00AD5A80"/>
    <w:rsid w:val="00AD6014"/>
    <w:rsid w:val="00AD772B"/>
    <w:rsid w:val="00AD7A70"/>
    <w:rsid w:val="00AE244E"/>
    <w:rsid w:val="00AE39AF"/>
    <w:rsid w:val="00AE4554"/>
    <w:rsid w:val="00AE527F"/>
    <w:rsid w:val="00AE6FB6"/>
    <w:rsid w:val="00AE7B9E"/>
    <w:rsid w:val="00AF181A"/>
    <w:rsid w:val="00AF202A"/>
    <w:rsid w:val="00AF272B"/>
    <w:rsid w:val="00AF30AF"/>
    <w:rsid w:val="00AF3F56"/>
    <w:rsid w:val="00AF5E36"/>
    <w:rsid w:val="00AF6064"/>
    <w:rsid w:val="00B002EF"/>
    <w:rsid w:val="00B0052E"/>
    <w:rsid w:val="00B01074"/>
    <w:rsid w:val="00B0177E"/>
    <w:rsid w:val="00B01D74"/>
    <w:rsid w:val="00B020D7"/>
    <w:rsid w:val="00B02D77"/>
    <w:rsid w:val="00B0316F"/>
    <w:rsid w:val="00B03DB8"/>
    <w:rsid w:val="00B048A2"/>
    <w:rsid w:val="00B06E97"/>
    <w:rsid w:val="00B1279A"/>
    <w:rsid w:val="00B16A39"/>
    <w:rsid w:val="00B20DB0"/>
    <w:rsid w:val="00B2113F"/>
    <w:rsid w:val="00B21844"/>
    <w:rsid w:val="00B221F3"/>
    <w:rsid w:val="00B22C0B"/>
    <w:rsid w:val="00B23903"/>
    <w:rsid w:val="00B23F13"/>
    <w:rsid w:val="00B2606B"/>
    <w:rsid w:val="00B270A1"/>
    <w:rsid w:val="00B27441"/>
    <w:rsid w:val="00B305F3"/>
    <w:rsid w:val="00B31D4C"/>
    <w:rsid w:val="00B3317B"/>
    <w:rsid w:val="00B369FA"/>
    <w:rsid w:val="00B3721F"/>
    <w:rsid w:val="00B40CA1"/>
    <w:rsid w:val="00B40E70"/>
    <w:rsid w:val="00B41C65"/>
    <w:rsid w:val="00B41DAA"/>
    <w:rsid w:val="00B426FC"/>
    <w:rsid w:val="00B42865"/>
    <w:rsid w:val="00B43A4F"/>
    <w:rsid w:val="00B43BAF"/>
    <w:rsid w:val="00B4623E"/>
    <w:rsid w:val="00B463AD"/>
    <w:rsid w:val="00B47492"/>
    <w:rsid w:val="00B475DC"/>
    <w:rsid w:val="00B47C10"/>
    <w:rsid w:val="00B51AEB"/>
    <w:rsid w:val="00B51CE7"/>
    <w:rsid w:val="00B5232B"/>
    <w:rsid w:val="00B524BB"/>
    <w:rsid w:val="00B52AEA"/>
    <w:rsid w:val="00B55078"/>
    <w:rsid w:val="00B564B7"/>
    <w:rsid w:val="00B56704"/>
    <w:rsid w:val="00B600A9"/>
    <w:rsid w:val="00B617AE"/>
    <w:rsid w:val="00B62BDC"/>
    <w:rsid w:val="00B62C8C"/>
    <w:rsid w:val="00B62D1F"/>
    <w:rsid w:val="00B637FF"/>
    <w:rsid w:val="00B64D1E"/>
    <w:rsid w:val="00B665F6"/>
    <w:rsid w:val="00B71187"/>
    <w:rsid w:val="00B719E1"/>
    <w:rsid w:val="00B722A7"/>
    <w:rsid w:val="00B7237C"/>
    <w:rsid w:val="00B72828"/>
    <w:rsid w:val="00B73B40"/>
    <w:rsid w:val="00B7664B"/>
    <w:rsid w:val="00B76CAE"/>
    <w:rsid w:val="00B773D5"/>
    <w:rsid w:val="00B7749D"/>
    <w:rsid w:val="00B7794F"/>
    <w:rsid w:val="00B80C2E"/>
    <w:rsid w:val="00B82C9A"/>
    <w:rsid w:val="00B83C5F"/>
    <w:rsid w:val="00B843E5"/>
    <w:rsid w:val="00B84554"/>
    <w:rsid w:val="00B84E88"/>
    <w:rsid w:val="00B865AB"/>
    <w:rsid w:val="00B86CEB"/>
    <w:rsid w:val="00B9026D"/>
    <w:rsid w:val="00B90941"/>
    <w:rsid w:val="00B920E7"/>
    <w:rsid w:val="00B92D80"/>
    <w:rsid w:val="00B94D26"/>
    <w:rsid w:val="00B953C6"/>
    <w:rsid w:val="00B95DFF"/>
    <w:rsid w:val="00B96275"/>
    <w:rsid w:val="00BA07F2"/>
    <w:rsid w:val="00BA0B5E"/>
    <w:rsid w:val="00BA1433"/>
    <w:rsid w:val="00BA261D"/>
    <w:rsid w:val="00BA2DCF"/>
    <w:rsid w:val="00BA7767"/>
    <w:rsid w:val="00BB0030"/>
    <w:rsid w:val="00BB1BAA"/>
    <w:rsid w:val="00BB2830"/>
    <w:rsid w:val="00BB3423"/>
    <w:rsid w:val="00BB3483"/>
    <w:rsid w:val="00BB5A47"/>
    <w:rsid w:val="00BB6751"/>
    <w:rsid w:val="00BB7DF4"/>
    <w:rsid w:val="00BC096E"/>
    <w:rsid w:val="00BC0A15"/>
    <w:rsid w:val="00BC15B2"/>
    <w:rsid w:val="00BC2114"/>
    <w:rsid w:val="00BC280C"/>
    <w:rsid w:val="00BC283D"/>
    <w:rsid w:val="00BC2D10"/>
    <w:rsid w:val="00BC435D"/>
    <w:rsid w:val="00BC43E4"/>
    <w:rsid w:val="00BC47B5"/>
    <w:rsid w:val="00BC5F2B"/>
    <w:rsid w:val="00BC6F44"/>
    <w:rsid w:val="00BC7DD4"/>
    <w:rsid w:val="00BD0448"/>
    <w:rsid w:val="00BD1CCE"/>
    <w:rsid w:val="00BD2849"/>
    <w:rsid w:val="00BD31FD"/>
    <w:rsid w:val="00BD3971"/>
    <w:rsid w:val="00BD51DF"/>
    <w:rsid w:val="00BD754A"/>
    <w:rsid w:val="00BD7656"/>
    <w:rsid w:val="00BE14AB"/>
    <w:rsid w:val="00BE2E75"/>
    <w:rsid w:val="00BE34F9"/>
    <w:rsid w:val="00BE3825"/>
    <w:rsid w:val="00BE60CF"/>
    <w:rsid w:val="00BF0D93"/>
    <w:rsid w:val="00BF1C45"/>
    <w:rsid w:val="00BF200D"/>
    <w:rsid w:val="00BF3C71"/>
    <w:rsid w:val="00BF49BB"/>
    <w:rsid w:val="00BF4E6E"/>
    <w:rsid w:val="00BF6446"/>
    <w:rsid w:val="00BF77F6"/>
    <w:rsid w:val="00BF7E56"/>
    <w:rsid w:val="00C02043"/>
    <w:rsid w:val="00C06AE3"/>
    <w:rsid w:val="00C07A4F"/>
    <w:rsid w:val="00C07E1D"/>
    <w:rsid w:val="00C10520"/>
    <w:rsid w:val="00C1312D"/>
    <w:rsid w:val="00C15485"/>
    <w:rsid w:val="00C16872"/>
    <w:rsid w:val="00C179A9"/>
    <w:rsid w:val="00C205C1"/>
    <w:rsid w:val="00C20A3B"/>
    <w:rsid w:val="00C2167B"/>
    <w:rsid w:val="00C220E0"/>
    <w:rsid w:val="00C22F2F"/>
    <w:rsid w:val="00C23FDA"/>
    <w:rsid w:val="00C26996"/>
    <w:rsid w:val="00C2722A"/>
    <w:rsid w:val="00C30096"/>
    <w:rsid w:val="00C32779"/>
    <w:rsid w:val="00C32AC9"/>
    <w:rsid w:val="00C3706D"/>
    <w:rsid w:val="00C42EEC"/>
    <w:rsid w:val="00C43AEC"/>
    <w:rsid w:val="00C4448B"/>
    <w:rsid w:val="00C44755"/>
    <w:rsid w:val="00C45910"/>
    <w:rsid w:val="00C533BD"/>
    <w:rsid w:val="00C5602E"/>
    <w:rsid w:val="00C574FA"/>
    <w:rsid w:val="00C61B60"/>
    <w:rsid w:val="00C64327"/>
    <w:rsid w:val="00C64A24"/>
    <w:rsid w:val="00C64C73"/>
    <w:rsid w:val="00C6761E"/>
    <w:rsid w:val="00C7062C"/>
    <w:rsid w:val="00C72E93"/>
    <w:rsid w:val="00C74337"/>
    <w:rsid w:val="00C77AF3"/>
    <w:rsid w:val="00C8071C"/>
    <w:rsid w:val="00C8214F"/>
    <w:rsid w:val="00C825C9"/>
    <w:rsid w:val="00C841E2"/>
    <w:rsid w:val="00C85EC0"/>
    <w:rsid w:val="00C86124"/>
    <w:rsid w:val="00C870E4"/>
    <w:rsid w:val="00C872EF"/>
    <w:rsid w:val="00C90DE1"/>
    <w:rsid w:val="00C91D1E"/>
    <w:rsid w:val="00C9238D"/>
    <w:rsid w:val="00C93082"/>
    <w:rsid w:val="00C94AA9"/>
    <w:rsid w:val="00C9511E"/>
    <w:rsid w:val="00C95193"/>
    <w:rsid w:val="00C952B8"/>
    <w:rsid w:val="00C95AA3"/>
    <w:rsid w:val="00C96666"/>
    <w:rsid w:val="00CA1DCE"/>
    <w:rsid w:val="00CA27FB"/>
    <w:rsid w:val="00CA385F"/>
    <w:rsid w:val="00CA4FA3"/>
    <w:rsid w:val="00CA5145"/>
    <w:rsid w:val="00CA5459"/>
    <w:rsid w:val="00CA698B"/>
    <w:rsid w:val="00CB0B4C"/>
    <w:rsid w:val="00CB15C7"/>
    <w:rsid w:val="00CB1D16"/>
    <w:rsid w:val="00CB477E"/>
    <w:rsid w:val="00CB5959"/>
    <w:rsid w:val="00CB599F"/>
    <w:rsid w:val="00CB6CB9"/>
    <w:rsid w:val="00CC00DF"/>
    <w:rsid w:val="00CC1707"/>
    <w:rsid w:val="00CC46D7"/>
    <w:rsid w:val="00CC543E"/>
    <w:rsid w:val="00CC681A"/>
    <w:rsid w:val="00CC6970"/>
    <w:rsid w:val="00CC6EE9"/>
    <w:rsid w:val="00CC789D"/>
    <w:rsid w:val="00CD2214"/>
    <w:rsid w:val="00CD2C02"/>
    <w:rsid w:val="00CD3778"/>
    <w:rsid w:val="00CD39B1"/>
    <w:rsid w:val="00CD4843"/>
    <w:rsid w:val="00CD5420"/>
    <w:rsid w:val="00CE0B16"/>
    <w:rsid w:val="00CE26E6"/>
    <w:rsid w:val="00CE28C4"/>
    <w:rsid w:val="00CE3206"/>
    <w:rsid w:val="00CE62E0"/>
    <w:rsid w:val="00CE71C2"/>
    <w:rsid w:val="00CE7303"/>
    <w:rsid w:val="00CE7CB8"/>
    <w:rsid w:val="00CF008A"/>
    <w:rsid w:val="00CF02FB"/>
    <w:rsid w:val="00CF5BE2"/>
    <w:rsid w:val="00CF5EB1"/>
    <w:rsid w:val="00CF620A"/>
    <w:rsid w:val="00CF7B8C"/>
    <w:rsid w:val="00D00747"/>
    <w:rsid w:val="00D00963"/>
    <w:rsid w:val="00D034F4"/>
    <w:rsid w:val="00D05DAA"/>
    <w:rsid w:val="00D06EB4"/>
    <w:rsid w:val="00D07880"/>
    <w:rsid w:val="00D11662"/>
    <w:rsid w:val="00D11DE1"/>
    <w:rsid w:val="00D11E74"/>
    <w:rsid w:val="00D14C52"/>
    <w:rsid w:val="00D160C1"/>
    <w:rsid w:val="00D168F3"/>
    <w:rsid w:val="00D17512"/>
    <w:rsid w:val="00D17FD6"/>
    <w:rsid w:val="00D20293"/>
    <w:rsid w:val="00D22BA3"/>
    <w:rsid w:val="00D22E26"/>
    <w:rsid w:val="00D23491"/>
    <w:rsid w:val="00D26773"/>
    <w:rsid w:val="00D27150"/>
    <w:rsid w:val="00D27C3E"/>
    <w:rsid w:val="00D3009A"/>
    <w:rsid w:val="00D300E9"/>
    <w:rsid w:val="00D3142C"/>
    <w:rsid w:val="00D31AC3"/>
    <w:rsid w:val="00D326E5"/>
    <w:rsid w:val="00D336BC"/>
    <w:rsid w:val="00D34670"/>
    <w:rsid w:val="00D358CC"/>
    <w:rsid w:val="00D35D66"/>
    <w:rsid w:val="00D36F81"/>
    <w:rsid w:val="00D4016B"/>
    <w:rsid w:val="00D429B1"/>
    <w:rsid w:val="00D44D6C"/>
    <w:rsid w:val="00D453E6"/>
    <w:rsid w:val="00D45592"/>
    <w:rsid w:val="00D45D14"/>
    <w:rsid w:val="00D45D3D"/>
    <w:rsid w:val="00D4790E"/>
    <w:rsid w:val="00D50009"/>
    <w:rsid w:val="00D50FFE"/>
    <w:rsid w:val="00D521DA"/>
    <w:rsid w:val="00D539BB"/>
    <w:rsid w:val="00D56850"/>
    <w:rsid w:val="00D57598"/>
    <w:rsid w:val="00D631FD"/>
    <w:rsid w:val="00D64938"/>
    <w:rsid w:val="00D64B13"/>
    <w:rsid w:val="00D667DA"/>
    <w:rsid w:val="00D66E0F"/>
    <w:rsid w:val="00D67C44"/>
    <w:rsid w:val="00D707D0"/>
    <w:rsid w:val="00D719CB"/>
    <w:rsid w:val="00D71AC1"/>
    <w:rsid w:val="00D7257A"/>
    <w:rsid w:val="00D75335"/>
    <w:rsid w:val="00D777C8"/>
    <w:rsid w:val="00D77E4A"/>
    <w:rsid w:val="00D77F90"/>
    <w:rsid w:val="00D80A45"/>
    <w:rsid w:val="00D80A69"/>
    <w:rsid w:val="00D80A97"/>
    <w:rsid w:val="00D815F2"/>
    <w:rsid w:val="00D820F6"/>
    <w:rsid w:val="00D82187"/>
    <w:rsid w:val="00D83FEC"/>
    <w:rsid w:val="00D848FD"/>
    <w:rsid w:val="00D9048F"/>
    <w:rsid w:val="00D905A7"/>
    <w:rsid w:val="00D906DA"/>
    <w:rsid w:val="00D90F73"/>
    <w:rsid w:val="00D910D1"/>
    <w:rsid w:val="00D91981"/>
    <w:rsid w:val="00D91B31"/>
    <w:rsid w:val="00D91F23"/>
    <w:rsid w:val="00D9227B"/>
    <w:rsid w:val="00D92933"/>
    <w:rsid w:val="00D97830"/>
    <w:rsid w:val="00D97C12"/>
    <w:rsid w:val="00DA129E"/>
    <w:rsid w:val="00DA27F5"/>
    <w:rsid w:val="00DA30B6"/>
    <w:rsid w:val="00DA4F52"/>
    <w:rsid w:val="00DA6C35"/>
    <w:rsid w:val="00DB15A2"/>
    <w:rsid w:val="00DB16FA"/>
    <w:rsid w:val="00DB2961"/>
    <w:rsid w:val="00DC1067"/>
    <w:rsid w:val="00DC1C73"/>
    <w:rsid w:val="00DC2D05"/>
    <w:rsid w:val="00DC3646"/>
    <w:rsid w:val="00DC5764"/>
    <w:rsid w:val="00DC6C86"/>
    <w:rsid w:val="00DD0971"/>
    <w:rsid w:val="00DD1442"/>
    <w:rsid w:val="00DD5ADE"/>
    <w:rsid w:val="00DD69B2"/>
    <w:rsid w:val="00DD7431"/>
    <w:rsid w:val="00DE1179"/>
    <w:rsid w:val="00DE4CE1"/>
    <w:rsid w:val="00DE5067"/>
    <w:rsid w:val="00DE7CCA"/>
    <w:rsid w:val="00DE7D5C"/>
    <w:rsid w:val="00DF0451"/>
    <w:rsid w:val="00DF1ECB"/>
    <w:rsid w:val="00DF2809"/>
    <w:rsid w:val="00DF2DB3"/>
    <w:rsid w:val="00DF3728"/>
    <w:rsid w:val="00DF4CF9"/>
    <w:rsid w:val="00DF4F43"/>
    <w:rsid w:val="00DF509E"/>
    <w:rsid w:val="00DF547F"/>
    <w:rsid w:val="00DF62EB"/>
    <w:rsid w:val="00DF6728"/>
    <w:rsid w:val="00DF7795"/>
    <w:rsid w:val="00E00563"/>
    <w:rsid w:val="00E0342A"/>
    <w:rsid w:val="00E0492A"/>
    <w:rsid w:val="00E04A25"/>
    <w:rsid w:val="00E05589"/>
    <w:rsid w:val="00E05D29"/>
    <w:rsid w:val="00E06B77"/>
    <w:rsid w:val="00E07073"/>
    <w:rsid w:val="00E074F0"/>
    <w:rsid w:val="00E105D9"/>
    <w:rsid w:val="00E10B62"/>
    <w:rsid w:val="00E1271E"/>
    <w:rsid w:val="00E14E68"/>
    <w:rsid w:val="00E17728"/>
    <w:rsid w:val="00E17921"/>
    <w:rsid w:val="00E2047B"/>
    <w:rsid w:val="00E20DE7"/>
    <w:rsid w:val="00E223C3"/>
    <w:rsid w:val="00E2262B"/>
    <w:rsid w:val="00E22C98"/>
    <w:rsid w:val="00E22E26"/>
    <w:rsid w:val="00E32831"/>
    <w:rsid w:val="00E32F46"/>
    <w:rsid w:val="00E33D72"/>
    <w:rsid w:val="00E35D81"/>
    <w:rsid w:val="00E35E3A"/>
    <w:rsid w:val="00E4067D"/>
    <w:rsid w:val="00E41555"/>
    <w:rsid w:val="00E41B2F"/>
    <w:rsid w:val="00E43128"/>
    <w:rsid w:val="00E43705"/>
    <w:rsid w:val="00E444B7"/>
    <w:rsid w:val="00E44822"/>
    <w:rsid w:val="00E45696"/>
    <w:rsid w:val="00E4580C"/>
    <w:rsid w:val="00E46EBC"/>
    <w:rsid w:val="00E472FB"/>
    <w:rsid w:val="00E47300"/>
    <w:rsid w:val="00E50C4C"/>
    <w:rsid w:val="00E53104"/>
    <w:rsid w:val="00E5368D"/>
    <w:rsid w:val="00E54E8A"/>
    <w:rsid w:val="00E565C4"/>
    <w:rsid w:val="00E56DA7"/>
    <w:rsid w:val="00E64CCD"/>
    <w:rsid w:val="00E7342A"/>
    <w:rsid w:val="00E7430A"/>
    <w:rsid w:val="00E7614F"/>
    <w:rsid w:val="00E77243"/>
    <w:rsid w:val="00E8082B"/>
    <w:rsid w:val="00E81583"/>
    <w:rsid w:val="00E8196E"/>
    <w:rsid w:val="00E83E9B"/>
    <w:rsid w:val="00E85FF5"/>
    <w:rsid w:val="00E8794C"/>
    <w:rsid w:val="00E87DA5"/>
    <w:rsid w:val="00E90D16"/>
    <w:rsid w:val="00E93EC9"/>
    <w:rsid w:val="00E947F7"/>
    <w:rsid w:val="00E95149"/>
    <w:rsid w:val="00E959F6"/>
    <w:rsid w:val="00E967A9"/>
    <w:rsid w:val="00E974A3"/>
    <w:rsid w:val="00EA039E"/>
    <w:rsid w:val="00EA14CD"/>
    <w:rsid w:val="00EA169A"/>
    <w:rsid w:val="00EA2C9D"/>
    <w:rsid w:val="00EA5112"/>
    <w:rsid w:val="00EA5D48"/>
    <w:rsid w:val="00EA6A72"/>
    <w:rsid w:val="00EB075B"/>
    <w:rsid w:val="00EB0E5B"/>
    <w:rsid w:val="00EB109F"/>
    <w:rsid w:val="00EB233A"/>
    <w:rsid w:val="00EB301D"/>
    <w:rsid w:val="00EB3545"/>
    <w:rsid w:val="00EB5AA2"/>
    <w:rsid w:val="00EC13C6"/>
    <w:rsid w:val="00EC1655"/>
    <w:rsid w:val="00EC21A7"/>
    <w:rsid w:val="00EC65AE"/>
    <w:rsid w:val="00EC74BC"/>
    <w:rsid w:val="00EC74E4"/>
    <w:rsid w:val="00EC799C"/>
    <w:rsid w:val="00EC7B99"/>
    <w:rsid w:val="00ED1CA8"/>
    <w:rsid w:val="00ED2E2B"/>
    <w:rsid w:val="00ED41CA"/>
    <w:rsid w:val="00ED7D09"/>
    <w:rsid w:val="00EE08A6"/>
    <w:rsid w:val="00EE1159"/>
    <w:rsid w:val="00EE25CD"/>
    <w:rsid w:val="00EE5B7D"/>
    <w:rsid w:val="00EE70A5"/>
    <w:rsid w:val="00EE7684"/>
    <w:rsid w:val="00EF0A0A"/>
    <w:rsid w:val="00EF26B9"/>
    <w:rsid w:val="00EF3FC6"/>
    <w:rsid w:val="00EF51BD"/>
    <w:rsid w:val="00EF74B4"/>
    <w:rsid w:val="00F00AAC"/>
    <w:rsid w:val="00F029EC"/>
    <w:rsid w:val="00F03874"/>
    <w:rsid w:val="00F03D70"/>
    <w:rsid w:val="00F05FF7"/>
    <w:rsid w:val="00F06142"/>
    <w:rsid w:val="00F067A6"/>
    <w:rsid w:val="00F11593"/>
    <w:rsid w:val="00F12DD7"/>
    <w:rsid w:val="00F12E9F"/>
    <w:rsid w:val="00F131CD"/>
    <w:rsid w:val="00F14E0B"/>
    <w:rsid w:val="00F15514"/>
    <w:rsid w:val="00F17A8C"/>
    <w:rsid w:val="00F17DAA"/>
    <w:rsid w:val="00F17F98"/>
    <w:rsid w:val="00F217CE"/>
    <w:rsid w:val="00F22003"/>
    <w:rsid w:val="00F232C7"/>
    <w:rsid w:val="00F24569"/>
    <w:rsid w:val="00F26419"/>
    <w:rsid w:val="00F26A58"/>
    <w:rsid w:val="00F26DF4"/>
    <w:rsid w:val="00F275E2"/>
    <w:rsid w:val="00F2796B"/>
    <w:rsid w:val="00F27E20"/>
    <w:rsid w:val="00F3310A"/>
    <w:rsid w:val="00F35827"/>
    <w:rsid w:val="00F37512"/>
    <w:rsid w:val="00F40D0F"/>
    <w:rsid w:val="00F44F22"/>
    <w:rsid w:val="00F465A1"/>
    <w:rsid w:val="00F50446"/>
    <w:rsid w:val="00F51715"/>
    <w:rsid w:val="00F5185B"/>
    <w:rsid w:val="00F5193A"/>
    <w:rsid w:val="00F52D6D"/>
    <w:rsid w:val="00F531AA"/>
    <w:rsid w:val="00F54FD2"/>
    <w:rsid w:val="00F55840"/>
    <w:rsid w:val="00F57E9D"/>
    <w:rsid w:val="00F6011F"/>
    <w:rsid w:val="00F61921"/>
    <w:rsid w:val="00F6240A"/>
    <w:rsid w:val="00F637D3"/>
    <w:rsid w:val="00F6485E"/>
    <w:rsid w:val="00F649EB"/>
    <w:rsid w:val="00F71FCE"/>
    <w:rsid w:val="00F728BB"/>
    <w:rsid w:val="00F73414"/>
    <w:rsid w:val="00F73D03"/>
    <w:rsid w:val="00F74730"/>
    <w:rsid w:val="00F74B90"/>
    <w:rsid w:val="00F75E0D"/>
    <w:rsid w:val="00F763C7"/>
    <w:rsid w:val="00F76A91"/>
    <w:rsid w:val="00F77B84"/>
    <w:rsid w:val="00F8043D"/>
    <w:rsid w:val="00F83A1F"/>
    <w:rsid w:val="00F84496"/>
    <w:rsid w:val="00F85721"/>
    <w:rsid w:val="00F8696F"/>
    <w:rsid w:val="00F86F79"/>
    <w:rsid w:val="00F91BF3"/>
    <w:rsid w:val="00F93367"/>
    <w:rsid w:val="00F933DE"/>
    <w:rsid w:val="00F938DE"/>
    <w:rsid w:val="00F93AA7"/>
    <w:rsid w:val="00F944E9"/>
    <w:rsid w:val="00F94517"/>
    <w:rsid w:val="00F949E5"/>
    <w:rsid w:val="00F957B7"/>
    <w:rsid w:val="00F96A2A"/>
    <w:rsid w:val="00FA0665"/>
    <w:rsid w:val="00FA0987"/>
    <w:rsid w:val="00FA0C15"/>
    <w:rsid w:val="00FA25D9"/>
    <w:rsid w:val="00FA2E07"/>
    <w:rsid w:val="00FA6637"/>
    <w:rsid w:val="00FA665A"/>
    <w:rsid w:val="00FA7D0B"/>
    <w:rsid w:val="00FB2A98"/>
    <w:rsid w:val="00FB35D8"/>
    <w:rsid w:val="00FB488F"/>
    <w:rsid w:val="00FB743E"/>
    <w:rsid w:val="00FB749A"/>
    <w:rsid w:val="00FC02E2"/>
    <w:rsid w:val="00FC0491"/>
    <w:rsid w:val="00FC0503"/>
    <w:rsid w:val="00FC059D"/>
    <w:rsid w:val="00FC30BB"/>
    <w:rsid w:val="00FC30D4"/>
    <w:rsid w:val="00FC34DA"/>
    <w:rsid w:val="00FC3E69"/>
    <w:rsid w:val="00FC5435"/>
    <w:rsid w:val="00FC54BD"/>
    <w:rsid w:val="00FC57D8"/>
    <w:rsid w:val="00FC5B6B"/>
    <w:rsid w:val="00FC7553"/>
    <w:rsid w:val="00FC7595"/>
    <w:rsid w:val="00FD21C8"/>
    <w:rsid w:val="00FD347D"/>
    <w:rsid w:val="00FD3699"/>
    <w:rsid w:val="00FD3B74"/>
    <w:rsid w:val="00FD3BE2"/>
    <w:rsid w:val="00FD4223"/>
    <w:rsid w:val="00FD616B"/>
    <w:rsid w:val="00FD7DD4"/>
    <w:rsid w:val="00FE19FF"/>
    <w:rsid w:val="00FE20E9"/>
    <w:rsid w:val="00FE2735"/>
    <w:rsid w:val="00FE2A8A"/>
    <w:rsid w:val="00FE336F"/>
    <w:rsid w:val="00FE597A"/>
    <w:rsid w:val="00FF0014"/>
    <w:rsid w:val="00FF00BE"/>
    <w:rsid w:val="00FF10A2"/>
    <w:rsid w:val="00FF1632"/>
    <w:rsid w:val="00FF2C3E"/>
    <w:rsid w:val="00FF3946"/>
    <w:rsid w:val="00FF3EA5"/>
    <w:rsid w:val="00FF4FAA"/>
    <w:rsid w:val="00FF5FAB"/>
    <w:rsid w:val="00FF71F0"/>
    <w:rsid w:val="00FF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F6FB82"/>
  <w15:docId w15:val="{4DFB8C96-5ECB-4404-811E-A5E7D554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71E"/>
    <w:pPr>
      <w:tabs>
        <w:tab w:val="left" w:pos="284"/>
      </w:tabs>
      <w:spacing w:after="120" w:line="240" w:lineRule="auto"/>
      <w:jc w:val="both"/>
    </w:pPr>
    <w:rPr>
      <w:rFonts w:ascii="Times New Roman" w:hAnsi="Times New Roman"/>
      <w:sz w:val="20"/>
    </w:rPr>
  </w:style>
  <w:style w:type="paragraph" w:styleId="Heading1">
    <w:name w:val="heading 1"/>
    <w:basedOn w:val="Normal"/>
    <w:next w:val="Normal"/>
    <w:link w:val="Heading1Char"/>
    <w:autoRedefine/>
    <w:uiPriority w:val="9"/>
    <w:qFormat/>
    <w:rsid w:val="005F044A"/>
    <w:pPr>
      <w:keepNext/>
      <w:keepLines/>
      <w:numPr>
        <w:numId w:val="5"/>
      </w:numPr>
      <w:spacing w:before="240" w:after="240"/>
      <w:ind w:left="284" w:hanging="284"/>
      <w:outlineLvl w:val="0"/>
    </w:pPr>
    <w:rPr>
      <w:rFonts w:eastAsia="Calibri" w:cs="Times New Roman"/>
      <w:b/>
      <w:bCs/>
      <w:szCs w:val="24"/>
    </w:rPr>
  </w:style>
  <w:style w:type="paragraph" w:styleId="Heading2">
    <w:name w:val="heading 2"/>
    <w:basedOn w:val="Normal"/>
    <w:next w:val="Normal"/>
    <w:link w:val="Heading2Char"/>
    <w:uiPriority w:val="9"/>
    <w:unhideWhenUsed/>
    <w:qFormat/>
    <w:rsid w:val="00AB5D4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666"/>
    <w:pPr>
      <w:ind w:left="1440"/>
      <w:contextualSpacing/>
    </w:pPr>
  </w:style>
  <w:style w:type="paragraph" w:styleId="TOC1">
    <w:name w:val="toc 1"/>
    <w:basedOn w:val="Normal"/>
    <w:next w:val="Normal"/>
    <w:autoRedefine/>
    <w:uiPriority w:val="39"/>
    <w:unhideWhenUsed/>
    <w:qFormat/>
    <w:rsid w:val="00E1271E"/>
    <w:pPr>
      <w:tabs>
        <w:tab w:val="left" w:pos="440"/>
        <w:tab w:val="right" w:leader="dot" w:pos="7797"/>
      </w:tabs>
      <w:spacing w:before="120"/>
      <w:jc w:val="left"/>
    </w:pPr>
    <w:rPr>
      <w:bCs/>
      <w:szCs w:val="20"/>
    </w:rPr>
  </w:style>
  <w:style w:type="character" w:styleId="Hyperlink">
    <w:name w:val="Hyperlink"/>
    <w:basedOn w:val="DefaultParagraphFont"/>
    <w:uiPriority w:val="99"/>
    <w:unhideWhenUsed/>
    <w:rsid w:val="004079BD"/>
    <w:rPr>
      <w:color w:val="0000FF" w:themeColor="hyperlink"/>
      <w:u w:val="single"/>
    </w:rPr>
  </w:style>
  <w:style w:type="paragraph" w:styleId="TOC2">
    <w:name w:val="toc 2"/>
    <w:basedOn w:val="Normal"/>
    <w:next w:val="Normal"/>
    <w:autoRedefine/>
    <w:uiPriority w:val="39"/>
    <w:unhideWhenUsed/>
    <w:qFormat/>
    <w:rsid w:val="00274525"/>
    <w:pPr>
      <w:ind w:left="220"/>
      <w:jc w:val="left"/>
    </w:pPr>
    <w:rPr>
      <w:rFonts w:asciiTheme="minorHAnsi" w:hAnsiTheme="minorHAnsi"/>
      <w:smallCaps/>
      <w:szCs w:val="20"/>
    </w:rPr>
  </w:style>
  <w:style w:type="paragraph" w:styleId="BalloonText">
    <w:name w:val="Balloon Text"/>
    <w:basedOn w:val="Normal"/>
    <w:link w:val="BalloonTextChar"/>
    <w:uiPriority w:val="99"/>
    <w:semiHidden/>
    <w:unhideWhenUsed/>
    <w:rsid w:val="004079BD"/>
    <w:rPr>
      <w:rFonts w:ascii="Tahoma" w:hAnsi="Tahoma" w:cs="Tahoma"/>
      <w:sz w:val="16"/>
      <w:szCs w:val="16"/>
    </w:rPr>
  </w:style>
  <w:style w:type="character" w:customStyle="1" w:styleId="BalloonTextChar">
    <w:name w:val="Balloon Text Char"/>
    <w:basedOn w:val="DefaultParagraphFont"/>
    <w:link w:val="BalloonText"/>
    <w:uiPriority w:val="99"/>
    <w:semiHidden/>
    <w:rsid w:val="004079BD"/>
    <w:rPr>
      <w:rFonts w:ascii="Tahoma" w:hAnsi="Tahoma" w:cs="Tahoma"/>
      <w:sz w:val="16"/>
      <w:szCs w:val="16"/>
    </w:rPr>
  </w:style>
  <w:style w:type="character" w:customStyle="1" w:styleId="Heading2Char">
    <w:name w:val="Heading 2 Char"/>
    <w:basedOn w:val="DefaultParagraphFont"/>
    <w:link w:val="Heading2"/>
    <w:uiPriority w:val="9"/>
    <w:rsid w:val="00AB5D40"/>
    <w:rPr>
      <w:rFonts w:asciiTheme="majorHAnsi" w:eastAsiaTheme="majorEastAsia" w:hAnsiTheme="majorHAnsi" w:cstheme="majorBidi"/>
      <w:b/>
      <w:bCs/>
      <w:color w:val="4F81BD" w:themeColor="accent1"/>
      <w:sz w:val="26"/>
      <w:szCs w:val="26"/>
    </w:rPr>
  </w:style>
  <w:style w:type="paragraph" w:customStyle="1" w:styleId="Default">
    <w:name w:val="Default"/>
    <w:rsid w:val="004F201D"/>
    <w:pPr>
      <w:autoSpaceDE w:val="0"/>
      <w:autoSpaceDN w:val="0"/>
      <w:adjustRightInd w:val="0"/>
      <w:spacing w:after="0" w:line="240" w:lineRule="auto"/>
    </w:pPr>
    <w:rPr>
      <w:rFonts w:ascii="Calibri" w:hAnsi="Calibri" w:cs="Calibri"/>
      <w:color w:val="000000"/>
      <w:sz w:val="24"/>
      <w:szCs w:val="24"/>
      <w:lang w:val="en-GB"/>
    </w:rPr>
  </w:style>
  <w:style w:type="character" w:styleId="FootnoteReference">
    <w:name w:val="footnote reference"/>
    <w:basedOn w:val="DefaultParagraphFont"/>
    <w:uiPriority w:val="99"/>
    <w:semiHidden/>
    <w:unhideWhenUsed/>
    <w:rsid w:val="00BC2114"/>
    <w:rPr>
      <w:spacing w:val="-5"/>
      <w:position w:val="-4"/>
      <w:vertAlign w:val="superscript"/>
    </w:rPr>
  </w:style>
  <w:style w:type="character" w:customStyle="1" w:styleId="st1">
    <w:name w:val="st1"/>
    <w:basedOn w:val="DefaultParagraphFont"/>
    <w:rsid w:val="00F51715"/>
  </w:style>
  <w:style w:type="character" w:customStyle="1" w:styleId="Heading1Char">
    <w:name w:val="Heading 1 Char"/>
    <w:basedOn w:val="DefaultParagraphFont"/>
    <w:link w:val="Heading1"/>
    <w:uiPriority w:val="9"/>
    <w:rsid w:val="005F044A"/>
    <w:rPr>
      <w:rFonts w:ascii="Times New Roman" w:eastAsia="Calibri" w:hAnsi="Times New Roman" w:cs="Times New Roman"/>
      <w:b/>
      <w:bCs/>
      <w:sz w:val="20"/>
      <w:szCs w:val="24"/>
    </w:rPr>
  </w:style>
  <w:style w:type="paragraph" w:styleId="TOCHeading">
    <w:name w:val="TOC Heading"/>
    <w:basedOn w:val="Heading1"/>
    <w:next w:val="Normal"/>
    <w:uiPriority w:val="39"/>
    <w:unhideWhenUsed/>
    <w:qFormat/>
    <w:rsid w:val="00452826"/>
    <w:pPr>
      <w:outlineLvl w:val="9"/>
    </w:pPr>
    <w:rPr>
      <w:lang w:eastAsia="ja-JP"/>
    </w:rPr>
  </w:style>
  <w:style w:type="paragraph" w:styleId="TOC3">
    <w:name w:val="toc 3"/>
    <w:basedOn w:val="Normal"/>
    <w:next w:val="Normal"/>
    <w:autoRedefine/>
    <w:uiPriority w:val="39"/>
    <w:unhideWhenUsed/>
    <w:qFormat/>
    <w:rsid w:val="00452826"/>
    <w:pPr>
      <w:ind w:left="440"/>
      <w:jc w:val="left"/>
    </w:pPr>
    <w:rPr>
      <w:rFonts w:asciiTheme="minorHAnsi" w:hAnsiTheme="minorHAnsi"/>
      <w:i/>
      <w:iCs/>
      <w:szCs w:val="20"/>
    </w:rPr>
  </w:style>
  <w:style w:type="paragraph" w:styleId="FootnoteText">
    <w:name w:val="footnote text"/>
    <w:basedOn w:val="Normal"/>
    <w:link w:val="FootnoteTextChar"/>
    <w:uiPriority w:val="99"/>
    <w:semiHidden/>
    <w:unhideWhenUsed/>
    <w:rsid w:val="006E3701"/>
    <w:rPr>
      <w:szCs w:val="20"/>
    </w:rPr>
  </w:style>
  <w:style w:type="character" w:customStyle="1" w:styleId="FootnoteTextChar">
    <w:name w:val="Footnote Text Char"/>
    <w:basedOn w:val="DefaultParagraphFont"/>
    <w:link w:val="FootnoteText"/>
    <w:uiPriority w:val="99"/>
    <w:semiHidden/>
    <w:rsid w:val="006E3701"/>
    <w:rPr>
      <w:sz w:val="20"/>
      <w:szCs w:val="20"/>
    </w:rPr>
  </w:style>
  <w:style w:type="paragraph" w:styleId="Header">
    <w:name w:val="header"/>
    <w:basedOn w:val="Normal"/>
    <w:link w:val="HeaderChar"/>
    <w:uiPriority w:val="99"/>
    <w:unhideWhenUsed/>
    <w:rsid w:val="000850DE"/>
    <w:pPr>
      <w:tabs>
        <w:tab w:val="center" w:pos="4513"/>
        <w:tab w:val="right" w:pos="9026"/>
      </w:tabs>
    </w:pPr>
  </w:style>
  <w:style w:type="character" w:customStyle="1" w:styleId="HeaderChar">
    <w:name w:val="Header Char"/>
    <w:basedOn w:val="DefaultParagraphFont"/>
    <w:link w:val="Header"/>
    <w:uiPriority w:val="99"/>
    <w:rsid w:val="000850DE"/>
  </w:style>
  <w:style w:type="paragraph" w:styleId="Footer">
    <w:name w:val="footer"/>
    <w:basedOn w:val="Normal"/>
    <w:link w:val="FooterChar"/>
    <w:uiPriority w:val="99"/>
    <w:unhideWhenUsed/>
    <w:rsid w:val="000850DE"/>
    <w:pPr>
      <w:tabs>
        <w:tab w:val="center" w:pos="4513"/>
        <w:tab w:val="right" w:pos="9026"/>
      </w:tabs>
    </w:pPr>
  </w:style>
  <w:style w:type="character" w:customStyle="1" w:styleId="FooterChar">
    <w:name w:val="Footer Char"/>
    <w:basedOn w:val="DefaultParagraphFont"/>
    <w:link w:val="Footer"/>
    <w:uiPriority w:val="99"/>
    <w:rsid w:val="000850DE"/>
  </w:style>
  <w:style w:type="character" w:styleId="CommentReference">
    <w:name w:val="annotation reference"/>
    <w:basedOn w:val="DefaultParagraphFont"/>
    <w:uiPriority w:val="99"/>
    <w:semiHidden/>
    <w:unhideWhenUsed/>
    <w:rsid w:val="00E35E3A"/>
    <w:rPr>
      <w:sz w:val="16"/>
      <w:szCs w:val="16"/>
    </w:rPr>
  </w:style>
  <w:style w:type="paragraph" w:styleId="CommentText">
    <w:name w:val="annotation text"/>
    <w:basedOn w:val="Normal"/>
    <w:link w:val="CommentTextChar"/>
    <w:uiPriority w:val="99"/>
    <w:semiHidden/>
    <w:unhideWhenUsed/>
    <w:rsid w:val="00E35E3A"/>
    <w:rPr>
      <w:szCs w:val="20"/>
    </w:rPr>
  </w:style>
  <w:style w:type="character" w:customStyle="1" w:styleId="CommentTextChar">
    <w:name w:val="Comment Text Char"/>
    <w:basedOn w:val="DefaultParagraphFont"/>
    <w:link w:val="CommentText"/>
    <w:uiPriority w:val="99"/>
    <w:semiHidden/>
    <w:rsid w:val="00E35E3A"/>
    <w:rPr>
      <w:sz w:val="20"/>
      <w:szCs w:val="20"/>
    </w:rPr>
  </w:style>
  <w:style w:type="paragraph" w:styleId="CommentSubject">
    <w:name w:val="annotation subject"/>
    <w:basedOn w:val="CommentText"/>
    <w:next w:val="CommentText"/>
    <w:link w:val="CommentSubjectChar"/>
    <w:uiPriority w:val="99"/>
    <w:semiHidden/>
    <w:unhideWhenUsed/>
    <w:rsid w:val="00E35E3A"/>
    <w:rPr>
      <w:b/>
      <w:bCs/>
    </w:rPr>
  </w:style>
  <w:style w:type="character" w:customStyle="1" w:styleId="CommentSubjectChar">
    <w:name w:val="Comment Subject Char"/>
    <w:basedOn w:val="CommentTextChar"/>
    <w:link w:val="CommentSubject"/>
    <w:uiPriority w:val="99"/>
    <w:semiHidden/>
    <w:rsid w:val="00E35E3A"/>
    <w:rPr>
      <w:b/>
      <w:bCs/>
      <w:sz w:val="20"/>
      <w:szCs w:val="20"/>
    </w:rPr>
  </w:style>
  <w:style w:type="paragraph" w:styleId="NoSpacing">
    <w:name w:val="No Spacing"/>
    <w:uiPriority w:val="1"/>
    <w:qFormat/>
    <w:rsid w:val="00E95149"/>
    <w:pPr>
      <w:spacing w:after="0" w:line="240" w:lineRule="auto"/>
    </w:pPr>
  </w:style>
  <w:style w:type="character" w:styleId="BookTitle">
    <w:name w:val="Book Title"/>
    <w:basedOn w:val="DefaultParagraphFont"/>
    <w:uiPriority w:val="33"/>
    <w:qFormat/>
    <w:rsid w:val="00DC5764"/>
    <w:rPr>
      <w:b/>
      <w:bCs/>
      <w:i/>
      <w:iCs/>
      <w:spacing w:val="5"/>
    </w:rPr>
  </w:style>
  <w:style w:type="paragraph" w:styleId="TOC4">
    <w:name w:val="toc 4"/>
    <w:basedOn w:val="Normal"/>
    <w:next w:val="Normal"/>
    <w:autoRedefine/>
    <w:uiPriority w:val="39"/>
    <w:unhideWhenUsed/>
    <w:rsid w:val="002604D8"/>
    <w:pPr>
      <w:ind w:left="660"/>
      <w:jc w:val="left"/>
    </w:pPr>
    <w:rPr>
      <w:rFonts w:asciiTheme="minorHAnsi" w:hAnsiTheme="minorHAnsi"/>
      <w:sz w:val="18"/>
      <w:szCs w:val="18"/>
    </w:rPr>
  </w:style>
  <w:style w:type="paragraph" w:styleId="TOC5">
    <w:name w:val="toc 5"/>
    <w:basedOn w:val="Normal"/>
    <w:next w:val="Normal"/>
    <w:autoRedefine/>
    <w:uiPriority w:val="39"/>
    <w:unhideWhenUsed/>
    <w:rsid w:val="002604D8"/>
    <w:pPr>
      <w:ind w:left="880"/>
      <w:jc w:val="left"/>
    </w:pPr>
    <w:rPr>
      <w:rFonts w:asciiTheme="minorHAnsi" w:hAnsiTheme="minorHAnsi"/>
      <w:sz w:val="18"/>
      <w:szCs w:val="18"/>
    </w:rPr>
  </w:style>
  <w:style w:type="paragraph" w:styleId="TOC6">
    <w:name w:val="toc 6"/>
    <w:basedOn w:val="Normal"/>
    <w:next w:val="Normal"/>
    <w:autoRedefine/>
    <w:uiPriority w:val="39"/>
    <w:unhideWhenUsed/>
    <w:rsid w:val="002604D8"/>
    <w:pPr>
      <w:ind w:left="1100"/>
      <w:jc w:val="left"/>
    </w:pPr>
    <w:rPr>
      <w:rFonts w:asciiTheme="minorHAnsi" w:hAnsiTheme="minorHAnsi"/>
      <w:sz w:val="18"/>
      <w:szCs w:val="18"/>
    </w:rPr>
  </w:style>
  <w:style w:type="paragraph" w:styleId="TOC7">
    <w:name w:val="toc 7"/>
    <w:basedOn w:val="Normal"/>
    <w:next w:val="Normal"/>
    <w:autoRedefine/>
    <w:uiPriority w:val="39"/>
    <w:unhideWhenUsed/>
    <w:rsid w:val="002604D8"/>
    <w:pPr>
      <w:ind w:left="1320"/>
      <w:jc w:val="left"/>
    </w:pPr>
    <w:rPr>
      <w:rFonts w:asciiTheme="minorHAnsi" w:hAnsiTheme="minorHAnsi"/>
      <w:sz w:val="18"/>
      <w:szCs w:val="18"/>
    </w:rPr>
  </w:style>
  <w:style w:type="paragraph" w:styleId="TOC8">
    <w:name w:val="toc 8"/>
    <w:basedOn w:val="Normal"/>
    <w:next w:val="Normal"/>
    <w:autoRedefine/>
    <w:uiPriority w:val="39"/>
    <w:unhideWhenUsed/>
    <w:rsid w:val="002604D8"/>
    <w:pPr>
      <w:ind w:left="1540"/>
      <w:jc w:val="left"/>
    </w:pPr>
    <w:rPr>
      <w:rFonts w:asciiTheme="minorHAnsi" w:hAnsiTheme="minorHAnsi"/>
      <w:sz w:val="18"/>
      <w:szCs w:val="18"/>
    </w:rPr>
  </w:style>
  <w:style w:type="paragraph" w:styleId="TOC9">
    <w:name w:val="toc 9"/>
    <w:basedOn w:val="Normal"/>
    <w:next w:val="Normal"/>
    <w:autoRedefine/>
    <w:uiPriority w:val="39"/>
    <w:unhideWhenUsed/>
    <w:rsid w:val="002604D8"/>
    <w:pPr>
      <w:ind w:left="1760"/>
      <w:jc w:val="left"/>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76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tent.unops.org/publications/Policies/EOI.ED.2019.01-Audit-Advisory-Committee_EN.pdf" TargetMode="External"/><Relationship Id="rId18" Type="http://schemas.openxmlformats.org/officeDocument/2006/relationships/hyperlink" Target="https://www.unops.org/about/governance/executive-board/executive-board-documents?documentType=documents-for-sessions&amp;year=2019"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content.unops.org/documents/libraries/executive-board/documents-for-sessions/2020/first-regular-session/item-2-recommendations-of-the-board-of-auditors/en/A-74-5-Add.11_EN.pdf?mtime=20200108165944"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unops.org/about/governance/executive-board/executive-board-documents?documentType=documents-for-sessions&amp;year=2019" TargetMode="External"/><Relationship Id="rId25" Type="http://schemas.openxmlformats.org/officeDocument/2006/relationships/hyperlink" Target="https://www.unjiu.org/sites/www.unjiu.org/files/jiu_rep_2019_6_english_0.pdf" TargetMode="External"/><Relationship Id="rId2" Type="http://schemas.openxmlformats.org/officeDocument/2006/relationships/customXml" Target="../customXml/item2.xml"/><Relationship Id="rId16" Type="http://schemas.openxmlformats.org/officeDocument/2006/relationships/hyperlink" Target="https://www.unops.org/about/governance/executive-board/executive-board-documents?documentType=documents-for-sessions&amp;year=2019" TargetMode="External"/><Relationship Id="rId20" Type="http://schemas.openxmlformats.org/officeDocument/2006/relationships/hyperlink" Target="https://content.unops.org/documents/libraries/executive-board/documents-for-sessions/2019/second-regular-session/unops-segment-item-7-united-nations-office-for-project-services/en/DP-OPS-2019-6_EN.pdf?mtime=2019081514552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undocs.org/DP/OPS/2018/6" TargetMode="External"/><Relationship Id="rId5" Type="http://schemas.openxmlformats.org/officeDocument/2006/relationships/numbering" Target="numbering.xml"/><Relationship Id="rId15" Type="http://schemas.openxmlformats.org/officeDocument/2006/relationships/hyperlink" Target="https://content.unops.org/documents/libraries/executive-board/documents-for-sessions/2019/annual-session/unops-segment-item-11-united-nations-office-for-project-services/en/DPOPS-2019-2-Annex-4-Report-on-the-implementation-of-JIU-recommendations.pdf?mtime=20190425095010" TargetMode="External"/><Relationship Id="rId23" Type="http://schemas.openxmlformats.org/officeDocument/2006/relationships/hyperlink" Target="https://www.unjiu.org/sites/www.unjiu.org/files/jiu_rep_2018_3_re-issued_english.pdf" TargetMode="External"/><Relationship Id="rId10" Type="http://schemas.openxmlformats.org/officeDocument/2006/relationships/endnotes" Target="endnotes.xml"/><Relationship Id="rId19" Type="http://schemas.openxmlformats.org/officeDocument/2006/relationships/hyperlink" Target="https://content.unops.org/documents/libraries/executive-board/documents-for-sessions/2019/second-regular-session/unops-segment-item-7-united-nations-office-for-project-services/en/DP-OPS-2019-5_EN.pdf?mtime=2019080512111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tent.unops.org/documents/libraries/executive-board/documents-for-sessions/2019/annual-session/unops-segment-item-11-united-nations-office-for-project-services/en/DP-OPS-2019-2_EN.pdf?mtime=20190423163946" TargetMode="External"/><Relationship Id="rId22" Type="http://schemas.openxmlformats.org/officeDocument/2006/relationships/hyperlink" Target="https://content.unops.org/documents/libraries/executive-board/documents-for-sessions/2020/first-regular-session/item-2-recommendations-of-the-board-of-auditors/en/DP-OPS-2020-1_EN.pdf?mtime=2020010816580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93824-1AFD-4E4C-86AE-8C9856F27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008326-A455-441C-8ADC-7D4E390BF626}">
  <ds:schemaRefs>
    <ds:schemaRef ds:uri="http://schemas.microsoft.com/sharepoint/v3/contenttype/forms"/>
  </ds:schemaRefs>
</ds:datastoreItem>
</file>

<file path=customXml/itemProps3.xml><?xml version="1.0" encoding="utf-8"?>
<ds:datastoreItem xmlns:ds="http://schemas.openxmlformats.org/officeDocument/2006/customXml" ds:itemID="{66F77EF0-37F0-4A6C-9566-3365632423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0376EF-8853-4001-B44B-B1E422C70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4754</Words>
  <Characters>27098</Characters>
  <Application>Microsoft Office Word</Application>
  <DocSecurity>4</DocSecurity>
  <Lines>225</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UNOPS</Company>
  <LinksUpToDate>false</LinksUpToDate>
  <CharactersWithSpaces>31789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Linnea MALMSTROM</dc:creator>
  <cp:lastModifiedBy>Svetlana Iazykova</cp:lastModifiedBy>
  <cp:revision>2</cp:revision>
  <cp:lastPrinted>2020-03-06T09:52:00Z</cp:lastPrinted>
  <dcterms:created xsi:type="dcterms:W3CDTF">2020-04-16T19:35:00Z</dcterms:created>
  <dcterms:modified xsi:type="dcterms:W3CDTF">2020-04-16T19:35:00Z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ies>
</file>