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6726" w14:textId="05D45EA8" w:rsidR="00D4192F" w:rsidRPr="005323D5" w:rsidRDefault="00534E03" w:rsidP="0067666A">
      <w:pPr>
        <w:spacing w:line="240" w:lineRule="auto"/>
        <w:jc w:val="center"/>
        <w:rPr>
          <w:rFonts w:cs="Times New Roman"/>
          <w:b/>
          <w:sz w:val="24"/>
          <w:szCs w:val="24"/>
        </w:rPr>
      </w:pPr>
      <w:r w:rsidRPr="005323D5">
        <w:rPr>
          <w:rFonts w:cs="Times New Roman"/>
          <w:b/>
          <w:sz w:val="24"/>
          <w:szCs w:val="24"/>
        </w:rPr>
        <w:t xml:space="preserve">COMMENTS ON </w:t>
      </w:r>
      <w:r w:rsidR="0067666A">
        <w:rPr>
          <w:rFonts w:cs="Times New Roman"/>
          <w:b/>
          <w:sz w:val="24"/>
          <w:szCs w:val="24"/>
        </w:rPr>
        <w:t xml:space="preserve">THE UNDP </w:t>
      </w:r>
      <w:r w:rsidRPr="005323D5">
        <w:rPr>
          <w:rFonts w:cs="Times New Roman"/>
          <w:b/>
          <w:sz w:val="24"/>
          <w:szCs w:val="24"/>
        </w:rPr>
        <w:t>DRAFT COUNTRY PROGRAMME DOCUMENT</w:t>
      </w:r>
      <w:r w:rsidR="0067666A">
        <w:rPr>
          <w:rFonts w:cs="Times New Roman"/>
          <w:b/>
          <w:sz w:val="24"/>
          <w:szCs w:val="24"/>
        </w:rPr>
        <w:t xml:space="preserve"> FOR IRAQ</w:t>
      </w:r>
      <w:r w:rsidR="00425471">
        <w:rPr>
          <w:rFonts w:cs="Times New Roman"/>
          <w:b/>
          <w:sz w:val="24"/>
          <w:szCs w:val="24"/>
        </w:rPr>
        <w:t xml:space="preserve"> (2020-2024)</w:t>
      </w:r>
      <w:bookmarkStart w:id="0" w:name="_GoBack"/>
      <w:bookmarkEnd w:id="0"/>
    </w:p>
    <w:p w14:paraId="53F340D5" w14:textId="18AC2DB4" w:rsidR="00DA5D1C" w:rsidRPr="00A457DA" w:rsidRDefault="00DA5D1C" w:rsidP="00A457DA">
      <w:pPr>
        <w:spacing w:line="240" w:lineRule="auto"/>
        <w:jc w:val="center"/>
        <w:rPr>
          <w:rFonts w:cs="Times New Roman"/>
          <w:i/>
          <w:sz w:val="24"/>
          <w:szCs w:val="24"/>
        </w:rPr>
      </w:pPr>
      <w:r w:rsidRPr="00A457DA">
        <w:rPr>
          <w:rFonts w:cs="Times New Roman"/>
          <w:i/>
          <w:sz w:val="24"/>
          <w:szCs w:val="24"/>
        </w:rPr>
        <w:t xml:space="preserve">First </w:t>
      </w:r>
      <w:r w:rsidR="00EB1427" w:rsidRPr="00A457DA">
        <w:rPr>
          <w:rFonts w:cs="Times New Roman"/>
          <w:i/>
          <w:sz w:val="24"/>
          <w:szCs w:val="24"/>
        </w:rPr>
        <w:t>r</w:t>
      </w:r>
      <w:r w:rsidRPr="00A457DA">
        <w:rPr>
          <w:rFonts w:cs="Times New Roman"/>
          <w:i/>
          <w:sz w:val="24"/>
          <w:szCs w:val="24"/>
        </w:rPr>
        <w:t xml:space="preserve">egular </w:t>
      </w:r>
      <w:r w:rsidR="00EB1427" w:rsidRPr="00A457DA">
        <w:rPr>
          <w:rFonts w:cs="Times New Roman"/>
          <w:i/>
          <w:sz w:val="24"/>
          <w:szCs w:val="24"/>
        </w:rPr>
        <w:t>s</w:t>
      </w:r>
      <w:r w:rsidRPr="00A457DA">
        <w:rPr>
          <w:rFonts w:cs="Times New Roman"/>
          <w:i/>
          <w:sz w:val="24"/>
          <w:szCs w:val="24"/>
        </w:rPr>
        <w:t>ession</w:t>
      </w:r>
      <w:r w:rsidR="00EB1427" w:rsidRPr="00A457DA">
        <w:rPr>
          <w:rFonts w:cs="Times New Roman"/>
          <w:i/>
          <w:sz w:val="24"/>
          <w:szCs w:val="24"/>
        </w:rPr>
        <w:t xml:space="preserve"> 2020</w:t>
      </w:r>
    </w:p>
    <w:tbl>
      <w:tblPr>
        <w:tblStyle w:val="TableGrid"/>
        <w:tblW w:w="14434" w:type="dxa"/>
        <w:tblLook w:val="04A0" w:firstRow="1" w:lastRow="0" w:firstColumn="1" w:lastColumn="0" w:noHBand="0" w:noVBand="1"/>
      </w:tblPr>
      <w:tblGrid>
        <w:gridCol w:w="7825"/>
        <w:gridCol w:w="6609"/>
      </w:tblGrid>
      <w:tr w:rsidR="0067666A" w:rsidRPr="005323D5" w14:paraId="218C0B4A" w14:textId="138524DF" w:rsidTr="0082600E">
        <w:trPr>
          <w:trHeight w:val="476"/>
        </w:trPr>
        <w:tc>
          <w:tcPr>
            <w:tcW w:w="7825" w:type="dxa"/>
            <w:shd w:val="clear" w:color="auto" w:fill="BFBFBF" w:themeFill="background1" w:themeFillShade="BF"/>
            <w:vAlign w:val="center"/>
          </w:tcPr>
          <w:p w14:paraId="4E86B9A0" w14:textId="54CBF75D" w:rsidR="0067666A" w:rsidRPr="00A457DA" w:rsidRDefault="0067666A" w:rsidP="006B1356">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C91E4B">
              <w:rPr>
                <w:rFonts w:cs="Times New Roman"/>
                <w:b/>
                <w:sz w:val="24"/>
                <w:szCs w:val="24"/>
              </w:rPr>
              <w:t>Germany</w:t>
            </w:r>
          </w:p>
        </w:tc>
        <w:tc>
          <w:tcPr>
            <w:tcW w:w="6609" w:type="dxa"/>
            <w:shd w:val="clear" w:color="auto" w:fill="BFBFBF" w:themeFill="background1" w:themeFillShade="BF"/>
            <w:vAlign w:val="center"/>
          </w:tcPr>
          <w:p w14:paraId="75E447B0" w14:textId="1AD26966" w:rsidR="0067666A" w:rsidRPr="00534E03" w:rsidRDefault="00621897" w:rsidP="006B1356">
            <w:pPr>
              <w:jc w:val="center"/>
              <w:rPr>
                <w:rFonts w:cs="Times New Roman"/>
                <w:b/>
                <w:sz w:val="24"/>
                <w:szCs w:val="24"/>
              </w:rPr>
            </w:pPr>
            <w:r>
              <w:rPr>
                <w:rFonts w:cs="Times New Roman"/>
                <w:b/>
                <w:sz w:val="24"/>
                <w:szCs w:val="24"/>
              </w:rPr>
              <w:t>Country Office response</w:t>
            </w:r>
          </w:p>
        </w:tc>
      </w:tr>
      <w:tr w:rsidR="0067666A" w:rsidRPr="005323D5" w14:paraId="56280596" w14:textId="519F327B" w:rsidTr="009C751F">
        <w:trPr>
          <w:trHeight w:val="476"/>
        </w:trPr>
        <w:tc>
          <w:tcPr>
            <w:tcW w:w="7825" w:type="dxa"/>
            <w:vAlign w:val="center"/>
          </w:tcPr>
          <w:p w14:paraId="048DFCCD" w14:textId="586B1F69" w:rsidR="0067666A" w:rsidRPr="00534E03" w:rsidRDefault="0067666A" w:rsidP="006B1356">
            <w:pPr>
              <w:jc w:val="center"/>
              <w:rPr>
                <w:rFonts w:cs="Times New Roman"/>
                <w:b/>
                <w:sz w:val="24"/>
                <w:szCs w:val="24"/>
              </w:rPr>
            </w:pPr>
            <w:r>
              <w:rPr>
                <w:rFonts w:cs="Times New Roman"/>
                <w:b/>
                <w:sz w:val="24"/>
                <w:szCs w:val="24"/>
              </w:rPr>
              <w:t>Overall Strategy:</w:t>
            </w:r>
          </w:p>
        </w:tc>
        <w:tc>
          <w:tcPr>
            <w:tcW w:w="6609" w:type="dxa"/>
          </w:tcPr>
          <w:p w14:paraId="63608926" w14:textId="77777777" w:rsidR="0067666A" w:rsidRDefault="0067666A" w:rsidP="006B1356">
            <w:pPr>
              <w:jc w:val="center"/>
              <w:rPr>
                <w:rFonts w:cs="Times New Roman"/>
                <w:b/>
                <w:sz w:val="24"/>
                <w:szCs w:val="24"/>
              </w:rPr>
            </w:pPr>
          </w:p>
        </w:tc>
      </w:tr>
      <w:tr w:rsidR="0067666A" w:rsidRPr="005323D5" w14:paraId="59FFD639" w14:textId="097A694C" w:rsidTr="009C751F">
        <w:trPr>
          <w:trHeight w:val="476"/>
        </w:trPr>
        <w:tc>
          <w:tcPr>
            <w:tcW w:w="7825" w:type="dxa"/>
            <w:vAlign w:val="center"/>
          </w:tcPr>
          <w:p w14:paraId="106DA92D" w14:textId="55239F42" w:rsidR="0067666A" w:rsidRPr="008A0E75" w:rsidRDefault="0067666A" w:rsidP="008A0E75">
            <w:pPr>
              <w:pStyle w:val="ListParagraph"/>
              <w:numPr>
                <w:ilvl w:val="0"/>
                <w:numId w:val="12"/>
              </w:numPr>
              <w:rPr>
                <w:rFonts w:cs="Times New Roman"/>
                <w:sz w:val="24"/>
                <w:szCs w:val="24"/>
              </w:rPr>
            </w:pPr>
            <w:r>
              <w:rPr>
                <w:rFonts w:cs="Times New Roman"/>
                <w:sz w:val="24"/>
                <w:szCs w:val="24"/>
              </w:rPr>
              <w:t>We welcome the draft country programme document for Iraq for its comprehensive description of stabilization and development needs in Iraq. It builds on UNDP’s extraordinary efforts to support Iraq in a highly critical phase, which we want to seize the opportunity to commend.</w:t>
            </w:r>
          </w:p>
        </w:tc>
        <w:tc>
          <w:tcPr>
            <w:tcW w:w="6609" w:type="dxa"/>
          </w:tcPr>
          <w:p w14:paraId="38265111" w14:textId="201713B9" w:rsidR="0067666A" w:rsidRPr="00621897" w:rsidRDefault="00621897" w:rsidP="00621897">
            <w:pPr>
              <w:ind w:left="360"/>
              <w:rPr>
                <w:rFonts w:cs="Times New Roman"/>
                <w:sz w:val="24"/>
                <w:szCs w:val="24"/>
              </w:rPr>
            </w:pPr>
            <w:r w:rsidRPr="00621897">
              <w:rPr>
                <w:rFonts w:cs="Times New Roman"/>
                <w:sz w:val="24"/>
                <w:szCs w:val="24"/>
              </w:rPr>
              <w:t>Thank you, Germany is a stellar partner of UNDP Iraq</w:t>
            </w:r>
            <w:r>
              <w:rPr>
                <w:rFonts w:cs="Times New Roman"/>
                <w:sz w:val="24"/>
                <w:szCs w:val="24"/>
              </w:rPr>
              <w:t>.</w:t>
            </w:r>
          </w:p>
        </w:tc>
      </w:tr>
      <w:tr w:rsidR="0067666A" w:rsidRPr="005323D5" w14:paraId="34F85CFB" w14:textId="3100C574" w:rsidTr="009C751F">
        <w:trPr>
          <w:trHeight w:val="476"/>
        </w:trPr>
        <w:tc>
          <w:tcPr>
            <w:tcW w:w="7825" w:type="dxa"/>
            <w:vAlign w:val="center"/>
          </w:tcPr>
          <w:p w14:paraId="0096D1B9" w14:textId="172BB921" w:rsidR="0067666A" w:rsidRDefault="0067666A" w:rsidP="00FE438F">
            <w:pPr>
              <w:pStyle w:val="ListParagraph"/>
              <w:numPr>
                <w:ilvl w:val="0"/>
                <w:numId w:val="12"/>
              </w:numPr>
              <w:rPr>
                <w:rFonts w:cs="Times New Roman"/>
                <w:sz w:val="24"/>
                <w:szCs w:val="24"/>
              </w:rPr>
            </w:pPr>
            <w:r>
              <w:rPr>
                <w:rFonts w:cs="Times New Roman"/>
                <w:sz w:val="24"/>
                <w:szCs w:val="24"/>
              </w:rPr>
              <w:t>We welcome that the previously underserved issue of environment and adaptation to climate change is now a core element of the draft CPD, given its existential relevance to the sustainable development of Iraq.</w:t>
            </w:r>
          </w:p>
        </w:tc>
        <w:tc>
          <w:tcPr>
            <w:tcW w:w="6609" w:type="dxa"/>
          </w:tcPr>
          <w:p w14:paraId="05A3C989" w14:textId="77777777" w:rsidR="0067666A" w:rsidRPr="00621897" w:rsidRDefault="0067666A" w:rsidP="00621897">
            <w:pPr>
              <w:ind w:left="360"/>
              <w:rPr>
                <w:rFonts w:cs="Times New Roman"/>
                <w:sz w:val="24"/>
                <w:szCs w:val="24"/>
              </w:rPr>
            </w:pPr>
          </w:p>
        </w:tc>
      </w:tr>
      <w:tr w:rsidR="0067666A" w:rsidRPr="005323D5" w14:paraId="3240E891" w14:textId="777750CD" w:rsidTr="00710D98">
        <w:trPr>
          <w:trHeight w:val="476"/>
        </w:trPr>
        <w:tc>
          <w:tcPr>
            <w:tcW w:w="7825" w:type="dxa"/>
          </w:tcPr>
          <w:p w14:paraId="0F7FBB4B" w14:textId="3C8AD396" w:rsidR="0067666A" w:rsidRPr="00C52D6A" w:rsidRDefault="0067666A" w:rsidP="00C52D6A">
            <w:pPr>
              <w:pStyle w:val="ListParagraph"/>
              <w:numPr>
                <w:ilvl w:val="0"/>
                <w:numId w:val="12"/>
              </w:numPr>
              <w:rPr>
                <w:rFonts w:cs="Times New Roman"/>
                <w:sz w:val="24"/>
                <w:szCs w:val="24"/>
              </w:rPr>
            </w:pPr>
            <w:r>
              <w:rPr>
                <w:rFonts w:cs="Times New Roman"/>
                <w:sz w:val="24"/>
                <w:szCs w:val="24"/>
              </w:rPr>
              <w:t xml:space="preserve">We would appreciate a strong joint effort of UNDP with other development partners to regularize and strengthen nascent mechanisms for donor coordination by minimizing parallel structures and strengthening Iraqi ownership of the reconstruction and reform process (in line also with Findings 6 and 9 of the ICPE). This is particularly crucial as the country transitions from the post-crisis / stabilization phase (where quick results were imperative) to longer-term reconstruction and development (where close coordination and partner ownership are crucial). </w:t>
            </w:r>
          </w:p>
        </w:tc>
        <w:tc>
          <w:tcPr>
            <w:tcW w:w="6609" w:type="dxa"/>
          </w:tcPr>
          <w:p w14:paraId="3763C5FA" w14:textId="0BFC1D0C" w:rsidR="0067666A" w:rsidRPr="00621897" w:rsidRDefault="00F5775A" w:rsidP="00621897">
            <w:pPr>
              <w:ind w:left="360"/>
              <w:rPr>
                <w:rFonts w:cs="Times New Roman"/>
                <w:sz w:val="24"/>
                <w:szCs w:val="24"/>
              </w:rPr>
            </w:pPr>
            <w:r w:rsidRPr="00F5775A">
              <w:rPr>
                <w:rFonts w:cs="Times New Roman"/>
                <w:sz w:val="24"/>
                <w:szCs w:val="24"/>
              </w:rPr>
              <w:t>UNDP Iraq will strengthen donor coordination in its mandated areas, notwithstanding the donor mechanisms to be employed by UNAMI and the RCO. In this regard, UNDP has already established a donor coordination group on social cohesion, co-led between UNDP and UNAMI, and with participation from IOM. On stabilization, UNDP will continue to co-chair the Stabilization Steering Committee and will present on the Stabilization Task Force. UNDP will also continue to serve as the lead for the Technical Secretariat on Security sector Reform for the donor group established on SSR and chaired by the SRSG. Notwithstanding this, the issue of Donor Coordination has been strengthened in the CPD text</w:t>
            </w:r>
          </w:p>
        </w:tc>
      </w:tr>
      <w:tr w:rsidR="0067666A" w:rsidRPr="005323D5" w14:paraId="0F83B7EB" w14:textId="09AEEB41" w:rsidTr="009C751F">
        <w:trPr>
          <w:trHeight w:val="476"/>
        </w:trPr>
        <w:tc>
          <w:tcPr>
            <w:tcW w:w="7825" w:type="dxa"/>
            <w:vAlign w:val="center"/>
          </w:tcPr>
          <w:p w14:paraId="2BC6A7B4" w14:textId="3303E110" w:rsidR="0067666A" w:rsidRDefault="0067666A" w:rsidP="00FE438F">
            <w:pPr>
              <w:pStyle w:val="ListParagraph"/>
              <w:numPr>
                <w:ilvl w:val="0"/>
                <w:numId w:val="12"/>
              </w:numPr>
              <w:rPr>
                <w:rFonts w:cs="Times New Roman"/>
                <w:sz w:val="24"/>
                <w:szCs w:val="24"/>
              </w:rPr>
            </w:pPr>
            <w:r>
              <w:rPr>
                <w:rFonts w:cs="Times New Roman"/>
                <w:sz w:val="24"/>
                <w:szCs w:val="24"/>
              </w:rPr>
              <w:t xml:space="preserve">Coverage of nearly the entirety of the stabilization and development landscape in Iraq via UNDP as foreseen in the draft CPD is in our view overly ambitious and we urge UNDP to consult closely with other UN </w:t>
            </w:r>
            <w:r>
              <w:rPr>
                <w:rFonts w:cs="Times New Roman"/>
                <w:sz w:val="24"/>
                <w:szCs w:val="24"/>
              </w:rPr>
              <w:lastRenderedPageBreak/>
              <w:t xml:space="preserve">and development partners to achieve a better division of labour wherever possible. </w:t>
            </w:r>
          </w:p>
          <w:p w14:paraId="36DE0126" w14:textId="17B4BE07" w:rsidR="00F5775A" w:rsidRDefault="00F5775A" w:rsidP="00F5775A">
            <w:pPr>
              <w:rPr>
                <w:rFonts w:cs="Times New Roman"/>
                <w:sz w:val="24"/>
                <w:szCs w:val="24"/>
              </w:rPr>
            </w:pPr>
          </w:p>
          <w:p w14:paraId="0BEACEDD" w14:textId="4A0EB03A" w:rsidR="00F5775A" w:rsidRDefault="00F5775A" w:rsidP="00F5775A">
            <w:pPr>
              <w:rPr>
                <w:rFonts w:cs="Times New Roman"/>
                <w:sz w:val="24"/>
                <w:szCs w:val="24"/>
              </w:rPr>
            </w:pPr>
          </w:p>
          <w:p w14:paraId="308B86E6" w14:textId="73C2F99F" w:rsidR="00F5775A" w:rsidRDefault="00F5775A" w:rsidP="00F5775A">
            <w:pPr>
              <w:rPr>
                <w:rFonts w:cs="Times New Roman"/>
                <w:sz w:val="24"/>
                <w:szCs w:val="24"/>
              </w:rPr>
            </w:pPr>
          </w:p>
          <w:p w14:paraId="19EF4153" w14:textId="0AA9CAAC" w:rsidR="00F5775A" w:rsidRDefault="00F5775A" w:rsidP="00F5775A">
            <w:pPr>
              <w:rPr>
                <w:rFonts w:cs="Times New Roman"/>
                <w:sz w:val="24"/>
                <w:szCs w:val="24"/>
              </w:rPr>
            </w:pPr>
          </w:p>
          <w:p w14:paraId="2ED0E0D5" w14:textId="1E4E15A3" w:rsidR="00F5775A" w:rsidRDefault="00F5775A" w:rsidP="00F5775A">
            <w:pPr>
              <w:rPr>
                <w:rFonts w:cs="Times New Roman"/>
                <w:sz w:val="24"/>
                <w:szCs w:val="24"/>
              </w:rPr>
            </w:pPr>
          </w:p>
          <w:p w14:paraId="34A0C1EB" w14:textId="163C1496" w:rsidR="00F5775A" w:rsidRDefault="00F5775A" w:rsidP="00F5775A">
            <w:pPr>
              <w:rPr>
                <w:rFonts w:cs="Times New Roman"/>
                <w:sz w:val="24"/>
                <w:szCs w:val="24"/>
              </w:rPr>
            </w:pPr>
          </w:p>
          <w:p w14:paraId="19EE8B85" w14:textId="6F6B3CAA" w:rsidR="00F5775A" w:rsidRDefault="00F5775A" w:rsidP="00F5775A">
            <w:pPr>
              <w:rPr>
                <w:rFonts w:cs="Times New Roman"/>
                <w:sz w:val="24"/>
                <w:szCs w:val="24"/>
              </w:rPr>
            </w:pPr>
          </w:p>
          <w:p w14:paraId="00032D50" w14:textId="14EE0ABD" w:rsidR="00F5775A" w:rsidRDefault="00F5775A" w:rsidP="00F5775A">
            <w:pPr>
              <w:rPr>
                <w:rFonts w:cs="Times New Roman"/>
                <w:sz w:val="24"/>
                <w:szCs w:val="24"/>
              </w:rPr>
            </w:pPr>
          </w:p>
          <w:p w14:paraId="0B1EC2BE" w14:textId="3621984D" w:rsidR="00F5775A" w:rsidRDefault="00F5775A" w:rsidP="00F5775A">
            <w:pPr>
              <w:rPr>
                <w:rFonts w:cs="Times New Roman"/>
                <w:sz w:val="24"/>
                <w:szCs w:val="24"/>
              </w:rPr>
            </w:pPr>
          </w:p>
          <w:p w14:paraId="41DC96AE" w14:textId="468D6521" w:rsidR="00F5775A" w:rsidRDefault="00F5775A" w:rsidP="00F5775A">
            <w:pPr>
              <w:rPr>
                <w:rFonts w:cs="Times New Roman"/>
                <w:sz w:val="24"/>
                <w:szCs w:val="24"/>
              </w:rPr>
            </w:pPr>
          </w:p>
          <w:p w14:paraId="396D8D9D" w14:textId="3ADE85B8" w:rsidR="00F5775A" w:rsidRDefault="00F5775A" w:rsidP="00F5775A">
            <w:pPr>
              <w:rPr>
                <w:rFonts w:cs="Times New Roman"/>
                <w:sz w:val="24"/>
                <w:szCs w:val="24"/>
              </w:rPr>
            </w:pPr>
          </w:p>
          <w:p w14:paraId="25432DD8" w14:textId="3B783127" w:rsidR="0067666A" w:rsidRDefault="0067666A" w:rsidP="00FE438F">
            <w:pPr>
              <w:pStyle w:val="ListParagraph"/>
              <w:numPr>
                <w:ilvl w:val="0"/>
                <w:numId w:val="12"/>
              </w:numPr>
              <w:rPr>
                <w:rFonts w:cs="Times New Roman"/>
                <w:sz w:val="24"/>
                <w:szCs w:val="24"/>
              </w:rPr>
            </w:pPr>
            <w:r>
              <w:rPr>
                <w:rFonts w:cs="Times New Roman"/>
                <w:sz w:val="24"/>
                <w:szCs w:val="24"/>
              </w:rPr>
              <w:t xml:space="preserve">In the current CPD draft, there is a lack of clarity regarding which instruments are to be used for which objective. There should be a clear distinction between stabilization as a response to the crisis brought on by the so-called “Islamic State” and longer-term development needs throughout the country. In the case of Germany, this has potential budgetary implications given the different mandates of the Federal Foreign Office and the Federal Ministry for Economic Cooperation and Development. </w:t>
            </w:r>
          </w:p>
          <w:p w14:paraId="0D026922" w14:textId="3C83C83E" w:rsidR="009C751F" w:rsidRDefault="009C751F" w:rsidP="009C751F">
            <w:pPr>
              <w:pStyle w:val="ListParagraph"/>
              <w:rPr>
                <w:rFonts w:cs="Times New Roman"/>
                <w:sz w:val="24"/>
                <w:szCs w:val="24"/>
              </w:rPr>
            </w:pPr>
          </w:p>
          <w:p w14:paraId="26A5C83E" w14:textId="77777777" w:rsidR="00FC0B00" w:rsidRDefault="00FC0B00" w:rsidP="009C751F">
            <w:pPr>
              <w:pStyle w:val="ListParagraph"/>
              <w:rPr>
                <w:rFonts w:cs="Times New Roman"/>
                <w:sz w:val="24"/>
                <w:szCs w:val="24"/>
              </w:rPr>
            </w:pPr>
          </w:p>
          <w:p w14:paraId="2B13B721" w14:textId="4B0517BD" w:rsidR="0067666A" w:rsidRDefault="0067666A" w:rsidP="00FE438F">
            <w:pPr>
              <w:pStyle w:val="ListParagraph"/>
              <w:numPr>
                <w:ilvl w:val="0"/>
                <w:numId w:val="12"/>
              </w:numPr>
              <w:rPr>
                <w:rFonts w:cs="Times New Roman"/>
                <w:sz w:val="24"/>
                <w:szCs w:val="24"/>
              </w:rPr>
            </w:pPr>
            <w:r>
              <w:rPr>
                <w:rFonts w:cs="Times New Roman"/>
                <w:sz w:val="24"/>
                <w:szCs w:val="24"/>
              </w:rPr>
              <w:t xml:space="preserve">Paragraph 18 could be interpreted as a potentially significant expansion of the mandate of UNDP stabilization efforts to “disadvantaged areas… at risk for future conflict”. How is this defined? What are the geographic implications of this expanded understanding? How is short-term stabilization distinguished from longer-term conflict prevention? What are the programming implications of the proposed stronger synergies with other programme areas? </w:t>
            </w:r>
          </w:p>
          <w:p w14:paraId="6574E3BE" w14:textId="77777777" w:rsidR="0031580B" w:rsidRPr="0031580B" w:rsidRDefault="0031580B" w:rsidP="0031580B">
            <w:pPr>
              <w:pStyle w:val="ListParagraph"/>
              <w:rPr>
                <w:rFonts w:cs="Times New Roman"/>
                <w:sz w:val="24"/>
                <w:szCs w:val="24"/>
              </w:rPr>
            </w:pPr>
          </w:p>
          <w:p w14:paraId="1D6C7944" w14:textId="4EFE77A8" w:rsidR="0031580B" w:rsidRDefault="0031580B" w:rsidP="0031580B">
            <w:pPr>
              <w:rPr>
                <w:rFonts w:cs="Times New Roman"/>
                <w:sz w:val="24"/>
                <w:szCs w:val="24"/>
              </w:rPr>
            </w:pPr>
          </w:p>
          <w:p w14:paraId="134149D1" w14:textId="4AB98BFA" w:rsidR="0031580B" w:rsidRDefault="0031580B" w:rsidP="0031580B">
            <w:pPr>
              <w:rPr>
                <w:rFonts w:cs="Times New Roman"/>
                <w:sz w:val="24"/>
                <w:szCs w:val="24"/>
              </w:rPr>
            </w:pPr>
          </w:p>
          <w:p w14:paraId="4B3BC060" w14:textId="4E4FF273" w:rsidR="0031580B" w:rsidRDefault="0031580B" w:rsidP="0031580B">
            <w:pPr>
              <w:rPr>
                <w:rFonts w:cs="Times New Roman"/>
                <w:sz w:val="24"/>
                <w:szCs w:val="24"/>
              </w:rPr>
            </w:pPr>
          </w:p>
          <w:p w14:paraId="6C14FBDE" w14:textId="7C0F6889" w:rsidR="0031580B" w:rsidRDefault="0031580B" w:rsidP="0031580B">
            <w:pPr>
              <w:rPr>
                <w:rFonts w:cs="Times New Roman"/>
                <w:sz w:val="24"/>
                <w:szCs w:val="24"/>
              </w:rPr>
            </w:pPr>
          </w:p>
          <w:p w14:paraId="762A3764" w14:textId="77777777" w:rsidR="0031580B" w:rsidRPr="0031580B" w:rsidRDefault="0031580B" w:rsidP="0031580B">
            <w:pPr>
              <w:rPr>
                <w:rFonts w:cs="Times New Roman"/>
                <w:sz w:val="24"/>
                <w:szCs w:val="24"/>
              </w:rPr>
            </w:pPr>
          </w:p>
          <w:p w14:paraId="3F99EF72" w14:textId="28B6C145" w:rsidR="0067666A" w:rsidRDefault="0067666A" w:rsidP="0016553C">
            <w:pPr>
              <w:pStyle w:val="ListParagraph"/>
              <w:numPr>
                <w:ilvl w:val="0"/>
                <w:numId w:val="12"/>
              </w:numPr>
              <w:rPr>
                <w:rFonts w:cs="Times New Roman"/>
                <w:sz w:val="24"/>
                <w:szCs w:val="24"/>
              </w:rPr>
            </w:pPr>
            <w:r>
              <w:rPr>
                <w:rFonts w:cs="Times New Roman"/>
                <w:sz w:val="24"/>
                <w:szCs w:val="24"/>
              </w:rPr>
              <w:t>The previous CPD clearly defined the geographic areas of engagement for FFS. We would urge to again either define areas for stabilization geographically or at least instrumentally with greater precision.</w:t>
            </w:r>
          </w:p>
        </w:tc>
        <w:tc>
          <w:tcPr>
            <w:tcW w:w="6609" w:type="dxa"/>
          </w:tcPr>
          <w:p w14:paraId="6EDBD076" w14:textId="77777777" w:rsidR="0067666A" w:rsidRDefault="00F5775A" w:rsidP="00F5775A">
            <w:pPr>
              <w:ind w:left="360"/>
              <w:rPr>
                <w:rFonts w:cs="Times New Roman"/>
                <w:sz w:val="24"/>
                <w:szCs w:val="24"/>
              </w:rPr>
            </w:pPr>
            <w:r w:rsidRPr="00F5775A">
              <w:rPr>
                <w:rFonts w:cs="Times New Roman"/>
                <w:sz w:val="24"/>
                <w:szCs w:val="24"/>
              </w:rPr>
              <w:lastRenderedPageBreak/>
              <w:t xml:space="preserve">UNDP has the mandate to work in all areas of the country, however, during 2016-2020, due to ISIL, the focus was on the liberated areas and the host communities. UNDP now is proposing to extend its work to areas that are prioritized </w:t>
            </w:r>
            <w:r w:rsidRPr="00F5775A">
              <w:rPr>
                <w:rFonts w:cs="Times New Roman"/>
                <w:sz w:val="24"/>
                <w:szCs w:val="24"/>
              </w:rPr>
              <w:lastRenderedPageBreak/>
              <w:t>based on a resilience-based needs assessment, which is showing a high degree of vulnerability for future conflict, namely, the 5 governorates of the South and the Baghdad belt, in addition to the ‘unfinished’ business in ISIL liberated areas.  As outlined in the text of the Document, UNDP is also taking the opportunity under this CPD to strengthening partnerships with other UN Agencies On social cohesion, for example, UNDP already agreed with UNAMI and IOM on a joint coordination structure; on crisis prevention- with WFP and UNICEF; on rural development- with FAO and UN-Habitat. UNAMI will be a central partner across a number of iss</w:t>
            </w:r>
            <w:r w:rsidR="009C751F">
              <w:rPr>
                <w:rFonts w:cs="Times New Roman"/>
                <w:sz w:val="24"/>
                <w:szCs w:val="24"/>
              </w:rPr>
              <w:t>ues.</w:t>
            </w:r>
          </w:p>
          <w:p w14:paraId="01FA1978" w14:textId="77777777" w:rsidR="009C751F" w:rsidRDefault="009C751F" w:rsidP="00F5775A">
            <w:pPr>
              <w:ind w:left="360"/>
              <w:rPr>
                <w:rFonts w:cs="Times New Roman"/>
                <w:sz w:val="24"/>
                <w:szCs w:val="24"/>
              </w:rPr>
            </w:pPr>
          </w:p>
          <w:p w14:paraId="113DCBEC" w14:textId="254F209D" w:rsidR="009C751F" w:rsidRDefault="009C751F" w:rsidP="00F5775A">
            <w:pPr>
              <w:ind w:left="360"/>
              <w:rPr>
                <w:rFonts w:cs="Times New Roman"/>
                <w:sz w:val="24"/>
                <w:szCs w:val="24"/>
              </w:rPr>
            </w:pPr>
            <w:r w:rsidRPr="009C751F">
              <w:rPr>
                <w:rFonts w:cs="Times New Roman"/>
                <w:sz w:val="24"/>
                <w:szCs w:val="24"/>
              </w:rPr>
              <w:t xml:space="preserve">Different instruments and financing channels will be used for stabilization in liberated areas and those in other regions of the country. UNDP will discuss with partners two modules of intervention: ‘Stabilization +’ for ISIL liberated areas; and ‘preventive Stabilization’ for conflict prone areas. </w:t>
            </w:r>
            <w:r w:rsidR="00D248FA" w:rsidRPr="009C751F">
              <w:rPr>
                <w:rFonts w:cs="Times New Roman"/>
                <w:sz w:val="24"/>
                <w:szCs w:val="24"/>
              </w:rPr>
              <w:t>UNDP will</w:t>
            </w:r>
            <w:r w:rsidRPr="009C751F">
              <w:rPr>
                <w:rFonts w:cs="Times New Roman"/>
                <w:sz w:val="24"/>
                <w:szCs w:val="24"/>
              </w:rPr>
              <w:t xml:space="preserve"> also try to extend stabilization activities to the most underserved regions of the country, in partnership with national counterparts, especially in Southern governorates and the Baghdad belt.</w:t>
            </w:r>
          </w:p>
          <w:p w14:paraId="5CB146AC" w14:textId="17F10CD4" w:rsidR="0031580B" w:rsidRDefault="0031580B" w:rsidP="00F5775A">
            <w:pPr>
              <w:ind w:left="360"/>
              <w:rPr>
                <w:rFonts w:cs="Times New Roman"/>
                <w:sz w:val="24"/>
                <w:szCs w:val="24"/>
              </w:rPr>
            </w:pPr>
          </w:p>
          <w:p w14:paraId="1585DA6A" w14:textId="0EE38F82" w:rsidR="0031580B" w:rsidRDefault="0031580B" w:rsidP="00F5775A">
            <w:pPr>
              <w:ind w:left="360"/>
              <w:rPr>
                <w:rFonts w:cs="Times New Roman"/>
                <w:sz w:val="24"/>
                <w:szCs w:val="24"/>
              </w:rPr>
            </w:pPr>
            <w:r w:rsidRPr="0031580B">
              <w:rPr>
                <w:rFonts w:cs="Times New Roman"/>
                <w:sz w:val="24"/>
                <w:szCs w:val="24"/>
              </w:rPr>
              <w:t xml:space="preserve">The areas for potential expansion will be identified based on a resilience-based needs assessment to identify areas of most vulnerability to shocks and stresses in the future. Expansion in ‘preventive stabilization’ will be discussed with external and national partners to elaborate the parameters of interventions. Short term stabilization will continue to target infrastructure, service delivery, municipal support, and emergency livelihoods, and social cohesion. Longer term conflict prevention will also address economic diversification, </w:t>
            </w:r>
            <w:r w:rsidRPr="0031580B">
              <w:rPr>
                <w:rFonts w:cs="Times New Roman"/>
                <w:sz w:val="24"/>
                <w:szCs w:val="24"/>
              </w:rPr>
              <w:lastRenderedPageBreak/>
              <w:t>governance reforms, and climate change resilience, integrated for social cohesion and conflict prevention. Both will mainstream synergies for sustainability in the future programme period.</w:t>
            </w:r>
          </w:p>
          <w:p w14:paraId="09424138" w14:textId="77777777" w:rsidR="009C751F" w:rsidRDefault="009C751F" w:rsidP="00F5775A">
            <w:pPr>
              <w:ind w:left="360"/>
              <w:rPr>
                <w:rFonts w:cs="Times New Roman"/>
                <w:sz w:val="24"/>
                <w:szCs w:val="24"/>
              </w:rPr>
            </w:pPr>
          </w:p>
          <w:p w14:paraId="1683D184" w14:textId="1AF2C514" w:rsidR="0031580B" w:rsidRPr="00F5775A" w:rsidRDefault="0031580B" w:rsidP="00F5775A">
            <w:pPr>
              <w:ind w:left="360"/>
              <w:rPr>
                <w:rFonts w:cs="Times New Roman"/>
                <w:sz w:val="24"/>
                <w:szCs w:val="24"/>
              </w:rPr>
            </w:pPr>
            <w:r w:rsidRPr="0031580B">
              <w:rPr>
                <w:rFonts w:cs="Times New Roman"/>
                <w:sz w:val="24"/>
                <w:szCs w:val="24"/>
              </w:rPr>
              <w:t>The areas for FFS will continue to be the ISIL liberated areas, but with additional emphasis on the ‘areas with the lowest return’ and the areas where there is higher resurgence of ISIL, in coordination with areas of coalition combat operations</w:t>
            </w:r>
            <w:r>
              <w:rPr>
                <w:rFonts w:cs="Times New Roman"/>
                <w:sz w:val="24"/>
                <w:szCs w:val="24"/>
              </w:rPr>
              <w:t>.</w:t>
            </w:r>
          </w:p>
        </w:tc>
      </w:tr>
      <w:tr w:rsidR="0067666A" w:rsidRPr="005323D5" w14:paraId="08712356" w14:textId="5A097192" w:rsidTr="009C751F">
        <w:trPr>
          <w:trHeight w:val="476"/>
        </w:trPr>
        <w:tc>
          <w:tcPr>
            <w:tcW w:w="7825" w:type="dxa"/>
            <w:vAlign w:val="center"/>
          </w:tcPr>
          <w:p w14:paraId="42D1DF52" w14:textId="7EC987B3" w:rsidR="0067666A" w:rsidRPr="00A457DA" w:rsidRDefault="0067666A" w:rsidP="00F31228">
            <w:pPr>
              <w:pStyle w:val="ListParagraph"/>
              <w:numPr>
                <w:ilvl w:val="0"/>
                <w:numId w:val="12"/>
              </w:numPr>
              <w:rPr>
                <w:rFonts w:cs="Times New Roman"/>
                <w:sz w:val="24"/>
                <w:szCs w:val="24"/>
              </w:rPr>
            </w:pPr>
            <w:r>
              <w:rPr>
                <w:rFonts w:cs="Times New Roman"/>
                <w:sz w:val="24"/>
                <w:szCs w:val="24"/>
              </w:rPr>
              <w:lastRenderedPageBreak/>
              <w:t>Paragraph 24 reads “</w:t>
            </w:r>
            <w:r w:rsidRPr="00881A36">
              <w:rPr>
                <w:rFonts w:cs="Times New Roman"/>
                <w:sz w:val="24"/>
                <w:szCs w:val="24"/>
              </w:rPr>
              <w:t>UNDP will partner with government institutions</w:t>
            </w:r>
            <w:r>
              <w:rPr>
                <w:rFonts w:cs="Times New Roman"/>
                <w:sz w:val="24"/>
                <w:szCs w:val="24"/>
              </w:rPr>
              <w:t xml:space="preserve">… </w:t>
            </w:r>
            <w:r w:rsidRPr="00881A36">
              <w:rPr>
                <w:rFonts w:cs="Times New Roman"/>
                <w:sz w:val="24"/>
                <w:szCs w:val="24"/>
              </w:rPr>
              <w:t xml:space="preserve">including the Ministry of </w:t>
            </w:r>
            <w:r>
              <w:rPr>
                <w:rFonts w:cs="Times New Roman"/>
                <w:sz w:val="24"/>
                <w:szCs w:val="24"/>
              </w:rPr>
              <w:t xml:space="preserve">Interior and Security machinery”. It remains unclear which structures are meant by this. We would be grateful for clarification. </w:t>
            </w:r>
          </w:p>
        </w:tc>
        <w:tc>
          <w:tcPr>
            <w:tcW w:w="6609" w:type="dxa"/>
          </w:tcPr>
          <w:p w14:paraId="3756C5DB" w14:textId="0587BCE1" w:rsidR="0067666A" w:rsidRPr="0031580B" w:rsidRDefault="0031580B" w:rsidP="0031580B">
            <w:pPr>
              <w:ind w:left="360"/>
              <w:rPr>
                <w:rFonts w:cs="Times New Roman"/>
                <w:sz w:val="24"/>
                <w:szCs w:val="24"/>
              </w:rPr>
            </w:pPr>
            <w:r w:rsidRPr="0031580B">
              <w:rPr>
                <w:rFonts w:cs="Times New Roman"/>
                <w:sz w:val="24"/>
                <w:szCs w:val="24"/>
              </w:rPr>
              <w:t>The national security machinery includes the Internal and Community Security forces</w:t>
            </w:r>
          </w:p>
        </w:tc>
      </w:tr>
      <w:tr w:rsidR="0067666A" w:rsidRPr="005323D5" w14:paraId="1C7B6627" w14:textId="16F137E8" w:rsidTr="009C751F">
        <w:trPr>
          <w:trHeight w:val="476"/>
        </w:trPr>
        <w:tc>
          <w:tcPr>
            <w:tcW w:w="7825" w:type="dxa"/>
            <w:vAlign w:val="center"/>
          </w:tcPr>
          <w:p w14:paraId="71B088C2" w14:textId="04C0F2AA" w:rsidR="0067666A" w:rsidRPr="00310815" w:rsidRDefault="0067666A" w:rsidP="00310815">
            <w:pPr>
              <w:jc w:val="center"/>
              <w:rPr>
                <w:rFonts w:cs="Times New Roman"/>
                <w:b/>
                <w:sz w:val="24"/>
                <w:szCs w:val="24"/>
              </w:rPr>
            </w:pPr>
            <w:r w:rsidRPr="00310815">
              <w:rPr>
                <w:rFonts w:cs="Times New Roman"/>
                <w:b/>
                <w:sz w:val="24"/>
                <w:szCs w:val="24"/>
              </w:rPr>
              <w:t>Results Framework:</w:t>
            </w:r>
          </w:p>
        </w:tc>
        <w:tc>
          <w:tcPr>
            <w:tcW w:w="6609" w:type="dxa"/>
          </w:tcPr>
          <w:p w14:paraId="3EFA6E7D" w14:textId="77777777" w:rsidR="0067666A" w:rsidRPr="00310815" w:rsidRDefault="0067666A" w:rsidP="00310815">
            <w:pPr>
              <w:jc w:val="center"/>
              <w:rPr>
                <w:rFonts w:cs="Times New Roman"/>
                <w:b/>
                <w:sz w:val="24"/>
                <w:szCs w:val="24"/>
              </w:rPr>
            </w:pPr>
          </w:p>
        </w:tc>
      </w:tr>
      <w:tr w:rsidR="0067666A" w:rsidRPr="005323D5" w14:paraId="72F6EECF" w14:textId="286D7586" w:rsidTr="009C751F">
        <w:trPr>
          <w:trHeight w:val="476"/>
        </w:trPr>
        <w:tc>
          <w:tcPr>
            <w:tcW w:w="7825" w:type="dxa"/>
            <w:vAlign w:val="center"/>
          </w:tcPr>
          <w:p w14:paraId="623DABDC" w14:textId="17876CCF" w:rsidR="0067666A" w:rsidRPr="00F31228" w:rsidRDefault="0067666A" w:rsidP="00F31228">
            <w:pPr>
              <w:pStyle w:val="ListParagraph"/>
              <w:numPr>
                <w:ilvl w:val="0"/>
                <w:numId w:val="14"/>
              </w:numPr>
              <w:rPr>
                <w:rFonts w:cs="Times New Roman"/>
                <w:sz w:val="24"/>
                <w:szCs w:val="24"/>
              </w:rPr>
            </w:pPr>
            <w:r>
              <w:rPr>
                <w:rFonts w:cs="Times New Roman"/>
                <w:sz w:val="24"/>
                <w:szCs w:val="24"/>
              </w:rPr>
              <w:t>Outcome i</w:t>
            </w:r>
            <w:r w:rsidRPr="00F31228">
              <w:rPr>
                <w:rFonts w:cs="Times New Roman"/>
                <w:sz w:val="24"/>
                <w:szCs w:val="24"/>
              </w:rPr>
              <w:t xml:space="preserve">ndicator 1.1 </w:t>
            </w:r>
            <w:r>
              <w:rPr>
                <w:rFonts w:cs="Times New Roman"/>
                <w:sz w:val="24"/>
                <w:szCs w:val="24"/>
              </w:rPr>
              <w:t>in our view blends two separate indicators into one and should be reviewed if possible.</w:t>
            </w:r>
          </w:p>
        </w:tc>
        <w:tc>
          <w:tcPr>
            <w:tcW w:w="6609" w:type="dxa"/>
          </w:tcPr>
          <w:p w14:paraId="0A424D6E" w14:textId="2B812AF9" w:rsidR="0067666A" w:rsidRPr="00876A3E" w:rsidRDefault="00876A3E" w:rsidP="00876A3E">
            <w:pPr>
              <w:ind w:left="360"/>
              <w:rPr>
                <w:rFonts w:cs="Times New Roman"/>
                <w:sz w:val="24"/>
                <w:szCs w:val="24"/>
              </w:rPr>
            </w:pPr>
            <w:r w:rsidRPr="00876A3E">
              <w:rPr>
                <w:rFonts w:cs="Times New Roman"/>
                <w:sz w:val="24"/>
                <w:szCs w:val="24"/>
              </w:rPr>
              <w:t>This is taken verbatim from the UNSDCF and cannot be changed by UNDP</w:t>
            </w:r>
          </w:p>
        </w:tc>
      </w:tr>
      <w:tr w:rsidR="0067666A" w:rsidRPr="005323D5" w14:paraId="0C1066C1" w14:textId="2CA12DD5" w:rsidTr="009C751F">
        <w:trPr>
          <w:trHeight w:val="476"/>
        </w:trPr>
        <w:tc>
          <w:tcPr>
            <w:tcW w:w="7825" w:type="dxa"/>
            <w:vAlign w:val="center"/>
          </w:tcPr>
          <w:p w14:paraId="6014766F" w14:textId="7C9591BD" w:rsidR="0067666A" w:rsidRDefault="0067666A" w:rsidP="002A20EE">
            <w:pPr>
              <w:pStyle w:val="ListParagraph"/>
              <w:numPr>
                <w:ilvl w:val="0"/>
                <w:numId w:val="14"/>
              </w:numPr>
              <w:rPr>
                <w:rFonts w:cs="Times New Roman"/>
                <w:sz w:val="24"/>
                <w:szCs w:val="24"/>
              </w:rPr>
            </w:pPr>
            <w:r>
              <w:rPr>
                <w:rFonts w:cs="Times New Roman"/>
                <w:sz w:val="24"/>
                <w:szCs w:val="24"/>
              </w:rPr>
              <w:t xml:space="preserve">Output Indicator 1.1.2 is not an effective measurement without further definition of what constitutes a minimum threshold for “infrastructure projects”. In its current wording it subsumes anything from a small playground to a major hospital. Under the previous CPD, the related indicator was further buttressed by sub-indicators. We would welcome similar specification. </w:t>
            </w:r>
          </w:p>
        </w:tc>
        <w:tc>
          <w:tcPr>
            <w:tcW w:w="6609" w:type="dxa"/>
          </w:tcPr>
          <w:p w14:paraId="3E68190C" w14:textId="6FD90BE9" w:rsidR="0067666A" w:rsidRPr="00876A3E" w:rsidRDefault="00876A3E" w:rsidP="00876A3E">
            <w:pPr>
              <w:ind w:left="360"/>
              <w:rPr>
                <w:rFonts w:cs="Times New Roman"/>
                <w:sz w:val="24"/>
                <w:szCs w:val="24"/>
              </w:rPr>
            </w:pPr>
            <w:r w:rsidRPr="00876A3E">
              <w:rPr>
                <w:rFonts w:cs="Times New Roman"/>
                <w:sz w:val="24"/>
                <w:szCs w:val="24"/>
              </w:rPr>
              <w:t xml:space="preserve">We agree and will revisit these with a concrete indicator once state the </w:t>
            </w:r>
            <w:r w:rsidR="00D248FA" w:rsidRPr="00876A3E">
              <w:rPr>
                <w:rFonts w:cs="Times New Roman"/>
                <w:sz w:val="24"/>
                <w:szCs w:val="24"/>
              </w:rPr>
              <w:t>resilience-based</w:t>
            </w:r>
            <w:r w:rsidRPr="00876A3E">
              <w:rPr>
                <w:rFonts w:cs="Times New Roman"/>
                <w:sz w:val="24"/>
                <w:szCs w:val="24"/>
              </w:rPr>
              <w:t xml:space="preserve"> assessment is finished.</w:t>
            </w:r>
          </w:p>
        </w:tc>
      </w:tr>
      <w:tr w:rsidR="0067666A" w:rsidRPr="005323D5" w14:paraId="2AF69055" w14:textId="3A95C4F1" w:rsidTr="009C751F">
        <w:trPr>
          <w:trHeight w:val="476"/>
        </w:trPr>
        <w:tc>
          <w:tcPr>
            <w:tcW w:w="7825" w:type="dxa"/>
            <w:vAlign w:val="center"/>
          </w:tcPr>
          <w:p w14:paraId="14A221C7" w14:textId="012DC4F6" w:rsidR="0067666A" w:rsidRPr="00A457DA" w:rsidRDefault="0067666A" w:rsidP="00A457DA">
            <w:pPr>
              <w:pStyle w:val="ListParagraph"/>
              <w:numPr>
                <w:ilvl w:val="0"/>
                <w:numId w:val="12"/>
              </w:numPr>
              <w:rPr>
                <w:rFonts w:cs="Times New Roman"/>
                <w:sz w:val="24"/>
                <w:szCs w:val="24"/>
              </w:rPr>
            </w:pPr>
            <w:r>
              <w:rPr>
                <w:rFonts w:cs="Times New Roman"/>
                <w:sz w:val="24"/>
                <w:szCs w:val="24"/>
              </w:rPr>
              <w:t>Indicator 2.2.1 under UNSDCF Outcome 2.1 reads like a stabilization measure yet is included under the programmatic area “Growing the economy for all”. Placement should be reviewed/clarified.</w:t>
            </w:r>
          </w:p>
        </w:tc>
        <w:tc>
          <w:tcPr>
            <w:tcW w:w="6609" w:type="dxa"/>
          </w:tcPr>
          <w:p w14:paraId="1EB11464" w14:textId="295983AD" w:rsidR="0067666A" w:rsidRPr="00876A3E" w:rsidRDefault="00876A3E" w:rsidP="00876A3E">
            <w:pPr>
              <w:ind w:left="360"/>
              <w:rPr>
                <w:rFonts w:cs="Times New Roman"/>
                <w:sz w:val="24"/>
                <w:szCs w:val="24"/>
              </w:rPr>
            </w:pPr>
            <w:r w:rsidRPr="00876A3E">
              <w:rPr>
                <w:rFonts w:cs="Times New Roman"/>
                <w:sz w:val="24"/>
                <w:szCs w:val="24"/>
              </w:rPr>
              <w:t>It is both a stabilization measure and one for increasing access to economic assets and livelihoods. We can move to stabilization once the resilience</w:t>
            </w:r>
            <w:r w:rsidR="00E00C2F">
              <w:rPr>
                <w:rFonts w:cs="Times New Roman"/>
                <w:sz w:val="24"/>
                <w:szCs w:val="24"/>
              </w:rPr>
              <w:t>-</w:t>
            </w:r>
            <w:r w:rsidRPr="00876A3E">
              <w:rPr>
                <w:rFonts w:cs="Times New Roman"/>
                <w:sz w:val="24"/>
                <w:szCs w:val="24"/>
              </w:rPr>
              <w:t>based assessment is done.</w:t>
            </w:r>
          </w:p>
        </w:tc>
      </w:tr>
      <w:tr w:rsidR="0067666A" w:rsidRPr="005323D5" w14:paraId="5615C810" w14:textId="0A67F4B5" w:rsidTr="009C751F">
        <w:trPr>
          <w:trHeight w:val="476"/>
        </w:trPr>
        <w:tc>
          <w:tcPr>
            <w:tcW w:w="7825" w:type="dxa"/>
            <w:vAlign w:val="center"/>
          </w:tcPr>
          <w:p w14:paraId="5C3AC7F4" w14:textId="2A1CDC9D" w:rsidR="0067666A" w:rsidRDefault="0067666A" w:rsidP="00310815">
            <w:pPr>
              <w:pStyle w:val="ListParagraph"/>
              <w:numPr>
                <w:ilvl w:val="0"/>
                <w:numId w:val="12"/>
              </w:numPr>
              <w:rPr>
                <w:rFonts w:cs="Times New Roman"/>
                <w:sz w:val="24"/>
                <w:szCs w:val="24"/>
              </w:rPr>
            </w:pPr>
            <w:r w:rsidRPr="00310815">
              <w:rPr>
                <w:rFonts w:cs="Times New Roman"/>
                <w:sz w:val="24"/>
                <w:szCs w:val="24"/>
              </w:rPr>
              <w:t xml:space="preserve">Indicator 3.3.2. </w:t>
            </w:r>
            <w:r>
              <w:rPr>
                <w:rFonts w:cs="Times New Roman"/>
                <w:sz w:val="24"/>
                <w:szCs w:val="24"/>
              </w:rPr>
              <w:t>“</w:t>
            </w:r>
            <w:r w:rsidRPr="00310815">
              <w:rPr>
                <w:rFonts w:cs="Times New Roman"/>
                <w:sz w:val="24"/>
                <w:szCs w:val="24"/>
              </w:rPr>
              <w:t>Number of measures adopted to mitigate corruption risks, disaggregated by national, subnational and/or sector level</w:t>
            </w:r>
            <w:r>
              <w:rPr>
                <w:rFonts w:cs="Times New Roman"/>
                <w:sz w:val="24"/>
                <w:szCs w:val="24"/>
              </w:rPr>
              <w:t>” is insufficiently defined. What is considered a measure here?</w:t>
            </w:r>
          </w:p>
        </w:tc>
        <w:tc>
          <w:tcPr>
            <w:tcW w:w="6609" w:type="dxa"/>
          </w:tcPr>
          <w:p w14:paraId="512375F5" w14:textId="23A0605B" w:rsidR="0067666A" w:rsidRPr="00876A3E" w:rsidRDefault="00876A3E" w:rsidP="00876A3E">
            <w:pPr>
              <w:ind w:left="360"/>
              <w:rPr>
                <w:rFonts w:cs="Times New Roman"/>
                <w:sz w:val="24"/>
                <w:szCs w:val="24"/>
              </w:rPr>
            </w:pPr>
            <w:r w:rsidRPr="00876A3E">
              <w:rPr>
                <w:rFonts w:cs="Times New Roman"/>
                <w:sz w:val="24"/>
                <w:szCs w:val="24"/>
              </w:rPr>
              <w:t>Edited in text</w:t>
            </w:r>
          </w:p>
        </w:tc>
      </w:tr>
      <w:tr w:rsidR="0067666A" w:rsidRPr="005323D5" w14:paraId="40F31528" w14:textId="5871064E" w:rsidTr="009C751F">
        <w:trPr>
          <w:trHeight w:val="476"/>
        </w:trPr>
        <w:tc>
          <w:tcPr>
            <w:tcW w:w="7825" w:type="dxa"/>
            <w:vAlign w:val="center"/>
          </w:tcPr>
          <w:p w14:paraId="4B48BFCE" w14:textId="1A023DB1" w:rsidR="0067666A" w:rsidRPr="00310815" w:rsidRDefault="0067666A" w:rsidP="00310815">
            <w:pPr>
              <w:pStyle w:val="ListParagraph"/>
              <w:numPr>
                <w:ilvl w:val="0"/>
                <w:numId w:val="13"/>
              </w:numPr>
              <w:rPr>
                <w:rFonts w:cs="Times New Roman"/>
                <w:sz w:val="24"/>
                <w:szCs w:val="24"/>
                <w:lang w:val="en-GB"/>
              </w:rPr>
            </w:pPr>
            <w:r w:rsidRPr="00310815">
              <w:rPr>
                <w:rFonts w:cs="Times New Roman"/>
                <w:sz w:val="24"/>
                <w:szCs w:val="24"/>
                <w:lang w:val="en-GB"/>
              </w:rPr>
              <w:t>Indicator</w:t>
            </w:r>
            <w:r>
              <w:rPr>
                <w:rFonts w:cs="Times New Roman"/>
                <w:sz w:val="24"/>
                <w:szCs w:val="24"/>
                <w:lang w:val="en-GB"/>
              </w:rPr>
              <w:t xml:space="preserve">s 1.1.1, 1.2.3, 2.2.2, 3.4.1, and 3.4.2. have gender-disaggregated baselines, but no disaggregated target despite mention </w:t>
            </w:r>
            <w:r>
              <w:rPr>
                <w:rFonts w:cs="Times New Roman"/>
                <w:sz w:val="24"/>
                <w:szCs w:val="24"/>
                <w:lang w:val="en-GB"/>
              </w:rPr>
              <w:lastRenderedPageBreak/>
              <w:t xml:space="preserve">in the indicator itself. This should in our view be specified to ensure sufficient effect for women. </w:t>
            </w:r>
          </w:p>
        </w:tc>
        <w:tc>
          <w:tcPr>
            <w:tcW w:w="6609" w:type="dxa"/>
          </w:tcPr>
          <w:p w14:paraId="030BB110" w14:textId="03DEED7A" w:rsidR="00E00C2F" w:rsidRPr="00E00C2F" w:rsidRDefault="00E00C2F" w:rsidP="00E00C2F">
            <w:pPr>
              <w:tabs>
                <w:tab w:val="left" w:pos="1575"/>
              </w:tabs>
              <w:rPr>
                <w:rFonts w:cs="Times New Roman"/>
                <w:sz w:val="24"/>
                <w:szCs w:val="24"/>
                <w:lang w:val="en-GB"/>
              </w:rPr>
            </w:pPr>
            <w:r w:rsidRPr="00E00C2F">
              <w:rPr>
                <w:rFonts w:cs="Times New Roman"/>
                <w:sz w:val="24"/>
                <w:szCs w:val="24"/>
                <w:lang w:val="en-GB"/>
              </w:rPr>
              <w:lastRenderedPageBreak/>
              <w:t>The targets are gender disaggregated- Comment is noted and we will review this once the resilience assessment is done.</w:t>
            </w:r>
          </w:p>
        </w:tc>
      </w:tr>
    </w:tbl>
    <w:p w14:paraId="005F2B68" w14:textId="77777777" w:rsidR="00E00C2F" w:rsidRDefault="00E00C2F" w:rsidP="00A457DA">
      <w:pPr>
        <w:spacing w:after="0" w:line="240" w:lineRule="auto"/>
        <w:jc w:val="center"/>
        <w:rPr>
          <w:rFonts w:cs="Times New Roman"/>
          <w:sz w:val="24"/>
          <w:szCs w:val="24"/>
        </w:rPr>
      </w:pPr>
    </w:p>
    <w:tbl>
      <w:tblPr>
        <w:tblStyle w:val="TableGrid"/>
        <w:tblW w:w="14434" w:type="dxa"/>
        <w:tblLook w:val="04A0" w:firstRow="1" w:lastRow="0" w:firstColumn="1" w:lastColumn="0" w:noHBand="0" w:noVBand="1"/>
      </w:tblPr>
      <w:tblGrid>
        <w:gridCol w:w="7825"/>
        <w:gridCol w:w="6609"/>
      </w:tblGrid>
      <w:tr w:rsidR="009B0756" w:rsidRPr="005323D5" w14:paraId="217FBD5C" w14:textId="1DC1BA08" w:rsidTr="0082600E">
        <w:trPr>
          <w:trHeight w:val="476"/>
        </w:trPr>
        <w:tc>
          <w:tcPr>
            <w:tcW w:w="7825" w:type="dxa"/>
            <w:shd w:val="clear" w:color="auto" w:fill="BFBFBF" w:themeFill="background1" w:themeFillShade="BF"/>
            <w:vAlign w:val="center"/>
          </w:tcPr>
          <w:p w14:paraId="61CD7148" w14:textId="3576DB71" w:rsidR="009B0756" w:rsidRPr="008F65F4" w:rsidRDefault="009B0756" w:rsidP="00AF16EC">
            <w:pPr>
              <w:jc w:val="center"/>
              <w:rPr>
                <w:rFonts w:ascii="Calibri" w:hAnsi="Calibri" w:cs="Calibri"/>
                <w:b/>
                <w:sz w:val="24"/>
                <w:szCs w:val="24"/>
              </w:rPr>
            </w:pPr>
            <w:r w:rsidRPr="008F65F4">
              <w:rPr>
                <w:rFonts w:ascii="Calibri" w:hAnsi="Calibri" w:cs="Calibri"/>
                <w:b/>
                <w:sz w:val="24"/>
                <w:szCs w:val="24"/>
              </w:rPr>
              <w:t>Comments by</w:t>
            </w:r>
            <w:r>
              <w:rPr>
                <w:rFonts w:ascii="Calibri" w:hAnsi="Calibri" w:cs="Calibri"/>
                <w:b/>
                <w:sz w:val="24"/>
                <w:szCs w:val="24"/>
              </w:rPr>
              <w:t xml:space="preserve"> the UK</w:t>
            </w:r>
          </w:p>
        </w:tc>
        <w:tc>
          <w:tcPr>
            <w:tcW w:w="6609" w:type="dxa"/>
            <w:shd w:val="clear" w:color="auto" w:fill="BFBFBF" w:themeFill="background1" w:themeFillShade="BF"/>
          </w:tcPr>
          <w:p w14:paraId="2C0A87E5" w14:textId="6AF5C575" w:rsidR="009B0756" w:rsidRPr="008F65F4" w:rsidRDefault="009B0756" w:rsidP="00AF16EC">
            <w:pPr>
              <w:jc w:val="center"/>
              <w:rPr>
                <w:rFonts w:ascii="Calibri" w:hAnsi="Calibri" w:cs="Calibri"/>
                <w:b/>
                <w:sz w:val="24"/>
                <w:szCs w:val="24"/>
              </w:rPr>
            </w:pPr>
            <w:r>
              <w:rPr>
                <w:rFonts w:ascii="Calibri" w:hAnsi="Calibri" w:cs="Calibri"/>
                <w:b/>
                <w:sz w:val="24"/>
                <w:szCs w:val="24"/>
              </w:rPr>
              <w:t xml:space="preserve">Country </w:t>
            </w:r>
            <w:r w:rsidR="00947160">
              <w:rPr>
                <w:rFonts w:ascii="Calibri" w:hAnsi="Calibri" w:cs="Calibri"/>
                <w:b/>
                <w:sz w:val="24"/>
                <w:szCs w:val="24"/>
              </w:rPr>
              <w:t>O</w:t>
            </w:r>
            <w:r>
              <w:rPr>
                <w:rFonts w:ascii="Calibri" w:hAnsi="Calibri" w:cs="Calibri"/>
                <w:b/>
                <w:sz w:val="24"/>
                <w:szCs w:val="24"/>
              </w:rPr>
              <w:t>ffice response</w:t>
            </w:r>
          </w:p>
        </w:tc>
      </w:tr>
      <w:tr w:rsidR="00BF2A47" w:rsidRPr="005323D5" w14:paraId="0566080D" w14:textId="2B0C1E81" w:rsidTr="009B0756">
        <w:trPr>
          <w:trHeight w:val="476"/>
        </w:trPr>
        <w:tc>
          <w:tcPr>
            <w:tcW w:w="7825" w:type="dxa"/>
            <w:vAlign w:val="center"/>
          </w:tcPr>
          <w:p w14:paraId="3C9042F8" w14:textId="77777777" w:rsidR="00BF2A47" w:rsidRPr="008F65F4" w:rsidRDefault="00BF2A47" w:rsidP="00AA79AE">
            <w:pPr>
              <w:numPr>
                <w:ilvl w:val="0"/>
                <w:numId w:val="12"/>
              </w:numPr>
              <w:rPr>
                <w:rFonts w:ascii="Calibri" w:eastAsia="Times New Roman" w:hAnsi="Calibri" w:cs="Calibri"/>
                <w:sz w:val="24"/>
                <w:szCs w:val="24"/>
                <w:lang w:eastAsia="en-GB"/>
              </w:rPr>
            </w:pPr>
            <w:r w:rsidRPr="008F65F4">
              <w:rPr>
                <w:rFonts w:ascii="Calibri" w:eastAsia="Times New Roman" w:hAnsi="Calibri" w:cs="Calibri"/>
                <w:sz w:val="24"/>
                <w:szCs w:val="24"/>
                <w:lang w:eastAsia="en-GB"/>
              </w:rPr>
              <w:t>DFID colleagues in Iraq welcomed the opportunity to be consulted in the development of this CPD and DFID believes the overall approach broadly reflects the development needs in the country.</w:t>
            </w:r>
          </w:p>
        </w:tc>
        <w:tc>
          <w:tcPr>
            <w:tcW w:w="6609" w:type="dxa"/>
            <w:vMerge w:val="restart"/>
          </w:tcPr>
          <w:p w14:paraId="0AFB0B31" w14:textId="09952787" w:rsidR="00BF2A47" w:rsidRPr="008F65F4" w:rsidRDefault="00BF2A47" w:rsidP="00BF2A47">
            <w:pPr>
              <w:ind w:left="360"/>
              <w:rPr>
                <w:rFonts w:ascii="Calibri" w:eastAsia="Times New Roman" w:hAnsi="Calibri" w:cs="Calibri"/>
                <w:sz w:val="24"/>
                <w:szCs w:val="24"/>
                <w:lang w:eastAsia="en-GB"/>
              </w:rPr>
            </w:pPr>
            <w:r w:rsidRPr="00BF2A47">
              <w:rPr>
                <w:rFonts w:ascii="Calibri" w:eastAsia="Times New Roman" w:hAnsi="Calibri" w:cs="Calibri"/>
                <w:sz w:val="24"/>
                <w:szCs w:val="24"/>
                <w:lang w:eastAsia="en-GB"/>
              </w:rPr>
              <w:t>This is very much part of the Theory of Change at the heart of the CPD: which reflects the inter-linkages between the different programmatic axis and the Nexus. The assumption is that the improvement on all these aspects would strengthen state legitimacy and forge the way for a new social contract between the citizen and the state while in the meantime the Nexus will provide an important interim basis to move the country’s transition forward.</w:t>
            </w:r>
          </w:p>
        </w:tc>
      </w:tr>
      <w:tr w:rsidR="00BF2A47" w:rsidRPr="005323D5" w14:paraId="26D537C4" w14:textId="5BE8FF7C" w:rsidTr="009B0756">
        <w:trPr>
          <w:trHeight w:val="476"/>
        </w:trPr>
        <w:tc>
          <w:tcPr>
            <w:tcW w:w="7825" w:type="dxa"/>
            <w:vAlign w:val="center"/>
          </w:tcPr>
          <w:p w14:paraId="364F9A0A" w14:textId="77777777" w:rsidR="00BF2A47" w:rsidRPr="008F65F4" w:rsidRDefault="00BF2A47" w:rsidP="00AA79AE">
            <w:pPr>
              <w:numPr>
                <w:ilvl w:val="0"/>
                <w:numId w:val="12"/>
              </w:numPr>
              <w:rPr>
                <w:rFonts w:ascii="Calibri" w:eastAsia="Times New Roman" w:hAnsi="Calibri" w:cs="Calibri"/>
                <w:sz w:val="24"/>
                <w:szCs w:val="24"/>
                <w:lang w:eastAsia="en-GB"/>
              </w:rPr>
            </w:pPr>
            <w:r w:rsidRPr="008F65F4">
              <w:rPr>
                <w:rFonts w:ascii="Calibri" w:eastAsia="Times New Roman" w:hAnsi="Calibri" w:cs="Calibri"/>
                <w:sz w:val="24"/>
                <w:szCs w:val="24"/>
                <w:lang w:eastAsia="en-GB"/>
              </w:rPr>
              <w:t xml:space="preserve">DFID also welcomes </w:t>
            </w:r>
            <w:r w:rsidRPr="008F65F4">
              <w:rPr>
                <w:rFonts w:ascii="Calibri" w:eastAsia="Times New Roman" w:hAnsi="Calibri" w:cs="Calibri"/>
                <w:color w:val="000000"/>
                <w:sz w:val="24"/>
                <w:szCs w:val="24"/>
                <w:lang w:eastAsia="en-GB"/>
              </w:rPr>
              <w:t xml:space="preserve">integration with UNSDCF objectives.  We would like to see a stronger rationale linking strengthened stabilization, diversified pro-poor economic growth, improved governance with accountable institutions, and decreased fragility to climate change with the humanitarian-development-peace nexus and forging a new social contract. </w:t>
            </w:r>
          </w:p>
        </w:tc>
        <w:tc>
          <w:tcPr>
            <w:tcW w:w="6609" w:type="dxa"/>
            <w:vMerge/>
          </w:tcPr>
          <w:p w14:paraId="149E2A17" w14:textId="77777777" w:rsidR="00BF2A47" w:rsidRPr="008F65F4" w:rsidRDefault="00BF2A47" w:rsidP="00947160">
            <w:pPr>
              <w:ind w:left="720"/>
              <w:rPr>
                <w:rFonts w:ascii="Calibri" w:eastAsia="Times New Roman" w:hAnsi="Calibri" w:cs="Calibri"/>
                <w:sz w:val="24"/>
                <w:szCs w:val="24"/>
                <w:lang w:eastAsia="en-GB"/>
              </w:rPr>
            </w:pPr>
          </w:p>
        </w:tc>
      </w:tr>
      <w:tr w:rsidR="009B0756" w:rsidRPr="005323D5" w14:paraId="2DF55AA2" w14:textId="12C1795E" w:rsidTr="00D248FA">
        <w:trPr>
          <w:trHeight w:val="476"/>
        </w:trPr>
        <w:tc>
          <w:tcPr>
            <w:tcW w:w="7825" w:type="dxa"/>
          </w:tcPr>
          <w:p w14:paraId="5CC934A4" w14:textId="77777777" w:rsidR="009B0756" w:rsidRPr="008F65F4" w:rsidRDefault="009B0756" w:rsidP="00AA79AE">
            <w:pPr>
              <w:numPr>
                <w:ilvl w:val="0"/>
                <w:numId w:val="12"/>
              </w:numPr>
              <w:rPr>
                <w:rFonts w:ascii="Calibri" w:hAnsi="Calibri" w:cs="Calibri"/>
                <w:sz w:val="24"/>
                <w:szCs w:val="24"/>
              </w:rPr>
            </w:pPr>
            <w:r w:rsidRPr="008F65F4">
              <w:rPr>
                <w:rFonts w:ascii="Calibri" w:eastAsia="Times New Roman" w:hAnsi="Calibri" w:cs="Calibri"/>
                <w:sz w:val="24"/>
                <w:szCs w:val="24"/>
                <w:lang w:eastAsia="en-GB"/>
              </w:rPr>
              <w:t>The document links service delivery/improvement with the generation of positive conflict related outcomes and greater state legitimacy.  It would be good to understand more about the specific conflict prevention-related outcomes this additional service delivery might bring.  As well as to see some further consideration of how these outcomes could be impacted by improving political processes between key conflict actors.</w:t>
            </w:r>
          </w:p>
        </w:tc>
        <w:tc>
          <w:tcPr>
            <w:tcW w:w="6609" w:type="dxa"/>
          </w:tcPr>
          <w:p w14:paraId="2359C9CA" w14:textId="4A584914" w:rsidR="009B0756" w:rsidRPr="008F65F4" w:rsidRDefault="00C75C1B" w:rsidP="00BF2A47">
            <w:pPr>
              <w:ind w:left="360"/>
              <w:rPr>
                <w:rFonts w:ascii="Calibri" w:eastAsia="Times New Roman" w:hAnsi="Calibri" w:cs="Calibri"/>
                <w:sz w:val="24"/>
                <w:szCs w:val="24"/>
                <w:lang w:eastAsia="en-GB"/>
              </w:rPr>
            </w:pPr>
            <w:r w:rsidRPr="00C75C1B">
              <w:rPr>
                <w:rFonts w:ascii="Calibri" w:eastAsia="Times New Roman" w:hAnsi="Calibri" w:cs="Calibri"/>
                <w:sz w:val="24"/>
                <w:szCs w:val="24"/>
                <w:lang w:eastAsia="en-GB"/>
              </w:rPr>
              <w:t>As now more clearly outlined in the CPD , UNDP works closely  with UNAMI across  a number of key areas such as anti-corruption, social cohesion and other areas which are intended to have further impact on improving political processes and the establishment of a more transparent and inclusive State structure.  At the same time, UNDP will seek to support the appearance of the latter through its Stabilization programme by focusing on areas of hardest return and/or high risk.</w:t>
            </w:r>
          </w:p>
        </w:tc>
      </w:tr>
      <w:tr w:rsidR="009B0756" w:rsidRPr="005323D5" w14:paraId="5A375970" w14:textId="469F1E87" w:rsidTr="00710D98">
        <w:trPr>
          <w:trHeight w:val="4787"/>
        </w:trPr>
        <w:tc>
          <w:tcPr>
            <w:tcW w:w="7825" w:type="dxa"/>
          </w:tcPr>
          <w:p w14:paraId="38A2D7A3" w14:textId="77777777" w:rsidR="009B0756" w:rsidRPr="008F65F4" w:rsidRDefault="009B0756" w:rsidP="00AA79AE">
            <w:pPr>
              <w:numPr>
                <w:ilvl w:val="0"/>
                <w:numId w:val="12"/>
              </w:numPr>
              <w:rPr>
                <w:rFonts w:ascii="Calibri" w:hAnsi="Calibri" w:cs="Calibri"/>
                <w:sz w:val="24"/>
                <w:szCs w:val="24"/>
              </w:rPr>
            </w:pPr>
            <w:r w:rsidRPr="008F65F4">
              <w:rPr>
                <w:rFonts w:ascii="Calibri" w:eastAsia="Times New Roman" w:hAnsi="Calibri" w:cs="Calibri"/>
                <w:sz w:val="24"/>
                <w:szCs w:val="24"/>
                <w:lang w:eastAsia="en-GB"/>
              </w:rPr>
              <w:lastRenderedPageBreak/>
              <w:t xml:space="preserve">The CPD identifies the very fragile environment in Iraq and we would like to see more on the political aspect in relation to stabilisation, including at a local level, reflected in the programmatic elements - recognising the very ‘political’ nature of the proposed interventions themselves.  Reflecting this is the interpretation of </w:t>
            </w:r>
            <w:r w:rsidRPr="008F65F4">
              <w:rPr>
                <w:rFonts w:ascii="Calibri" w:eastAsia="Times New Roman" w:hAnsi="Calibri" w:cs="Calibri"/>
                <w:color w:val="000000"/>
                <w:sz w:val="24"/>
                <w:szCs w:val="24"/>
                <w:lang w:eastAsia="en-GB"/>
              </w:rPr>
              <w:t>corruption, which is quite technocratic and could perhaps benefit from a deeper recognition of the political nature of the system.</w:t>
            </w:r>
          </w:p>
        </w:tc>
        <w:tc>
          <w:tcPr>
            <w:tcW w:w="6609" w:type="dxa"/>
          </w:tcPr>
          <w:p w14:paraId="17FD823B" w14:textId="77777777" w:rsidR="00883550" w:rsidRDefault="004A768D" w:rsidP="00883550">
            <w:pPr>
              <w:ind w:left="360"/>
              <w:rPr>
                <w:rFonts w:ascii="Calibri" w:eastAsia="Times New Roman" w:hAnsi="Calibri" w:cs="Calibri"/>
                <w:sz w:val="24"/>
                <w:szCs w:val="24"/>
                <w:lang w:eastAsia="en-GB"/>
              </w:rPr>
            </w:pPr>
            <w:r w:rsidRPr="004A768D">
              <w:rPr>
                <w:rFonts w:ascii="Calibri" w:eastAsia="Times New Roman" w:hAnsi="Calibri" w:cs="Calibri"/>
                <w:sz w:val="24"/>
                <w:szCs w:val="24"/>
                <w:lang w:eastAsia="en-GB"/>
              </w:rPr>
              <w:t xml:space="preserve">Development is political and more so in fragile conflicts such as Iraq with many different dynamics at central and local level that need to be </w:t>
            </w:r>
            <w:proofErr w:type="gramStart"/>
            <w:r w:rsidRPr="004A768D">
              <w:rPr>
                <w:rFonts w:ascii="Calibri" w:eastAsia="Times New Roman" w:hAnsi="Calibri" w:cs="Calibri"/>
                <w:sz w:val="24"/>
                <w:szCs w:val="24"/>
                <w:lang w:eastAsia="en-GB"/>
              </w:rPr>
              <w:t>taken into account</w:t>
            </w:r>
            <w:proofErr w:type="gramEnd"/>
            <w:r w:rsidRPr="004A768D">
              <w:rPr>
                <w:rFonts w:ascii="Calibri" w:eastAsia="Times New Roman" w:hAnsi="Calibri" w:cs="Calibri"/>
                <w:sz w:val="24"/>
                <w:szCs w:val="24"/>
                <w:lang w:eastAsia="en-GB"/>
              </w:rPr>
              <w:t>.  As per the previous answer, at the local level, UNDP aims to use stabilization/infrastructure initiatives along with specific community initiatives to secure peace dividends for increased social cohesion, decrease tensions and increase state legitimacy.</w:t>
            </w:r>
          </w:p>
          <w:p w14:paraId="6162FA35" w14:textId="048A6AE8" w:rsidR="009B0756" w:rsidRPr="008F65F4" w:rsidRDefault="004A768D" w:rsidP="00883550">
            <w:pPr>
              <w:ind w:left="360"/>
              <w:rPr>
                <w:rFonts w:ascii="Calibri" w:eastAsia="Times New Roman" w:hAnsi="Calibri" w:cs="Calibri"/>
                <w:sz w:val="24"/>
                <w:szCs w:val="24"/>
                <w:lang w:eastAsia="en-GB"/>
              </w:rPr>
            </w:pPr>
            <w:r w:rsidRPr="004A768D">
              <w:rPr>
                <w:rFonts w:ascii="Calibri" w:eastAsia="Times New Roman" w:hAnsi="Calibri" w:cs="Calibri"/>
                <w:sz w:val="24"/>
                <w:szCs w:val="24"/>
                <w:lang w:eastAsia="en-GB"/>
              </w:rPr>
              <w:t xml:space="preserve">At the central level UNDP will pursue a series of initiatives around governance reform, rule of law and anti-corruption in partnership with national counterparts and also UNAMI given its political mandate. The latter partnership will be an important asset in addressing to the extent possible issues of challenges associated with entrenched interests, identifying </w:t>
            </w:r>
            <w:r w:rsidR="00FB5618" w:rsidRPr="004A768D">
              <w:rPr>
                <w:rFonts w:ascii="Calibri" w:eastAsia="Times New Roman" w:hAnsi="Calibri" w:cs="Calibri"/>
                <w:sz w:val="24"/>
                <w:szCs w:val="24"/>
                <w:lang w:eastAsia="en-GB"/>
              </w:rPr>
              <w:t>blockages,</w:t>
            </w:r>
            <w:r w:rsidRPr="004A768D">
              <w:rPr>
                <w:rFonts w:ascii="Calibri" w:eastAsia="Times New Roman" w:hAnsi="Calibri" w:cs="Calibri"/>
                <w:sz w:val="24"/>
                <w:szCs w:val="24"/>
                <w:lang w:eastAsia="en-GB"/>
              </w:rPr>
              <w:t xml:space="preserve"> entry points and designing appropriate strategies/</w:t>
            </w:r>
            <w:r w:rsidR="00E945F2" w:rsidRPr="004A768D">
              <w:rPr>
                <w:rFonts w:ascii="Calibri" w:eastAsia="Times New Roman" w:hAnsi="Calibri" w:cs="Calibri"/>
                <w:sz w:val="24"/>
                <w:szCs w:val="24"/>
                <w:lang w:eastAsia="en-GB"/>
              </w:rPr>
              <w:t>initiatives.</w:t>
            </w:r>
          </w:p>
        </w:tc>
      </w:tr>
      <w:tr w:rsidR="009B0756" w:rsidRPr="005323D5" w14:paraId="3C3AD599" w14:textId="2D25A2F0" w:rsidTr="00710D98">
        <w:trPr>
          <w:trHeight w:val="476"/>
        </w:trPr>
        <w:tc>
          <w:tcPr>
            <w:tcW w:w="7825" w:type="dxa"/>
          </w:tcPr>
          <w:p w14:paraId="186EF3A2" w14:textId="77777777" w:rsidR="009B0756" w:rsidRPr="008F65F4" w:rsidRDefault="009B0756" w:rsidP="00AA79AE">
            <w:pPr>
              <w:numPr>
                <w:ilvl w:val="0"/>
                <w:numId w:val="12"/>
              </w:numPr>
              <w:rPr>
                <w:rFonts w:ascii="Calibri" w:eastAsia="Times New Roman" w:hAnsi="Calibri" w:cs="Calibri"/>
                <w:sz w:val="24"/>
                <w:szCs w:val="24"/>
                <w:lang w:eastAsia="en-GB"/>
              </w:rPr>
            </w:pPr>
            <w:r w:rsidRPr="008F65F4">
              <w:rPr>
                <w:rFonts w:ascii="Calibri" w:eastAsia="Times New Roman" w:hAnsi="Calibri" w:cs="Calibri"/>
                <w:sz w:val="24"/>
                <w:szCs w:val="24"/>
                <w:lang w:eastAsia="en-GB"/>
              </w:rPr>
              <w:t>More specifically it would be good to see additional content on:</w:t>
            </w:r>
          </w:p>
          <w:p w14:paraId="73854E70" w14:textId="77777777" w:rsidR="009B0756" w:rsidRPr="008F65F4" w:rsidRDefault="009B0756" w:rsidP="00AA79AE">
            <w:pPr>
              <w:numPr>
                <w:ilvl w:val="1"/>
                <w:numId w:val="12"/>
              </w:numPr>
              <w:rPr>
                <w:rFonts w:ascii="Calibri" w:eastAsia="Times New Roman" w:hAnsi="Calibri" w:cs="Calibri"/>
                <w:sz w:val="24"/>
                <w:szCs w:val="24"/>
                <w:lang w:eastAsia="en-GB"/>
              </w:rPr>
            </w:pPr>
            <w:r w:rsidRPr="008F65F4">
              <w:rPr>
                <w:rFonts w:ascii="Calibri" w:eastAsia="Times New Roman" w:hAnsi="Calibri" w:cs="Calibri"/>
                <w:sz w:val="24"/>
                <w:szCs w:val="24"/>
                <w:lang w:eastAsia="en-GB"/>
              </w:rPr>
              <w:t>What peacebuilding/political stabilisation programming could support wider efforts to strengthen the state</w:t>
            </w:r>
          </w:p>
          <w:p w14:paraId="5C1F0E8E" w14:textId="77777777" w:rsidR="009B0756" w:rsidRPr="008F65F4" w:rsidRDefault="009B0756" w:rsidP="00AA79AE">
            <w:pPr>
              <w:numPr>
                <w:ilvl w:val="1"/>
                <w:numId w:val="12"/>
              </w:numPr>
              <w:rPr>
                <w:rFonts w:ascii="Calibri" w:eastAsia="Times New Roman" w:hAnsi="Calibri" w:cs="Calibri"/>
                <w:sz w:val="24"/>
                <w:szCs w:val="24"/>
                <w:lang w:eastAsia="en-GB"/>
              </w:rPr>
            </w:pPr>
            <w:r w:rsidRPr="008F65F4">
              <w:rPr>
                <w:rFonts w:ascii="Calibri" w:eastAsia="Times New Roman" w:hAnsi="Calibri" w:cs="Calibri"/>
                <w:sz w:val="24"/>
                <w:szCs w:val="24"/>
                <w:lang w:eastAsia="en-GB"/>
              </w:rPr>
              <w:t xml:space="preserve">What UNDP are doing to address short- and longer-term conflict </w:t>
            </w:r>
            <w:proofErr w:type="gramStart"/>
            <w:r w:rsidRPr="008F65F4">
              <w:rPr>
                <w:rFonts w:ascii="Calibri" w:eastAsia="Times New Roman" w:hAnsi="Calibri" w:cs="Calibri"/>
                <w:sz w:val="24"/>
                <w:szCs w:val="24"/>
                <w:lang w:eastAsia="en-GB"/>
              </w:rPr>
              <w:t>flash-points</w:t>
            </w:r>
            <w:proofErr w:type="gramEnd"/>
            <w:r w:rsidRPr="008F65F4">
              <w:rPr>
                <w:rFonts w:ascii="Calibri" w:eastAsia="Times New Roman" w:hAnsi="Calibri" w:cs="Calibri"/>
                <w:sz w:val="24"/>
                <w:szCs w:val="24"/>
                <w:lang w:eastAsia="en-GB"/>
              </w:rPr>
              <w:t>/drivers</w:t>
            </w:r>
          </w:p>
          <w:p w14:paraId="2E7E3EC5" w14:textId="77777777" w:rsidR="009B0756" w:rsidRPr="008F65F4" w:rsidRDefault="009B0756" w:rsidP="00AA79AE">
            <w:pPr>
              <w:numPr>
                <w:ilvl w:val="1"/>
                <w:numId w:val="12"/>
              </w:numPr>
              <w:rPr>
                <w:rFonts w:ascii="Calibri" w:hAnsi="Calibri" w:cs="Calibri"/>
                <w:sz w:val="24"/>
                <w:szCs w:val="24"/>
              </w:rPr>
            </w:pPr>
            <w:r w:rsidRPr="008F65F4">
              <w:rPr>
                <w:rFonts w:ascii="Calibri" w:eastAsia="Times New Roman" w:hAnsi="Calibri" w:cs="Calibri"/>
                <w:color w:val="000000"/>
                <w:sz w:val="24"/>
                <w:szCs w:val="24"/>
                <w:lang w:eastAsia="en-GB"/>
              </w:rPr>
              <w:t xml:space="preserve">How the programme will seek to build national ownership and capacity </w:t>
            </w:r>
          </w:p>
        </w:tc>
        <w:tc>
          <w:tcPr>
            <w:tcW w:w="6609" w:type="dxa"/>
          </w:tcPr>
          <w:p w14:paraId="3960092F" w14:textId="77777777" w:rsidR="00783C1E" w:rsidRPr="00783C1E" w:rsidRDefault="00783C1E" w:rsidP="00783C1E">
            <w:pPr>
              <w:ind w:left="436"/>
              <w:rPr>
                <w:rFonts w:ascii="Calibri" w:eastAsia="Times New Roman" w:hAnsi="Calibri" w:cs="Calibri"/>
                <w:sz w:val="24"/>
                <w:szCs w:val="24"/>
                <w:lang w:eastAsia="en-GB"/>
              </w:rPr>
            </w:pPr>
            <w:r w:rsidRPr="00783C1E">
              <w:rPr>
                <w:rFonts w:ascii="Calibri" w:eastAsia="Times New Roman" w:hAnsi="Calibri" w:cs="Calibri"/>
                <w:sz w:val="24"/>
                <w:szCs w:val="24"/>
                <w:lang w:eastAsia="en-GB"/>
              </w:rPr>
              <w:t>All programming activities in the next CPD will be prioritized and implemented based on a conflict-analysis assessment, with the lens of strengthening state legitimacy and decreasing conflict triggers. In addition to the key programmatic aspects outlined above, UNDP is also finalizing a resilience-based needs assessment that has identified governorates that represent a number of conflict-triggers. These are in particular the ISIL liberated areas, Southern Governorates and the Baghdad Belt.  UNDP will also conduct conflict development analysis for different regions to examine conflict triggers and mainstream these in programming.</w:t>
            </w:r>
          </w:p>
          <w:p w14:paraId="0E0BD62B" w14:textId="7A008D9A" w:rsidR="00783C1E" w:rsidRPr="00783C1E" w:rsidRDefault="00783C1E" w:rsidP="00783C1E">
            <w:pPr>
              <w:ind w:left="720"/>
              <w:rPr>
                <w:rFonts w:ascii="Calibri" w:eastAsia="Times New Roman" w:hAnsi="Calibri" w:cs="Calibri"/>
                <w:sz w:val="24"/>
                <w:szCs w:val="24"/>
                <w:lang w:eastAsia="en-GB"/>
              </w:rPr>
            </w:pPr>
            <w:r w:rsidRPr="00783C1E">
              <w:rPr>
                <w:rFonts w:ascii="Calibri" w:eastAsia="Times New Roman" w:hAnsi="Calibri" w:cs="Calibri"/>
                <w:sz w:val="24"/>
                <w:szCs w:val="24"/>
                <w:lang w:eastAsia="en-GB"/>
              </w:rPr>
              <w:t xml:space="preserve">Strengthening and expanding support for Governorates in the South and the Baghdad belt represents </w:t>
            </w:r>
            <w:r w:rsidR="00FB5618" w:rsidRPr="00783C1E">
              <w:rPr>
                <w:rFonts w:ascii="Calibri" w:eastAsia="Times New Roman" w:hAnsi="Calibri" w:cs="Calibri"/>
                <w:sz w:val="24"/>
                <w:szCs w:val="24"/>
                <w:lang w:eastAsia="en-GB"/>
              </w:rPr>
              <w:t>a major</w:t>
            </w:r>
            <w:r w:rsidRPr="00783C1E">
              <w:rPr>
                <w:rFonts w:ascii="Calibri" w:eastAsia="Times New Roman" w:hAnsi="Calibri" w:cs="Calibri"/>
                <w:sz w:val="24"/>
                <w:szCs w:val="24"/>
                <w:lang w:eastAsia="en-GB"/>
              </w:rPr>
              <w:t xml:space="preserve"> new front for UNDP in Iraq that addresses regions with known </w:t>
            </w:r>
            <w:r w:rsidRPr="00783C1E">
              <w:rPr>
                <w:rFonts w:ascii="Calibri" w:eastAsia="Times New Roman" w:hAnsi="Calibri" w:cs="Calibri"/>
                <w:sz w:val="24"/>
                <w:szCs w:val="24"/>
                <w:lang w:eastAsia="en-GB"/>
              </w:rPr>
              <w:lastRenderedPageBreak/>
              <w:t xml:space="preserve">and significance grievances in term of developmental </w:t>
            </w:r>
            <w:r w:rsidR="00E945F2" w:rsidRPr="00783C1E">
              <w:rPr>
                <w:rFonts w:ascii="Calibri" w:eastAsia="Times New Roman" w:hAnsi="Calibri" w:cs="Calibri"/>
                <w:sz w:val="24"/>
                <w:szCs w:val="24"/>
                <w:lang w:eastAsia="en-GB"/>
              </w:rPr>
              <w:t>challenges,</w:t>
            </w:r>
            <w:r w:rsidRPr="00783C1E">
              <w:rPr>
                <w:rFonts w:ascii="Calibri" w:eastAsia="Times New Roman" w:hAnsi="Calibri" w:cs="Calibri"/>
                <w:sz w:val="24"/>
                <w:szCs w:val="24"/>
                <w:lang w:eastAsia="en-GB"/>
              </w:rPr>
              <w:t xml:space="preserve"> poor services and lack of inclusion. </w:t>
            </w:r>
            <w:r w:rsidR="00FB5618" w:rsidRPr="00783C1E">
              <w:rPr>
                <w:rFonts w:ascii="Calibri" w:eastAsia="Times New Roman" w:hAnsi="Calibri" w:cs="Calibri"/>
                <w:sz w:val="24"/>
                <w:szCs w:val="24"/>
                <w:lang w:eastAsia="en-GB"/>
              </w:rPr>
              <w:t>Strengthening Governorates</w:t>
            </w:r>
            <w:r w:rsidRPr="00783C1E">
              <w:rPr>
                <w:rFonts w:ascii="Calibri" w:eastAsia="Times New Roman" w:hAnsi="Calibri" w:cs="Calibri"/>
                <w:sz w:val="24"/>
                <w:szCs w:val="24"/>
                <w:lang w:eastAsia="en-GB"/>
              </w:rPr>
              <w:t xml:space="preserve"> in these regions </w:t>
            </w:r>
            <w:r w:rsidR="00E945F2" w:rsidRPr="00783C1E">
              <w:rPr>
                <w:rFonts w:ascii="Calibri" w:eastAsia="Times New Roman" w:hAnsi="Calibri" w:cs="Calibri"/>
                <w:sz w:val="24"/>
                <w:szCs w:val="24"/>
                <w:lang w:eastAsia="en-GB"/>
              </w:rPr>
              <w:t>will be</w:t>
            </w:r>
            <w:r w:rsidRPr="00783C1E">
              <w:rPr>
                <w:rFonts w:ascii="Calibri" w:eastAsia="Times New Roman" w:hAnsi="Calibri" w:cs="Calibri"/>
                <w:sz w:val="24"/>
                <w:szCs w:val="24"/>
                <w:lang w:eastAsia="en-GB"/>
              </w:rPr>
              <w:t xml:space="preserve"> </w:t>
            </w:r>
            <w:proofErr w:type="gramStart"/>
            <w:r w:rsidRPr="00783C1E">
              <w:rPr>
                <w:rFonts w:ascii="Calibri" w:eastAsia="Times New Roman" w:hAnsi="Calibri" w:cs="Calibri"/>
                <w:sz w:val="24"/>
                <w:szCs w:val="24"/>
                <w:lang w:eastAsia="en-GB"/>
              </w:rPr>
              <w:t>a  major</w:t>
            </w:r>
            <w:proofErr w:type="gramEnd"/>
            <w:r w:rsidRPr="00783C1E">
              <w:rPr>
                <w:rFonts w:ascii="Calibri" w:eastAsia="Times New Roman" w:hAnsi="Calibri" w:cs="Calibri"/>
                <w:sz w:val="24"/>
                <w:szCs w:val="24"/>
                <w:lang w:eastAsia="en-GB"/>
              </w:rPr>
              <w:t xml:space="preserve"> contribution to strengthening a  more effective and inclusive State.</w:t>
            </w:r>
          </w:p>
          <w:p w14:paraId="17E8A94E" w14:textId="36E8C676" w:rsidR="009B0756" w:rsidRPr="008F65F4" w:rsidRDefault="00783C1E" w:rsidP="00783C1E">
            <w:pPr>
              <w:ind w:left="720"/>
              <w:rPr>
                <w:rFonts w:ascii="Calibri" w:eastAsia="Times New Roman" w:hAnsi="Calibri" w:cs="Calibri"/>
                <w:sz w:val="24"/>
                <w:szCs w:val="24"/>
                <w:lang w:eastAsia="en-GB"/>
              </w:rPr>
            </w:pPr>
            <w:r w:rsidRPr="00783C1E">
              <w:rPr>
                <w:rFonts w:ascii="Calibri" w:eastAsia="Times New Roman" w:hAnsi="Calibri" w:cs="Calibri"/>
                <w:sz w:val="24"/>
                <w:szCs w:val="24"/>
                <w:lang w:eastAsia="en-GB"/>
              </w:rPr>
              <w:t>UNDP will build national capacities through all its programming interventions, including training of government officials at the national and sub-national levels, strengthening national civil society organizations, and national private sector agencies. This includes in-the-job training and mentoring, as well as formal training and twinning.</w:t>
            </w:r>
          </w:p>
        </w:tc>
      </w:tr>
      <w:tr w:rsidR="009B0756" w:rsidRPr="005323D5" w14:paraId="67FF2C99" w14:textId="53B3E030" w:rsidTr="00710D98">
        <w:trPr>
          <w:trHeight w:val="2780"/>
        </w:trPr>
        <w:tc>
          <w:tcPr>
            <w:tcW w:w="7825" w:type="dxa"/>
          </w:tcPr>
          <w:p w14:paraId="382113BE" w14:textId="77777777" w:rsidR="009B0756" w:rsidRPr="008F65F4" w:rsidRDefault="009B0756" w:rsidP="00AA79AE">
            <w:pPr>
              <w:numPr>
                <w:ilvl w:val="0"/>
                <w:numId w:val="12"/>
              </w:numPr>
              <w:rPr>
                <w:rFonts w:ascii="Calibri" w:hAnsi="Calibri" w:cs="Calibri"/>
                <w:sz w:val="24"/>
                <w:szCs w:val="24"/>
              </w:rPr>
            </w:pPr>
            <w:r w:rsidRPr="008F65F4">
              <w:rPr>
                <w:rFonts w:ascii="Calibri" w:eastAsia="Times New Roman" w:hAnsi="Calibri" w:cs="Calibri"/>
                <w:sz w:val="24"/>
                <w:szCs w:val="24"/>
                <w:lang w:eastAsia="en-GB"/>
              </w:rPr>
              <w:lastRenderedPageBreak/>
              <w:t xml:space="preserve">We would suggest that the document is more clearly prioritised as well as including more description of how UNDP will maximise synergies with the work of other agencies.  </w:t>
            </w:r>
            <w:r w:rsidRPr="008F65F4">
              <w:rPr>
                <w:rFonts w:ascii="Calibri" w:eastAsia="Times New Roman" w:hAnsi="Calibri" w:cs="Calibri"/>
                <w:color w:val="000000"/>
                <w:sz w:val="24"/>
                <w:szCs w:val="24"/>
                <w:lang w:eastAsia="en-GB"/>
              </w:rPr>
              <w:t xml:space="preserve">For example, it mentions </w:t>
            </w:r>
            <w:r w:rsidRPr="008F65F4">
              <w:rPr>
                <w:rFonts w:ascii="Calibri" w:eastAsia="Times New Roman" w:hAnsi="Calibri" w:cs="Calibri"/>
                <w:sz w:val="24"/>
                <w:szCs w:val="24"/>
                <w:lang w:eastAsia="en-GB"/>
              </w:rPr>
              <w:t xml:space="preserve">that UNDP will seek </w:t>
            </w:r>
            <w:r w:rsidRPr="008F65F4">
              <w:rPr>
                <w:rFonts w:ascii="Calibri" w:eastAsia="Times New Roman" w:hAnsi="Calibri" w:cs="Calibri"/>
                <w:color w:val="000000"/>
                <w:sz w:val="24"/>
                <w:szCs w:val="24"/>
                <w:lang w:eastAsia="en-GB"/>
              </w:rPr>
              <w:t>technical collaboration with other agencies, but we would like to see this strengthened, perhaps with more on past collaborations, including on projects centred on conflict prevention and peacebuilding.</w:t>
            </w:r>
          </w:p>
        </w:tc>
        <w:tc>
          <w:tcPr>
            <w:tcW w:w="6609" w:type="dxa"/>
          </w:tcPr>
          <w:p w14:paraId="36AC7CE3" w14:textId="58EF53B7" w:rsidR="009B0756" w:rsidRPr="008F65F4" w:rsidRDefault="003918A2" w:rsidP="003918A2">
            <w:pPr>
              <w:ind w:left="720"/>
              <w:rPr>
                <w:rFonts w:ascii="Calibri" w:eastAsia="Times New Roman" w:hAnsi="Calibri" w:cs="Calibri"/>
                <w:sz w:val="24"/>
                <w:szCs w:val="24"/>
                <w:lang w:eastAsia="en-GB"/>
              </w:rPr>
            </w:pPr>
            <w:r w:rsidRPr="003918A2">
              <w:rPr>
                <w:rFonts w:ascii="Calibri" w:eastAsia="Times New Roman" w:hAnsi="Calibri" w:cs="Calibri"/>
                <w:sz w:val="24"/>
                <w:szCs w:val="24"/>
                <w:lang w:eastAsia="en-GB"/>
              </w:rPr>
              <w:t xml:space="preserve">Implementation of the new CPD very much focuses on additional partnerships with UN agencies within the framework of the UNSDCF and based on comparative advantages. On social cohesion, for example, UNDP already agreed with UNAMI and IOM on a joint coordination structure; on crisis prevention- with WFP and UNICEF; on rural development- with FAO and UN-Habitat. UNAMI will be </w:t>
            </w:r>
            <w:r w:rsidR="00FB5618" w:rsidRPr="003918A2">
              <w:rPr>
                <w:rFonts w:ascii="Calibri" w:eastAsia="Times New Roman" w:hAnsi="Calibri" w:cs="Calibri"/>
                <w:sz w:val="24"/>
                <w:szCs w:val="24"/>
                <w:lang w:eastAsia="en-GB"/>
              </w:rPr>
              <w:t>a central</w:t>
            </w:r>
            <w:r w:rsidRPr="003918A2">
              <w:rPr>
                <w:rFonts w:ascii="Calibri" w:eastAsia="Times New Roman" w:hAnsi="Calibri" w:cs="Calibri"/>
                <w:sz w:val="24"/>
                <w:szCs w:val="24"/>
                <w:lang w:eastAsia="en-GB"/>
              </w:rPr>
              <w:t xml:space="preserve"> partner as outlined several times above.</w:t>
            </w:r>
          </w:p>
        </w:tc>
      </w:tr>
      <w:tr w:rsidR="009B0756" w:rsidRPr="005323D5" w14:paraId="2924EDBF" w14:textId="123FD614" w:rsidTr="009B0756">
        <w:trPr>
          <w:trHeight w:val="476"/>
        </w:trPr>
        <w:tc>
          <w:tcPr>
            <w:tcW w:w="7825" w:type="dxa"/>
            <w:vAlign w:val="center"/>
          </w:tcPr>
          <w:p w14:paraId="435EDBD9" w14:textId="77777777" w:rsidR="009B0756" w:rsidRPr="008F65F4" w:rsidRDefault="009B0756" w:rsidP="00AA79AE">
            <w:pPr>
              <w:numPr>
                <w:ilvl w:val="0"/>
                <w:numId w:val="12"/>
              </w:numPr>
              <w:rPr>
                <w:rFonts w:ascii="Calibri" w:eastAsia="Times New Roman" w:hAnsi="Calibri" w:cs="Calibri"/>
                <w:sz w:val="24"/>
                <w:szCs w:val="24"/>
                <w:lang w:eastAsia="en-GB"/>
              </w:rPr>
            </w:pPr>
            <w:r w:rsidRPr="008F65F4">
              <w:rPr>
                <w:rFonts w:ascii="Calibri" w:eastAsia="Times New Roman" w:hAnsi="Calibri" w:cs="Calibri"/>
                <w:sz w:val="24"/>
                <w:szCs w:val="24"/>
                <w:lang w:eastAsia="en-GB"/>
              </w:rPr>
              <w:t>To assist with this, and as a more general point, we feel DFID country offices would welcome the opportunity to see a ‘package’ of UN CPDs at the same time to be able to pick up any overlaps and maximise synergies.</w:t>
            </w:r>
          </w:p>
        </w:tc>
        <w:tc>
          <w:tcPr>
            <w:tcW w:w="6609" w:type="dxa"/>
          </w:tcPr>
          <w:p w14:paraId="360466ED" w14:textId="77777777" w:rsidR="009B0756" w:rsidRPr="008F65F4" w:rsidRDefault="009B0756" w:rsidP="002A1B7F">
            <w:pPr>
              <w:ind w:left="720"/>
              <w:rPr>
                <w:rFonts w:ascii="Calibri" w:eastAsia="Times New Roman" w:hAnsi="Calibri" w:cs="Calibri"/>
                <w:sz w:val="24"/>
                <w:szCs w:val="24"/>
                <w:lang w:eastAsia="en-GB"/>
              </w:rPr>
            </w:pPr>
          </w:p>
        </w:tc>
      </w:tr>
    </w:tbl>
    <w:p w14:paraId="49A53DE9" w14:textId="3A8216A8" w:rsidR="00A376E5" w:rsidRDefault="00A376E5" w:rsidP="00AA79AE">
      <w:pPr>
        <w:spacing w:after="0" w:line="240" w:lineRule="auto"/>
        <w:rPr>
          <w:rFonts w:cs="Times New Roman"/>
          <w:sz w:val="24"/>
          <w:szCs w:val="24"/>
        </w:rPr>
      </w:pPr>
    </w:p>
    <w:p w14:paraId="2BABF9B5" w14:textId="77777777" w:rsidR="00A376E5" w:rsidRDefault="00A376E5">
      <w:pPr>
        <w:rPr>
          <w:rFonts w:cs="Times New Roman"/>
          <w:sz w:val="24"/>
          <w:szCs w:val="24"/>
        </w:rPr>
      </w:pPr>
      <w:r>
        <w:rPr>
          <w:rFonts w:cs="Times New Roman"/>
          <w:sz w:val="24"/>
          <w:szCs w:val="24"/>
        </w:rPr>
        <w:br w:type="page"/>
      </w:r>
    </w:p>
    <w:tbl>
      <w:tblPr>
        <w:tblStyle w:val="TableGrid"/>
        <w:tblW w:w="14434" w:type="dxa"/>
        <w:tblLook w:val="04A0" w:firstRow="1" w:lastRow="0" w:firstColumn="1" w:lastColumn="0" w:noHBand="0" w:noVBand="1"/>
      </w:tblPr>
      <w:tblGrid>
        <w:gridCol w:w="7355"/>
        <w:gridCol w:w="7079"/>
      </w:tblGrid>
      <w:tr w:rsidR="006F44BD" w:rsidRPr="005323D5" w14:paraId="70A9B6BD" w14:textId="1F9CA022" w:rsidTr="0082600E">
        <w:trPr>
          <w:trHeight w:val="476"/>
        </w:trPr>
        <w:tc>
          <w:tcPr>
            <w:tcW w:w="7355" w:type="dxa"/>
            <w:shd w:val="clear" w:color="auto" w:fill="BFBFBF" w:themeFill="background1" w:themeFillShade="BF"/>
            <w:vAlign w:val="center"/>
          </w:tcPr>
          <w:p w14:paraId="78625D7F" w14:textId="5956D9F5" w:rsidR="006F44BD" w:rsidRPr="00A457DA" w:rsidRDefault="006F44BD" w:rsidP="00AF16EC">
            <w:pPr>
              <w:jc w:val="center"/>
              <w:rPr>
                <w:rFonts w:cs="Times New Roman"/>
                <w:b/>
                <w:sz w:val="24"/>
                <w:szCs w:val="24"/>
              </w:rPr>
            </w:pPr>
            <w:r w:rsidRPr="00534E03">
              <w:rPr>
                <w:rFonts w:cs="Times New Roman"/>
                <w:b/>
                <w:sz w:val="24"/>
                <w:szCs w:val="24"/>
              </w:rPr>
              <w:lastRenderedPageBreak/>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Finland</w:t>
            </w:r>
          </w:p>
        </w:tc>
        <w:tc>
          <w:tcPr>
            <w:tcW w:w="7079" w:type="dxa"/>
            <w:shd w:val="clear" w:color="auto" w:fill="BFBFBF" w:themeFill="background1" w:themeFillShade="BF"/>
          </w:tcPr>
          <w:p w14:paraId="56B7FEB5" w14:textId="34B8527F" w:rsidR="006F44BD" w:rsidRPr="00534E03" w:rsidRDefault="006F44BD" w:rsidP="00AF16EC">
            <w:pPr>
              <w:jc w:val="center"/>
              <w:rPr>
                <w:rFonts w:cs="Times New Roman"/>
                <w:b/>
                <w:sz w:val="24"/>
                <w:szCs w:val="24"/>
              </w:rPr>
            </w:pPr>
            <w:r w:rsidRPr="006F44BD">
              <w:rPr>
                <w:rFonts w:cs="Times New Roman"/>
                <w:b/>
                <w:sz w:val="24"/>
                <w:szCs w:val="24"/>
              </w:rPr>
              <w:t>Country Office response</w:t>
            </w:r>
          </w:p>
        </w:tc>
      </w:tr>
      <w:tr w:rsidR="006F44BD" w:rsidRPr="005323D5" w14:paraId="29CDF9A0" w14:textId="46DD69EA" w:rsidTr="00710D98">
        <w:trPr>
          <w:trHeight w:val="5363"/>
        </w:trPr>
        <w:tc>
          <w:tcPr>
            <w:tcW w:w="7355" w:type="dxa"/>
          </w:tcPr>
          <w:p w14:paraId="39D45630" w14:textId="77777777" w:rsidR="006F44BD" w:rsidRDefault="006F44BD" w:rsidP="006F44BD">
            <w:pPr>
              <w:pStyle w:val="ListParagraph"/>
              <w:numPr>
                <w:ilvl w:val="0"/>
                <w:numId w:val="12"/>
              </w:numPr>
              <w:rPr>
                <w:rFonts w:cs="Times New Roman"/>
                <w:sz w:val="24"/>
                <w:szCs w:val="24"/>
              </w:rPr>
            </w:pPr>
            <w:r>
              <w:rPr>
                <w:rFonts w:cs="Times New Roman"/>
                <w:sz w:val="24"/>
                <w:szCs w:val="24"/>
              </w:rPr>
              <w:t xml:space="preserve">CPD Section IV: Monitoring and Evaluation, based on the costed evaluation plan, consider elaborating on: </w:t>
            </w:r>
          </w:p>
          <w:p w14:paraId="21FB4E13" w14:textId="77777777" w:rsidR="006F44BD" w:rsidRDefault="006F44BD" w:rsidP="006F44BD">
            <w:pPr>
              <w:pStyle w:val="ListParagraph"/>
              <w:numPr>
                <w:ilvl w:val="1"/>
                <w:numId w:val="12"/>
              </w:numPr>
              <w:rPr>
                <w:rFonts w:cs="Times New Roman"/>
                <w:sz w:val="24"/>
                <w:szCs w:val="24"/>
              </w:rPr>
            </w:pPr>
            <w:r>
              <w:rPr>
                <w:rFonts w:cs="Times New Roman"/>
                <w:sz w:val="24"/>
                <w:szCs w:val="24"/>
              </w:rPr>
              <w:t xml:space="preserve">How will the planned evaluations serve accountability and learning? What will be produced? How will they be used for </w:t>
            </w:r>
            <w:r w:rsidRPr="002D792C">
              <w:rPr>
                <w:rFonts w:cs="Times New Roman"/>
                <w:sz w:val="24"/>
                <w:szCs w:val="24"/>
              </w:rPr>
              <w:t>decision-making, documenting lessons learned and knowledge sharing</w:t>
            </w:r>
            <w:r>
              <w:rPr>
                <w:rFonts w:cs="Times New Roman"/>
                <w:sz w:val="24"/>
                <w:szCs w:val="24"/>
              </w:rPr>
              <w:t>?</w:t>
            </w:r>
          </w:p>
          <w:p w14:paraId="40EEF230" w14:textId="77777777" w:rsidR="006F44BD" w:rsidRPr="00534E03" w:rsidRDefault="006F44BD" w:rsidP="006F44BD">
            <w:pPr>
              <w:pStyle w:val="ListParagraph"/>
              <w:numPr>
                <w:ilvl w:val="1"/>
                <w:numId w:val="12"/>
              </w:numPr>
              <w:rPr>
                <w:rFonts w:cs="Times New Roman"/>
                <w:sz w:val="24"/>
                <w:szCs w:val="24"/>
              </w:rPr>
            </w:pPr>
            <w:r>
              <w:rPr>
                <w:rFonts w:cs="Times New Roman"/>
                <w:sz w:val="24"/>
                <w:szCs w:val="24"/>
              </w:rPr>
              <w:t xml:space="preserve">What share of the programme budget will be spent on M&amp;E? </w:t>
            </w:r>
          </w:p>
        </w:tc>
        <w:tc>
          <w:tcPr>
            <w:tcW w:w="7079" w:type="dxa"/>
          </w:tcPr>
          <w:p w14:paraId="5D3AF7B7" w14:textId="77777777" w:rsidR="00710D98" w:rsidRPr="00710D98" w:rsidRDefault="00710D98" w:rsidP="00710D98">
            <w:pPr>
              <w:pStyle w:val="ListParagraph"/>
              <w:rPr>
                <w:rFonts w:cs="Times New Roman"/>
                <w:sz w:val="24"/>
                <w:szCs w:val="24"/>
              </w:rPr>
            </w:pPr>
            <w:r w:rsidRPr="00710D98">
              <w:rPr>
                <w:rFonts w:cs="Times New Roman"/>
                <w:sz w:val="24"/>
                <w:szCs w:val="24"/>
              </w:rPr>
              <w:t xml:space="preserve">Evaluations are already a regular feature of managing initiatives and using lesson learned for development of new initiatives.  Depending on the type of the programme/project M&amp;E costs vary between 0.5-1% of programme budget. For example, a minimum of 1% is spent on monitoring implementation in stabilization programming </w:t>
            </w:r>
            <w:proofErr w:type="gramStart"/>
            <w:r w:rsidRPr="00710D98">
              <w:rPr>
                <w:rFonts w:cs="Times New Roman"/>
                <w:sz w:val="24"/>
                <w:szCs w:val="24"/>
              </w:rPr>
              <w:t>especially</w:t>
            </w:r>
            <w:proofErr w:type="gramEnd"/>
            <w:r w:rsidRPr="00710D98">
              <w:rPr>
                <w:rFonts w:cs="Times New Roman"/>
                <w:sz w:val="24"/>
                <w:szCs w:val="24"/>
              </w:rPr>
              <w:t xml:space="preserve"> to ensure a robust anti-corruption strategy is in place. All major UNDP programmes will undertake a forward-looking evaluation- the recommendations of which will be factored into any future programming.</w:t>
            </w:r>
          </w:p>
          <w:p w14:paraId="373503A2" w14:textId="6741B272" w:rsidR="006F44BD" w:rsidRDefault="00710D98" w:rsidP="00710D98">
            <w:pPr>
              <w:pStyle w:val="ListParagraph"/>
              <w:rPr>
                <w:rFonts w:cs="Times New Roman"/>
                <w:sz w:val="24"/>
                <w:szCs w:val="24"/>
              </w:rPr>
            </w:pPr>
            <w:r w:rsidRPr="00710D98">
              <w:rPr>
                <w:rFonts w:cs="Times New Roman"/>
                <w:sz w:val="24"/>
                <w:szCs w:val="24"/>
              </w:rPr>
              <w:t xml:space="preserve">The current CPD also outlines the establishment </w:t>
            </w:r>
            <w:r w:rsidR="00FB5618" w:rsidRPr="00710D98">
              <w:rPr>
                <w:rFonts w:cs="Times New Roman"/>
                <w:sz w:val="24"/>
                <w:szCs w:val="24"/>
              </w:rPr>
              <w:t>of a</w:t>
            </w:r>
            <w:r w:rsidRPr="00710D98">
              <w:rPr>
                <w:rFonts w:cs="Times New Roman"/>
                <w:sz w:val="24"/>
                <w:szCs w:val="24"/>
              </w:rPr>
              <w:t xml:space="preserve"> programme management and support unit (PMSU) to strengthen monitoring and evaluation capacity, programme quality assurance and management oversight. Each pillar will work in cooperation with PMSU to identify data limitations and prepare strategies to ensure availability of reliable data, evidence and analysis to improve results-based and adaptive management</w:t>
            </w:r>
            <w:r>
              <w:rPr>
                <w:rFonts w:cs="Times New Roman"/>
                <w:sz w:val="24"/>
                <w:szCs w:val="24"/>
              </w:rPr>
              <w:t>.</w:t>
            </w:r>
          </w:p>
        </w:tc>
      </w:tr>
    </w:tbl>
    <w:p w14:paraId="63EA9BA7" w14:textId="77777777" w:rsidR="00E00C2F" w:rsidRDefault="00E00C2F" w:rsidP="006F44BD">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243"/>
        <w:gridCol w:w="7191"/>
      </w:tblGrid>
      <w:tr w:rsidR="00BE2E92" w:rsidRPr="005323D5" w14:paraId="4EF50066" w14:textId="5C98FD70" w:rsidTr="0082600E">
        <w:trPr>
          <w:trHeight w:val="476"/>
        </w:trPr>
        <w:tc>
          <w:tcPr>
            <w:tcW w:w="7243" w:type="dxa"/>
            <w:shd w:val="clear" w:color="auto" w:fill="BFBFBF" w:themeFill="background1" w:themeFillShade="BF"/>
            <w:vAlign w:val="center"/>
          </w:tcPr>
          <w:p w14:paraId="5DEC57E6" w14:textId="1E7FAD1C" w:rsidR="00BE2E92" w:rsidRPr="00A457DA" w:rsidRDefault="00BE2E92" w:rsidP="00AF16EC">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Sweden</w:t>
            </w:r>
          </w:p>
        </w:tc>
        <w:tc>
          <w:tcPr>
            <w:tcW w:w="7191" w:type="dxa"/>
            <w:shd w:val="clear" w:color="auto" w:fill="BFBFBF" w:themeFill="background1" w:themeFillShade="BF"/>
            <w:vAlign w:val="center"/>
          </w:tcPr>
          <w:p w14:paraId="743F9677" w14:textId="6AF1CB03" w:rsidR="00BE2E92" w:rsidRPr="00534E03" w:rsidRDefault="00BE2E92" w:rsidP="00AF16EC">
            <w:pPr>
              <w:jc w:val="center"/>
              <w:rPr>
                <w:rFonts w:cs="Times New Roman"/>
                <w:b/>
                <w:sz w:val="24"/>
                <w:szCs w:val="24"/>
              </w:rPr>
            </w:pPr>
            <w:r w:rsidRPr="006F44BD">
              <w:rPr>
                <w:rFonts w:cs="Times New Roman"/>
                <w:b/>
                <w:sz w:val="24"/>
                <w:szCs w:val="24"/>
              </w:rPr>
              <w:t>Country Office response</w:t>
            </w:r>
          </w:p>
        </w:tc>
      </w:tr>
      <w:tr w:rsidR="00BE2E92" w:rsidRPr="00BE2E92" w14:paraId="3D7B67B6" w14:textId="76372AD6" w:rsidTr="00BE2E92">
        <w:trPr>
          <w:trHeight w:val="476"/>
        </w:trPr>
        <w:tc>
          <w:tcPr>
            <w:tcW w:w="7243" w:type="dxa"/>
            <w:vAlign w:val="center"/>
          </w:tcPr>
          <w:p w14:paraId="281D2DD6" w14:textId="77777777" w:rsidR="00BE2E92" w:rsidRPr="00BE2E92" w:rsidRDefault="00BE2E92" w:rsidP="00BE2E92">
            <w:pPr>
              <w:pStyle w:val="ListParagraph"/>
              <w:numPr>
                <w:ilvl w:val="0"/>
                <w:numId w:val="12"/>
              </w:numPr>
              <w:contextualSpacing w:val="0"/>
              <w:rPr>
                <w:rFonts w:eastAsia="Times New Roman"/>
                <w:lang w:val="en-US"/>
              </w:rPr>
            </w:pPr>
            <w:r w:rsidRPr="00BE2E92">
              <w:rPr>
                <w:rFonts w:eastAsia="Times New Roman"/>
                <w:lang w:val="en-US"/>
              </w:rPr>
              <w:t xml:space="preserve">Sweden welcomes that conflict-sensitivity will be mainstreamed in UNDP programs.  </w:t>
            </w:r>
          </w:p>
          <w:p w14:paraId="027429FC" w14:textId="77777777" w:rsidR="00BE2E92" w:rsidRPr="00BE2E92" w:rsidRDefault="00BE2E92" w:rsidP="00BE2E92">
            <w:pPr>
              <w:pStyle w:val="ListParagraph"/>
              <w:numPr>
                <w:ilvl w:val="0"/>
                <w:numId w:val="12"/>
              </w:numPr>
              <w:contextualSpacing w:val="0"/>
              <w:rPr>
                <w:rFonts w:cs="Times New Roman"/>
                <w:sz w:val="24"/>
                <w:szCs w:val="24"/>
              </w:rPr>
            </w:pPr>
            <w:r w:rsidRPr="00BE2E92">
              <w:rPr>
                <w:rFonts w:eastAsia="Times New Roman"/>
                <w:lang w:val="en-US"/>
              </w:rPr>
              <w:t>Further clarification is needed on how UNDP will mainstream gender-sensitive approaches to all programming: Which analytical tools will be used? Will there be any novel or innovative approaches to address gender equality and women’s empowerment in UNDP’s support of the Government and other actors; What resources are  needed to ensure a gender sensitive engagement?</w:t>
            </w:r>
          </w:p>
        </w:tc>
        <w:tc>
          <w:tcPr>
            <w:tcW w:w="7191" w:type="dxa"/>
          </w:tcPr>
          <w:p w14:paraId="3D735CC9" w14:textId="10F65CAC" w:rsidR="00BE2E92" w:rsidRPr="00BE2E92" w:rsidRDefault="00D563D3" w:rsidP="00BE2E92">
            <w:pPr>
              <w:pStyle w:val="ListParagraph"/>
              <w:contextualSpacing w:val="0"/>
              <w:rPr>
                <w:rFonts w:eastAsia="Times New Roman"/>
                <w:lang w:val="en-US"/>
              </w:rPr>
            </w:pPr>
            <w:r w:rsidRPr="00D563D3">
              <w:rPr>
                <w:rFonts w:eastAsia="Times New Roman"/>
                <w:lang w:val="en-US"/>
              </w:rPr>
              <w:t xml:space="preserve">A point was added in the CPD narrative. UNDP has dedicated gender advisors in its stabilization programming, it now </w:t>
            </w:r>
            <w:r w:rsidR="00E945F2" w:rsidRPr="00D563D3">
              <w:rPr>
                <w:rFonts w:eastAsia="Times New Roman"/>
                <w:lang w:val="en-US"/>
              </w:rPr>
              <w:t>see</w:t>
            </w:r>
            <w:r w:rsidR="00E945F2">
              <w:rPr>
                <w:rFonts w:eastAsia="Times New Roman"/>
                <w:lang w:val="en-US"/>
              </w:rPr>
              <w:t>k</w:t>
            </w:r>
            <w:r w:rsidR="00E945F2" w:rsidRPr="00D563D3">
              <w:rPr>
                <w:rFonts w:eastAsia="Times New Roman"/>
                <w:lang w:val="en-US"/>
              </w:rPr>
              <w:t xml:space="preserve">s </w:t>
            </w:r>
            <w:r w:rsidRPr="00D563D3">
              <w:rPr>
                <w:rFonts w:eastAsia="Times New Roman"/>
                <w:lang w:val="en-US"/>
              </w:rPr>
              <w:t>to recruit more gender advisers on social cohesion. All project documents and proposals will ensure that gender considerations are mainstreams, and additional interventions dedicated to women in conflict and gender justice, as well as ISIL affiliated households (esp</w:t>
            </w:r>
            <w:r w:rsidR="00E945F2">
              <w:rPr>
                <w:rFonts w:eastAsia="Times New Roman"/>
                <w:lang w:val="en-US"/>
              </w:rPr>
              <w:t>ecially</w:t>
            </w:r>
            <w:r w:rsidRPr="00D563D3">
              <w:rPr>
                <w:rFonts w:eastAsia="Times New Roman"/>
                <w:lang w:val="en-US"/>
              </w:rPr>
              <w:t xml:space="preserve"> women) will be elaborated in the new CPD cycle.</w:t>
            </w:r>
          </w:p>
        </w:tc>
      </w:tr>
    </w:tbl>
    <w:p w14:paraId="70823533" w14:textId="2DA97F50" w:rsidR="001567CA" w:rsidRPr="005323D5" w:rsidRDefault="001567CA" w:rsidP="00A376E5">
      <w:pPr>
        <w:spacing w:after="0" w:line="240" w:lineRule="auto"/>
        <w:rPr>
          <w:rFonts w:cs="Times New Roman"/>
          <w:sz w:val="24"/>
          <w:szCs w:val="24"/>
        </w:rPr>
      </w:pPr>
    </w:p>
    <w:sectPr w:rsidR="001567CA" w:rsidRPr="005323D5" w:rsidSect="00A376E5">
      <w:headerReference w:type="even" r:id="rId11"/>
      <w:headerReference w:type="default" r:id="rId12"/>
      <w:footerReference w:type="even" r:id="rId13"/>
      <w:footerReference w:type="default" r:id="rId14"/>
      <w:headerReference w:type="first" r:id="rId15"/>
      <w:footerReference w:type="first" r:id="rId16"/>
      <w:pgSz w:w="16838" w:h="11906" w:orient="landscape"/>
      <w:pgMar w:top="1170" w:right="864" w:bottom="126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A890" w14:textId="77777777" w:rsidR="006E6737" w:rsidRDefault="006E6737" w:rsidP="0053576A">
      <w:pPr>
        <w:spacing w:after="0" w:line="240" w:lineRule="auto"/>
      </w:pPr>
      <w:r>
        <w:separator/>
      </w:r>
    </w:p>
  </w:endnote>
  <w:endnote w:type="continuationSeparator" w:id="0">
    <w:p w14:paraId="3881D492" w14:textId="77777777" w:rsidR="006E6737" w:rsidRDefault="006E6737"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8A0E75">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B5954" w14:textId="77777777" w:rsidR="006E6737" w:rsidRDefault="006E6737" w:rsidP="0053576A">
      <w:pPr>
        <w:spacing w:after="0" w:line="240" w:lineRule="auto"/>
      </w:pPr>
      <w:r>
        <w:separator/>
      </w:r>
    </w:p>
  </w:footnote>
  <w:footnote w:type="continuationSeparator" w:id="0">
    <w:p w14:paraId="11085298" w14:textId="77777777" w:rsidR="006E6737" w:rsidRDefault="006E6737"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6CD"/>
    <w:multiLevelType w:val="hybridMultilevel"/>
    <w:tmpl w:val="8020D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07E13"/>
    <w:multiLevelType w:val="hybridMultilevel"/>
    <w:tmpl w:val="DDF8F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7"/>
  </w:num>
  <w:num w:numId="5">
    <w:abstractNumId w:val="4"/>
  </w:num>
  <w:num w:numId="6">
    <w:abstractNumId w:val="6"/>
  </w:num>
  <w:num w:numId="7">
    <w:abstractNumId w:val="5"/>
  </w:num>
  <w:num w:numId="8">
    <w:abstractNumId w:val="1"/>
  </w:num>
  <w:num w:numId="9">
    <w:abstractNumId w:val="9"/>
  </w:num>
  <w:num w:numId="10">
    <w:abstractNumId w:val="3"/>
  </w:num>
  <w:num w:numId="11">
    <w:abstractNumId w:val="11"/>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76C"/>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553C"/>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1B7F"/>
    <w:rsid w:val="002A20EE"/>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815"/>
    <w:rsid w:val="00310CFA"/>
    <w:rsid w:val="003141C3"/>
    <w:rsid w:val="0031580B"/>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18A2"/>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D41AC"/>
    <w:rsid w:val="003E28BC"/>
    <w:rsid w:val="003E58C9"/>
    <w:rsid w:val="003F1B9C"/>
    <w:rsid w:val="003F584D"/>
    <w:rsid w:val="003F7B5A"/>
    <w:rsid w:val="00403076"/>
    <w:rsid w:val="004036FA"/>
    <w:rsid w:val="00405CD2"/>
    <w:rsid w:val="00405D9F"/>
    <w:rsid w:val="00406AA4"/>
    <w:rsid w:val="00421675"/>
    <w:rsid w:val="004227EB"/>
    <w:rsid w:val="0042321E"/>
    <w:rsid w:val="00425471"/>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A768D"/>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19A3"/>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1897"/>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666A"/>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356"/>
    <w:rsid w:val="006B17EA"/>
    <w:rsid w:val="006B22DD"/>
    <w:rsid w:val="006C1102"/>
    <w:rsid w:val="006D1F8F"/>
    <w:rsid w:val="006D25E3"/>
    <w:rsid w:val="006D4586"/>
    <w:rsid w:val="006D5781"/>
    <w:rsid w:val="006D5B1E"/>
    <w:rsid w:val="006D5DF2"/>
    <w:rsid w:val="006E30D6"/>
    <w:rsid w:val="006E6737"/>
    <w:rsid w:val="006F00FD"/>
    <w:rsid w:val="006F2389"/>
    <w:rsid w:val="006F3317"/>
    <w:rsid w:val="006F44BD"/>
    <w:rsid w:val="006F6C34"/>
    <w:rsid w:val="006F76B4"/>
    <w:rsid w:val="00704AB0"/>
    <w:rsid w:val="00707A9C"/>
    <w:rsid w:val="00710D98"/>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3C1E"/>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2600E"/>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76A3E"/>
    <w:rsid w:val="00880B6E"/>
    <w:rsid w:val="0088172F"/>
    <w:rsid w:val="00881A36"/>
    <w:rsid w:val="00881AFD"/>
    <w:rsid w:val="0088235C"/>
    <w:rsid w:val="0088323C"/>
    <w:rsid w:val="00883550"/>
    <w:rsid w:val="00883922"/>
    <w:rsid w:val="008842DA"/>
    <w:rsid w:val="008849DF"/>
    <w:rsid w:val="0088687B"/>
    <w:rsid w:val="00891D42"/>
    <w:rsid w:val="00893522"/>
    <w:rsid w:val="008942B2"/>
    <w:rsid w:val="00894B39"/>
    <w:rsid w:val="00896220"/>
    <w:rsid w:val="008979EA"/>
    <w:rsid w:val="008A0E75"/>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47160"/>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0756"/>
    <w:rsid w:val="009B66ED"/>
    <w:rsid w:val="009C1FDA"/>
    <w:rsid w:val="009C40A4"/>
    <w:rsid w:val="009C5093"/>
    <w:rsid w:val="009C543A"/>
    <w:rsid w:val="009C751F"/>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376E5"/>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5AD3"/>
    <w:rsid w:val="00A762F5"/>
    <w:rsid w:val="00A84841"/>
    <w:rsid w:val="00A84C6D"/>
    <w:rsid w:val="00A85E2D"/>
    <w:rsid w:val="00A91FEF"/>
    <w:rsid w:val="00A94DA9"/>
    <w:rsid w:val="00A96579"/>
    <w:rsid w:val="00A9699A"/>
    <w:rsid w:val="00AA0907"/>
    <w:rsid w:val="00AA17B7"/>
    <w:rsid w:val="00AA79AE"/>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2E92"/>
    <w:rsid w:val="00BE5BED"/>
    <w:rsid w:val="00BE79CF"/>
    <w:rsid w:val="00BF15F8"/>
    <w:rsid w:val="00BF2483"/>
    <w:rsid w:val="00BF2A47"/>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2D6A"/>
    <w:rsid w:val="00C54090"/>
    <w:rsid w:val="00C568B5"/>
    <w:rsid w:val="00C60661"/>
    <w:rsid w:val="00C60CB6"/>
    <w:rsid w:val="00C60D3B"/>
    <w:rsid w:val="00C62133"/>
    <w:rsid w:val="00C626C2"/>
    <w:rsid w:val="00C62F76"/>
    <w:rsid w:val="00C65488"/>
    <w:rsid w:val="00C75C1B"/>
    <w:rsid w:val="00C86E73"/>
    <w:rsid w:val="00C90295"/>
    <w:rsid w:val="00C91E4B"/>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8F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563D3"/>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C2F"/>
    <w:rsid w:val="00E00D50"/>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45F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4527"/>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1228"/>
    <w:rsid w:val="00F3217D"/>
    <w:rsid w:val="00F3633B"/>
    <w:rsid w:val="00F3667D"/>
    <w:rsid w:val="00F3734F"/>
    <w:rsid w:val="00F400B0"/>
    <w:rsid w:val="00F42B8A"/>
    <w:rsid w:val="00F45213"/>
    <w:rsid w:val="00F5119E"/>
    <w:rsid w:val="00F51582"/>
    <w:rsid w:val="00F51BA7"/>
    <w:rsid w:val="00F55CDA"/>
    <w:rsid w:val="00F5775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5618"/>
    <w:rsid w:val="00FB7E03"/>
    <w:rsid w:val="00FC0B00"/>
    <w:rsid w:val="00FC2715"/>
    <w:rsid w:val="00FC480D"/>
    <w:rsid w:val="00FC57F3"/>
    <w:rsid w:val="00FC7764"/>
    <w:rsid w:val="00FC7DD6"/>
    <w:rsid w:val="00FD150C"/>
    <w:rsid w:val="00FD2EE1"/>
    <w:rsid w:val="00FD3270"/>
    <w:rsid w:val="00FD4C89"/>
    <w:rsid w:val="00FD6AF7"/>
    <w:rsid w:val="00FE15C6"/>
    <w:rsid w:val="00FE2A93"/>
    <w:rsid w:val="00FE39CD"/>
    <w:rsid w:val="00FE438F"/>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E946F-0452-4592-A98C-BB59A500A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3B1D3F76-A5CF-423B-8805-173A03F8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2391</Words>
  <Characters>13632</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UNICEF</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21</cp:revision>
  <cp:lastPrinted>2019-10-23T14:31:00Z</cp:lastPrinted>
  <dcterms:created xsi:type="dcterms:W3CDTF">2019-12-19T20:15:00Z</dcterms:created>
  <dcterms:modified xsi:type="dcterms:W3CDTF">2019-12-23T15:42:00Z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