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F5F1" w14:textId="3C671CC6" w:rsidR="003E54F5" w:rsidRPr="00CE3CE7" w:rsidRDefault="000B77E5" w:rsidP="00CE3CE7">
      <w:pPr>
        <w:pStyle w:val="HCh"/>
        <w:spacing w:before="240" w:after="120" w:line="240" w:lineRule="auto"/>
        <w:ind w:left="720" w:right="1267" w:hanging="720"/>
      </w:pPr>
      <w:r>
        <w:t xml:space="preserve">Appendix </w:t>
      </w:r>
      <w:r w:rsidR="003E54F5" w:rsidRPr="00CE3CE7">
        <w:t xml:space="preserve">I. </w:t>
      </w:r>
    </w:p>
    <w:p w14:paraId="6FA4F5F2" w14:textId="627A6951" w:rsidR="003E54F5" w:rsidRPr="00CE3CE7" w:rsidRDefault="003E54F5" w:rsidP="00CE3CE7">
      <w:pPr>
        <w:pStyle w:val="HCh"/>
        <w:spacing w:before="120" w:after="120" w:line="240" w:lineRule="auto"/>
        <w:ind w:left="720" w:right="1267" w:hanging="720"/>
      </w:pPr>
      <w:r w:rsidRPr="00CE3CE7">
        <w:t>UNDP overview</w:t>
      </w:r>
    </w:p>
    <w:p w14:paraId="6FA4F5F4" w14:textId="741D0B65" w:rsidR="003E54F5" w:rsidRPr="00B777C3" w:rsidRDefault="003E54F5" w:rsidP="0059536B">
      <w:pPr>
        <w:pStyle w:val="H1"/>
        <w:numPr>
          <w:ilvl w:val="0"/>
          <w:numId w:val="3"/>
        </w:numPr>
        <w:tabs>
          <w:tab w:val="clear" w:pos="1022"/>
          <w:tab w:val="clear" w:pos="1742"/>
          <w:tab w:val="right" w:pos="1440"/>
          <w:tab w:val="num" w:pos="1692"/>
          <w:tab w:val="left" w:pos="1800"/>
        </w:tabs>
        <w:spacing w:before="120" w:line="240" w:lineRule="auto"/>
        <w:ind w:left="432" w:right="0" w:hanging="432"/>
        <w:outlineLvl w:val="1"/>
        <w:rPr>
          <w:sz w:val="28"/>
          <w:szCs w:val="21"/>
        </w:rPr>
      </w:pPr>
      <w:r w:rsidRPr="00B777C3">
        <w:rPr>
          <w:sz w:val="28"/>
          <w:szCs w:val="21"/>
        </w:rPr>
        <w:t>Statement of financial performance for</w:t>
      </w:r>
      <w:r w:rsidR="005833F0" w:rsidRPr="00B777C3">
        <w:rPr>
          <w:sz w:val="28"/>
          <w:szCs w:val="21"/>
        </w:rPr>
        <w:t xml:space="preserve"> the year ended 31 December </w:t>
      </w:r>
      <w:r w:rsidR="00E51EC2" w:rsidRPr="00B777C3">
        <w:rPr>
          <w:sz w:val="28"/>
          <w:szCs w:val="21"/>
        </w:rPr>
        <w:t>2019</w:t>
      </w:r>
      <w:r w:rsidR="00CE3CE7" w:rsidRPr="00B777C3">
        <w:rPr>
          <w:sz w:val="28"/>
          <w:szCs w:val="21"/>
        </w:rPr>
        <w:t xml:space="preserve"> </w:t>
      </w:r>
    </w:p>
    <w:p w14:paraId="5BCB940F" w14:textId="194B087F" w:rsidR="006463A5" w:rsidRDefault="00B5005A" w:rsidP="0059536B">
      <w:pPr>
        <w:tabs>
          <w:tab w:val="left" w:pos="360"/>
        </w:tabs>
        <w:suppressAutoHyphens/>
        <w:spacing w:line="240" w:lineRule="exact"/>
        <w:ind w:left="1785" w:right="720" w:hanging="1425"/>
        <w:rPr>
          <w:rFonts w:ascii="Times New Roman" w:hAnsi="Times New Roman"/>
          <w:iCs/>
          <w:color w:val="000000"/>
          <w:sz w:val="16"/>
          <w:szCs w:val="15"/>
        </w:rPr>
      </w:pPr>
      <w:r>
        <w:rPr>
          <w:noProof/>
        </w:rPr>
        <w:drawing>
          <wp:anchor distT="0" distB="0" distL="114300" distR="114300" simplePos="0" relativeHeight="251701248" behindDoc="1" locked="0" layoutInCell="1" allowOverlap="1" wp14:anchorId="563EEAFF" wp14:editId="6C0A2022">
            <wp:simplePos x="0" y="0"/>
            <wp:positionH relativeFrom="column">
              <wp:posOffset>-19050</wp:posOffset>
            </wp:positionH>
            <wp:positionV relativeFrom="paragraph">
              <wp:posOffset>227330</wp:posOffset>
            </wp:positionV>
            <wp:extent cx="8201025" cy="4133850"/>
            <wp:effectExtent l="0" t="0" r="9525" b="0"/>
            <wp:wrapTight wrapText="bothSides">
              <wp:wrapPolygon edited="0">
                <wp:start x="0" y="0"/>
                <wp:lineTo x="0" y="21500"/>
                <wp:lineTo x="21575" y="21500"/>
                <wp:lineTo x="215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01025" cy="4133850"/>
                    </a:xfrm>
                    <a:prstGeom prst="rect">
                      <a:avLst/>
                    </a:prstGeom>
                  </pic:spPr>
                </pic:pic>
              </a:graphicData>
            </a:graphic>
            <wp14:sizeRelH relativeFrom="margin">
              <wp14:pctWidth>0</wp14:pctWidth>
            </wp14:sizeRelH>
            <wp14:sizeRelV relativeFrom="margin">
              <wp14:pctHeight>0</wp14:pctHeight>
            </wp14:sizeRelV>
          </wp:anchor>
        </w:drawing>
      </w:r>
      <w:r w:rsidR="00ED3606" w:rsidRPr="00ED3606">
        <w:t xml:space="preserve"> </w:t>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00BE4EC0" w:rsidRPr="00FB2146">
        <w:rPr>
          <w:rFonts w:ascii="Times New Roman" w:hAnsi="Times New Roman"/>
          <w:iCs/>
          <w:color w:val="000000"/>
          <w:sz w:val="16"/>
          <w:szCs w:val="15"/>
        </w:rPr>
        <w:t>housands of United States dollars)</w:t>
      </w:r>
    </w:p>
    <w:tbl>
      <w:tblPr>
        <w:tblW w:w="11447" w:type="dxa"/>
        <w:tblInd w:w="447" w:type="dxa"/>
        <w:tblLook w:val="04A0" w:firstRow="1" w:lastRow="0" w:firstColumn="1" w:lastColumn="0" w:noHBand="0" w:noVBand="1"/>
      </w:tblPr>
      <w:tblGrid>
        <w:gridCol w:w="11447"/>
      </w:tblGrid>
      <w:tr w:rsidR="00E11960" w:rsidRPr="00E11960" w14:paraId="2886DE35" w14:textId="77777777" w:rsidTr="00254C01">
        <w:trPr>
          <w:trHeight w:val="214"/>
        </w:trPr>
        <w:tc>
          <w:tcPr>
            <w:tcW w:w="11447" w:type="dxa"/>
            <w:tcBorders>
              <w:top w:val="nil"/>
              <w:left w:val="nil"/>
              <w:bottom w:val="nil"/>
              <w:right w:val="nil"/>
            </w:tcBorders>
            <w:shd w:val="clear" w:color="auto" w:fill="auto"/>
            <w:noWrap/>
            <w:vAlign w:val="bottom"/>
            <w:hideMark/>
          </w:tcPr>
          <w:p w14:paraId="4A152706" w14:textId="2BDB96F5" w:rsidR="00E11960" w:rsidRPr="00E11960" w:rsidRDefault="00E11960" w:rsidP="00046D94">
            <w:pPr>
              <w:spacing w:before="240"/>
              <w:rPr>
                <w:rFonts w:ascii="Times New Roman" w:hAnsi="Times New Roman"/>
                <w:i/>
                <w:iCs/>
                <w:color w:val="000000"/>
                <w:sz w:val="16"/>
                <w:szCs w:val="16"/>
                <w:lang w:eastAsia="ja-JP"/>
              </w:rPr>
            </w:pPr>
            <w:r w:rsidRPr="00E11960">
              <w:rPr>
                <w:rFonts w:ascii="Times New Roman" w:hAnsi="Times New Roman"/>
                <w:i/>
                <w:iCs/>
                <w:color w:val="000000"/>
                <w:sz w:val="16"/>
                <w:szCs w:val="16"/>
                <w:lang w:eastAsia="ja-JP"/>
              </w:rPr>
              <w:t xml:space="preserve">Source: </w:t>
            </w:r>
            <w:r w:rsidRPr="00E11960">
              <w:rPr>
                <w:rFonts w:ascii="Times New Roman" w:hAnsi="Times New Roman"/>
                <w:color w:val="000000"/>
                <w:sz w:val="16"/>
                <w:szCs w:val="16"/>
                <w:lang w:eastAsia="ja-JP"/>
              </w:rPr>
              <w:t>Table 2a, DP/2020/2</w:t>
            </w:r>
            <w:r w:rsidR="006509F0">
              <w:rPr>
                <w:rFonts w:ascii="Times New Roman" w:hAnsi="Times New Roman"/>
                <w:color w:val="000000"/>
                <w:sz w:val="16"/>
                <w:szCs w:val="16"/>
                <w:lang w:eastAsia="ja-JP"/>
              </w:rPr>
              <w:t>0 Appendix VI to Annex I</w:t>
            </w:r>
            <w:r w:rsidRPr="00E11960">
              <w:rPr>
                <w:rFonts w:ascii="Times New Roman" w:hAnsi="Times New Roman"/>
                <w:color w:val="000000"/>
                <w:sz w:val="16"/>
                <w:szCs w:val="16"/>
                <w:lang w:eastAsia="ja-JP"/>
              </w:rPr>
              <w:t xml:space="preserve">. </w:t>
            </w:r>
            <w:r w:rsidR="006509F0">
              <w:rPr>
                <w:rFonts w:ascii="Times New Roman" w:hAnsi="Times New Roman"/>
                <w:color w:val="000000"/>
                <w:sz w:val="16"/>
                <w:szCs w:val="16"/>
                <w:lang w:eastAsia="ja-JP"/>
              </w:rPr>
              <w:t xml:space="preserve"> </w:t>
            </w:r>
            <w:r w:rsidRPr="00E11960">
              <w:rPr>
                <w:rFonts w:ascii="Times New Roman" w:hAnsi="Times New Roman"/>
                <w:color w:val="000000"/>
                <w:sz w:val="16"/>
                <w:szCs w:val="16"/>
                <w:lang w:eastAsia="ja-JP"/>
              </w:rPr>
              <w:t>A</w:t>
            </w:r>
            <w:r w:rsidR="006509F0">
              <w:rPr>
                <w:rFonts w:ascii="Times New Roman" w:hAnsi="Times New Roman"/>
                <w:color w:val="000000"/>
                <w:sz w:val="16"/>
                <w:szCs w:val="16"/>
                <w:lang w:eastAsia="ja-JP"/>
              </w:rPr>
              <w:t>ppendix</w:t>
            </w:r>
            <w:r w:rsidRPr="00E11960">
              <w:rPr>
                <w:rFonts w:ascii="Times New Roman" w:hAnsi="Times New Roman"/>
                <w:color w:val="000000"/>
                <w:sz w:val="16"/>
                <w:szCs w:val="16"/>
                <w:lang w:eastAsia="ja-JP"/>
              </w:rPr>
              <w:t xml:space="preserve"> </w:t>
            </w:r>
            <w:r w:rsidR="006509F0">
              <w:rPr>
                <w:rFonts w:ascii="Times New Roman" w:hAnsi="Times New Roman"/>
                <w:color w:val="000000"/>
                <w:sz w:val="16"/>
                <w:szCs w:val="16"/>
                <w:lang w:eastAsia="ja-JP"/>
              </w:rPr>
              <w:t>I</w:t>
            </w:r>
            <w:r w:rsidRPr="00E11960">
              <w:rPr>
                <w:rFonts w:ascii="Times New Roman" w:hAnsi="Times New Roman"/>
                <w:color w:val="000000"/>
                <w:sz w:val="16"/>
                <w:szCs w:val="16"/>
                <w:lang w:eastAsia="ja-JP"/>
              </w:rPr>
              <w:t xml:space="preserve"> </w:t>
            </w:r>
            <w:r w:rsidR="006509F0">
              <w:rPr>
                <w:rFonts w:ascii="Times New Roman" w:hAnsi="Times New Roman"/>
                <w:color w:val="000000"/>
                <w:sz w:val="16"/>
                <w:szCs w:val="16"/>
                <w:lang w:eastAsia="ja-JP"/>
              </w:rPr>
              <w:t xml:space="preserve">to Annex I </w:t>
            </w:r>
            <w:r w:rsidRPr="00E11960">
              <w:rPr>
                <w:rFonts w:ascii="Times New Roman" w:hAnsi="Times New Roman"/>
                <w:color w:val="000000"/>
                <w:sz w:val="16"/>
                <w:szCs w:val="16"/>
                <w:lang w:eastAsia="ja-JP"/>
              </w:rPr>
              <w:t>expenses presented based on cost classifications.</w:t>
            </w:r>
          </w:p>
        </w:tc>
      </w:tr>
      <w:tr w:rsidR="00E11960" w:rsidRPr="00E11960" w14:paraId="0BF80980" w14:textId="77777777" w:rsidTr="00254C01">
        <w:trPr>
          <w:trHeight w:val="252"/>
        </w:trPr>
        <w:tc>
          <w:tcPr>
            <w:tcW w:w="11447" w:type="dxa"/>
            <w:tcBorders>
              <w:top w:val="nil"/>
              <w:left w:val="nil"/>
              <w:bottom w:val="nil"/>
              <w:right w:val="nil"/>
            </w:tcBorders>
            <w:shd w:val="clear" w:color="auto" w:fill="auto"/>
            <w:noWrap/>
            <w:vAlign w:val="bottom"/>
            <w:hideMark/>
          </w:tcPr>
          <w:p w14:paraId="5907669A" w14:textId="77777777" w:rsidR="00E11960" w:rsidRPr="00E11960" w:rsidRDefault="00E11960" w:rsidP="00E11960">
            <w:pPr>
              <w:rPr>
                <w:rFonts w:ascii="Times New Roman" w:hAnsi="Times New Roman"/>
                <w:color w:val="000000"/>
                <w:sz w:val="16"/>
                <w:szCs w:val="16"/>
                <w:lang w:eastAsia="ja-JP"/>
              </w:rPr>
            </w:pPr>
            <w:r w:rsidRPr="00E11960">
              <w:rPr>
                <w:rFonts w:ascii="Times New Roman" w:hAnsi="Times New Roman"/>
                <w:color w:val="000000"/>
                <w:sz w:val="16"/>
                <w:szCs w:val="16"/>
                <w:lang w:eastAsia="ja-JP"/>
              </w:rPr>
              <w:t>a/ Includes general management support service cost.</w:t>
            </w:r>
          </w:p>
        </w:tc>
      </w:tr>
      <w:tr w:rsidR="00E11960" w:rsidRPr="00E11960" w14:paraId="6CB954AE" w14:textId="77777777" w:rsidTr="00254C01">
        <w:trPr>
          <w:trHeight w:val="252"/>
        </w:trPr>
        <w:tc>
          <w:tcPr>
            <w:tcW w:w="11447" w:type="dxa"/>
            <w:tcBorders>
              <w:top w:val="nil"/>
              <w:left w:val="nil"/>
              <w:bottom w:val="nil"/>
              <w:right w:val="nil"/>
            </w:tcBorders>
            <w:shd w:val="clear" w:color="auto" w:fill="auto"/>
            <w:noWrap/>
            <w:vAlign w:val="center"/>
            <w:hideMark/>
          </w:tcPr>
          <w:p w14:paraId="45912806" w14:textId="77777777" w:rsidR="00E11960" w:rsidRPr="00E11960" w:rsidRDefault="00E11960" w:rsidP="00E11960">
            <w:pPr>
              <w:rPr>
                <w:rFonts w:ascii="Times New Roman" w:hAnsi="Times New Roman"/>
                <w:color w:val="000000"/>
                <w:sz w:val="16"/>
                <w:szCs w:val="16"/>
                <w:lang w:eastAsia="ja-JP"/>
              </w:rPr>
            </w:pPr>
            <w:r w:rsidRPr="00E11960">
              <w:rPr>
                <w:rFonts w:ascii="Times New Roman" w:hAnsi="Times New Roman"/>
                <w:color w:val="000000"/>
                <w:sz w:val="16"/>
                <w:szCs w:val="16"/>
                <w:lang w:eastAsia="ja-JP"/>
              </w:rPr>
              <w:t>b/ This adjustment is required to remove the effect of internal UNDP cost recovery.</w:t>
            </w:r>
          </w:p>
        </w:tc>
      </w:tr>
      <w:tr w:rsidR="00E11960" w:rsidRPr="00E11960" w14:paraId="1EB0B166" w14:textId="77777777" w:rsidTr="00254C01">
        <w:trPr>
          <w:trHeight w:val="188"/>
        </w:trPr>
        <w:tc>
          <w:tcPr>
            <w:tcW w:w="11447" w:type="dxa"/>
            <w:tcBorders>
              <w:top w:val="nil"/>
              <w:left w:val="nil"/>
              <w:bottom w:val="nil"/>
              <w:right w:val="nil"/>
            </w:tcBorders>
            <w:shd w:val="clear" w:color="auto" w:fill="auto"/>
            <w:noWrap/>
            <w:vAlign w:val="bottom"/>
            <w:hideMark/>
          </w:tcPr>
          <w:p w14:paraId="1CF283A2" w14:textId="77777777" w:rsidR="00E11960" w:rsidRPr="00E11960" w:rsidRDefault="00E11960" w:rsidP="00E11960">
            <w:pPr>
              <w:rPr>
                <w:rFonts w:ascii="Times New Roman" w:hAnsi="Times New Roman"/>
                <w:sz w:val="16"/>
                <w:szCs w:val="16"/>
                <w:lang w:eastAsia="ja-JP"/>
              </w:rPr>
            </w:pPr>
            <w:r w:rsidRPr="00E11960">
              <w:rPr>
                <w:rFonts w:ascii="Times New Roman" w:hAnsi="Times New Roman"/>
                <w:sz w:val="16"/>
                <w:szCs w:val="16"/>
                <w:lang w:eastAsia="ja-JP"/>
              </w:rPr>
              <w:t>c/ Includes $17.9m of the reimbursable support services to the resident coordinator system for 2019.</w:t>
            </w:r>
          </w:p>
        </w:tc>
      </w:tr>
    </w:tbl>
    <w:p w14:paraId="7EA4BEDA" w14:textId="5980EC86" w:rsidR="00740A91" w:rsidRPr="0059536B" w:rsidRDefault="00184154" w:rsidP="00184154">
      <w:pPr>
        <w:rPr>
          <w:rFonts w:ascii="Times New Roman" w:hAnsi="Times New Roman"/>
          <w:iCs/>
          <w:color w:val="000000"/>
          <w:sz w:val="16"/>
          <w:szCs w:val="15"/>
        </w:rPr>
      </w:pPr>
      <w:r>
        <w:rPr>
          <w:rFonts w:ascii="Times New Roman" w:hAnsi="Times New Roman"/>
          <w:iCs/>
          <w:color w:val="000000"/>
          <w:sz w:val="16"/>
          <w:szCs w:val="15"/>
        </w:rPr>
        <w:br w:type="page"/>
      </w:r>
    </w:p>
    <w:p w14:paraId="6FA4F745" w14:textId="47096C72" w:rsidR="003E54F5" w:rsidRPr="008D356C" w:rsidRDefault="003E54F5" w:rsidP="00CE3CE7">
      <w:pPr>
        <w:pStyle w:val="H1"/>
        <w:numPr>
          <w:ilvl w:val="0"/>
          <w:numId w:val="3"/>
        </w:numPr>
        <w:tabs>
          <w:tab w:val="clear" w:pos="1022"/>
          <w:tab w:val="clear" w:pos="1742"/>
          <w:tab w:val="right" w:pos="1440"/>
          <w:tab w:val="num" w:pos="1692"/>
          <w:tab w:val="left" w:pos="1800"/>
        </w:tabs>
        <w:spacing w:before="240" w:line="240" w:lineRule="auto"/>
        <w:ind w:left="432" w:right="0" w:hanging="432"/>
        <w:outlineLvl w:val="1"/>
        <w:rPr>
          <w:sz w:val="28"/>
          <w:szCs w:val="21"/>
        </w:rPr>
      </w:pPr>
      <w:r w:rsidRPr="008D356C">
        <w:rPr>
          <w:sz w:val="28"/>
          <w:szCs w:val="21"/>
        </w:rPr>
        <w:lastRenderedPageBreak/>
        <w:t>Statement of financial position as at 31 December 201</w:t>
      </w:r>
      <w:r w:rsidR="00E51EC2" w:rsidRPr="008D356C">
        <w:rPr>
          <w:sz w:val="28"/>
          <w:szCs w:val="21"/>
        </w:rPr>
        <w:t>9</w:t>
      </w:r>
    </w:p>
    <w:p w14:paraId="0F6D2087" w14:textId="3A1017F4" w:rsidR="00BE4EC0" w:rsidRDefault="00D52E37" w:rsidP="00BE4EC0">
      <w:pPr>
        <w:tabs>
          <w:tab w:val="left" w:pos="360"/>
        </w:tabs>
        <w:suppressAutoHyphens/>
        <w:spacing w:line="240" w:lineRule="exact"/>
        <w:ind w:left="540" w:right="720" w:hanging="90"/>
        <w:rPr>
          <w:rFonts w:ascii="Times New Roman" w:hAnsi="Times New Roman"/>
          <w:iCs/>
          <w:color w:val="000000"/>
          <w:sz w:val="16"/>
          <w:szCs w:val="15"/>
        </w:rPr>
      </w:pPr>
      <w:r w:rsidRPr="00D52E37">
        <w:t xml:space="preserve"> </w:t>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00BE4EC0" w:rsidRPr="00FB2146">
        <w:rPr>
          <w:rFonts w:ascii="Times New Roman" w:hAnsi="Times New Roman"/>
          <w:iCs/>
          <w:color w:val="000000"/>
          <w:sz w:val="16"/>
          <w:szCs w:val="15"/>
        </w:rPr>
        <w:t>housands of United States dollars)</w:t>
      </w:r>
    </w:p>
    <w:p w14:paraId="63DC21DF" w14:textId="58E4F899" w:rsidR="00E324C8" w:rsidRDefault="00363460" w:rsidP="00E3069D">
      <w:pPr>
        <w:tabs>
          <w:tab w:val="left" w:pos="450"/>
        </w:tabs>
        <w:spacing w:after="60"/>
        <w:rPr>
          <w:rFonts w:ascii="Times New Roman" w:hAnsi="Times New Roman"/>
          <w:iCs/>
          <w:color w:val="000000"/>
          <w:sz w:val="16"/>
          <w:szCs w:val="15"/>
        </w:rPr>
      </w:pPr>
      <w:r>
        <w:rPr>
          <w:noProof/>
        </w:rPr>
        <w:drawing>
          <wp:inline distT="0" distB="0" distL="0" distR="0" wp14:anchorId="077D0EF2" wp14:editId="6BCB0CE9">
            <wp:extent cx="7973060" cy="5574183"/>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6284" cy="5597411"/>
                    </a:xfrm>
                    <a:prstGeom prst="rect">
                      <a:avLst/>
                    </a:prstGeom>
                  </pic:spPr>
                </pic:pic>
              </a:graphicData>
            </a:graphic>
          </wp:inline>
        </w:drawing>
      </w:r>
    </w:p>
    <w:p w14:paraId="7861D571" w14:textId="77777777" w:rsidR="00E324C8" w:rsidRDefault="00E324C8">
      <w:pPr>
        <w:rPr>
          <w:rFonts w:ascii="Times New Roman" w:hAnsi="Times New Roman"/>
          <w:iCs/>
          <w:color w:val="000000"/>
          <w:sz w:val="16"/>
          <w:szCs w:val="15"/>
        </w:rPr>
      </w:pPr>
      <w:r>
        <w:rPr>
          <w:rFonts w:ascii="Times New Roman" w:hAnsi="Times New Roman"/>
          <w:iCs/>
          <w:color w:val="000000"/>
          <w:sz w:val="16"/>
          <w:szCs w:val="15"/>
        </w:rPr>
        <w:br w:type="page"/>
      </w:r>
    </w:p>
    <w:p w14:paraId="12EF8AC6" w14:textId="76A17140" w:rsidR="00F56175" w:rsidRPr="00695941" w:rsidRDefault="000B77E5" w:rsidP="002E756F">
      <w:pPr>
        <w:pStyle w:val="HCh"/>
        <w:spacing w:before="240" w:after="240" w:line="240" w:lineRule="auto"/>
        <w:ind w:left="720" w:right="1267" w:hanging="720"/>
        <w:rPr>
          <w:b w:val="0"/>
        </w:rPr>
      </w:pPr>
      <w:r>
        <w:lastRenderedPageBreak/>
        <w:t xml:space="preserve">Appendix </w:t>
      </w:r>
      <w:r w:rsidR="003E54F5" w:rsidRPr="002E756F">
        <w:t>II.</w:t>
      </w:r>
    </w:p>
    <w:p w14:paraId="6FA4F99B" w14:textId="2A829E9C" w:rsidR="003E54F5" w:rsidRPr="00CE3CE7" w:rsidRDefault="003E54F5" w:rsidP="00CE3CE7">
      <w:pPr>
        <w:pStyle w:val="HCh"/>
        <w:spacing w:before="120" w:line="240" w:lineRule="auto"/>
        <w:ind w:left="720" w:right="1267" w:hanging="720"/>
      </w:pPr>
      <w:bookmarkStart w:id="0" w:name="_Hlk13593575"/>
      <w:r w:rsidRPr="00CE3CE7">
        <w:t>Regular resources – comparison of budget to actual, 201</w:t>
      </w:r>
      <w:r w:rsidR="00CE3CE7">
        <w:t>9</w:t>
      </w:r>
    </w:p>
    <w:p w14:paraId="15201DAD" w14:textId="3399FB1E" w:rsidR="00BE4EC0" w:rsidRPr="00FB2146"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Pr="00FB2146">
        <w:rPr>
          <w:rFonts w:ascii="Times New Roman" w:hAnsi="Times New Roman"/>
          <w:iCs/>
          <w:color w:val="000000"/>
          <w:sz w:val="16"/>
          <w:szCs w:val="15"/>
        </w:rPr>
        <w:t>housands of United States dollars)</w:t>
      </w:r>
    </w:p>
    <w:bookmarkEnd w:id="0"/>
    <w:p w14:paraId="61D1100A" w14:textId="539484EA" w:rsidR="008A51AD" w:rsidRPr="001B4064" w:rsidRDefault="00D1172A" w:rsidP="008A51AD">
      <w:pPr>
        <w:rPr>
          <w:lang w:val="en-GB"/>
        </w:rPr>
      </w:pPr>
      <w:r>
        <w:rPr>
          <w:noProof/>
        </w:rPr>
        <w:drawing>
          <wp:inline distT="0" distB="0" distL="0" distR="0" wp14:anchorId="2986E446" wp14:editId="36F02D11">
            <wp:extent cx="7448550" cy="426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48550" cy="4267200"/>
                    </a:xfrm>
                    <a:prstGeom prst="rect">
                      <a:avLst/>
                    </a:prstGeom>
                  </pic:spPr>
                </pic:pic>
              </a:graphicData>
            </a:graphic>
          </wp:inline>
        </w:drawing>
      </w:r>
    </w:p>
    <w:p w14:paraId="13ABA7CE" w14:textId="4D41914A" w:rsidR="00CE3CE7" w:rsidRDefault="00CE3CE7"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br w:type="page"/>
      </w:r>
    </w:p>
    <w:p w14:paraId="04C6F9BB" w14:textId="11B58714" w:rsidR="00F56175" w:rsidRPr="00CE3CE7" w:rsidRDefault="000B77E5" w:rsidP="00CE3CE7">
      <w:pPr>
        <w:pStyle w:val="HCh"/>
        <w:spacing w:before="240" w:after="240" w:line="240" w:lineRule="auto"/>
        <w:ind w:left="720" w:right="1267" w:hanging="720"/>
      </w:pPr>
      <w:r>
        <w:lastRenderedPageBreak/>
        <w:t xml:space="preserve">Appendix </w:t>
      </w:r>
      <w:r w:rsidR="004C50EC" w:rsidRPr="00CE3CE7">
        <w:t>I</w:t>
      </w:r>
      <w:r w:rsidR="007602D5" w:rsidRPr="00CE3CE7">
        <w:t>II</w:t>
      </w:r>
      <w:r w:rsidR="004C50EC" w:rsidRPr="00CE3CE7">
        <w:t>.</w:t>
      </w:r>
    </w:p>
    <w:p w14:paraId="0B171440" w14:textId="4CAD18C3" w:rsidR="004C50EC" w:rsidRPr="008D356C" w:rsidRDefault="004C50EC"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t xml:space="preserve">Integrated </w:t>
      </w:r>
      <w:r w:rsidR="00081689" w:rsidRPr="008D356C">
        <w:rPr>
          <w:sz w:val="28"/>
          <w:szCs w:val="21"/>
        </w:rPr>
        <w:t>resources plan</w:t>
      </w:r>
      <w:r w:rsidR="00E27DBB" w:rsidRPr="008D356C">
        <w:rPr>
          <w:sz w:val="28"/>
          <w:szCs w:val="21"/>
        </w:rPr>
        <w:t xml:space="preserve">, </w:t>
      </w:r>
      <w:r w:rsidRPr="008D356C">
        <w:rPr>
          <w:sz w:val="28"/>
          <w:szCs w:val="21"/>
        </w:rPr>
        <w:t>201</w:t>
      </w:r>
      <w:r w:rsidR="00C52301" w:rsidRPr="008D356C">
        <w:rPr>
          <w:sz w:val="28"/>
          <w:szCs w:val="21"/>
        </w:rPr>
        <w:t>8</w:t>
      </w:r>
      <w:r w:rsidR="007B2C86" w:rsidRPr="008D356C">
        <w:rPr>
          <w:sz w:val="28"/>
          <w:szCs w:val="21"/>
        </w:rPr>
        <w:t>-20</w:t>
      </w:r>
      <w:r w:rsidR="00C52301" w:rsidRPr="008D356C">
        <w:rPr>
          <w:sz w:val="28"/>
          <w:szCs w:val="21"/>
        </w:rPr>
        <w:t>21</w:t>
      </w:r>
      <w:r w:rsidRPr="008D356C">
        <w:rPr>
          <w:sz w:val="28"/>
          <w:szCs w:val="21"/>
        </w:rPr>
        <w:t xml:space="preserve"> </w:t>
      </w:r>
      <w:r w:rsidR="00C52301" w:rsidRPr="008D356C">
        <w:rPr>
          <w:sz w:val="28"/>
          <w:szCs w:val="21"/>
        </w:rPr>
        <w:t>estimates compared to 2018</w:t>
      </w:r>
      <w:r w:rsidR="00116269">
        <w:rPr>
          <w:sz w:val="28"/>
          <w:szCs w:val="21"/>
        </w:rPr>
        <w:t>-2019</w:t>
      </w:r>
      <w:r w:rsidR="00C52301" w:rsidRPr="008D356C">
        <w:rPr>
          <w:sz w:val="28"/>
          <w:szCs w:val="21"/>
        </w:rPr>
        <w:t xml:space="preserve"> actuals</w:t>
      </w:r>
    </w:p>
    <w:p w14:paraId="2FFB5E4F" w14:textId="2F7ED9A0" w:rsidR="00BE4EC0" w:rsidRDefault="00B069B1" w:rsidP="00BE4EC0">
      <w:pPr>
        <w:tabs>
          <w:tab w:val="left" w:pos="360"/>
        </w:tabs>
        <w:suppressAutoHyphens/>
        <w:spacing w:line="240" w:lineRule="exact"/>
        <w:ind w:left="1785" w:right="720" w:hanging="1785"/>
        <w:rPr>
          <w:rFonts w:ascii="Times New Roman" w:hAnsi="Times New Roman"/>
          <w:iCs/>
          <w:color w:val="000000"/>
          <w:sz w:val="16"/>
          <w:szCs w:val="15"/>
        </w:rPr>
      </w:pPr>
      <w:r>
        <w:rPr>
          <w:noProof/>
        </w:rPr>
        <w:drawing>
          <wp:anchor distT="0" distB="0" distL="114300" distR="114300" simplePos="0" relativeHeight="251702272" behindDoc="1" locked="0" layoutInCell="1" allowOverlap="1" wp14:anchorId="66B18255" wp14:editId="0B331643">
            <wp:simplePos x="0" y="0"/>
            <wp:positionH relativeFrom="column">
              <wp:posOffset>-495300</wp:posOffset>
            </wp:positionH>
            <wp:positionV relativeFrom="paragraph">
              <wp:posOffset>220345</wp:posOffset>
            </wp:positionV>
            <wp:extent cx="8849995" cy="5029200"/>
            <wp:effectExtent l="0" t="0" r="8255" b="0"/>
            <wp:wrapTight wrapText="bothSides">
              <wp:wrapPolygon edited="0">
                <wp:start x="0" y="0"/>
                <wp:lineTo x="0" y="21518"/>
                <wp:lineTo x="21574" y="21518"/>
                <wp:lineTo x="215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49995" cy="5029200"/>
                    </a:xfrm>
                    <a:prstGeom prst="rect">
                      <a:avLst/>
                    </a:prstGeom>
                  </pic:spPr>
                </pic:pic>
              </a:graphicData>
            </a:graphic>
            <wp14:sizeRelH relativeFrom="margin">
              <wp14:pctWidth>0</wp14:pctWidth>
            </wp14:sizeRelH>
            <wp14:sizeRelV relativeFrom="margin">
              <wp14:pctHeight>0</wp14:pctHeight>
            </wp14:sizeRelV>
          </wp:anchor>
        </w:drawing>
      </w:r>
      <w:r w:rsidR="0019047E">
        <w:rPr>
          <w:rFonts w:ascii="Times New Roman" w:hAnsi="Times New Roman"/>
          <w:i/>
          <w:iCs/>
          <w:color w:val="000000"/>
          <w:sz w:val="16"/>
          <w:szCs w:val="15"/>
        </w:rPr>
        <w:tab/>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m</w:t>
      </w:r>
      <w:r w:rsidR="00BE4EC0" w:rsidRPr="00FB2146">
        <w:rPr>
          <w:rFonts w:ascii="Times New Roman" w:hAnsi="Times New Roman"/>
          <w:iCs/>
          <w:color w:val="000000"/>
          <w:sz w:val="16"/>
          <w:szCs w:val="15"/>
        </w:rPr>
        <w:t>illions of United States dollars)</w:t>
      </w:r>
    </w:p>
    <w:p w14:paraId="4BE07989" w14:textId="77777777" w:rsidR="00BD6B76" w:rsidRDefault="00BD6B76">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29E211B1" w14:textId="23882D34" w:rsidR="00A45BEC" w:rsidRPr="008D356C" w:rsidRDefault="00A45BEC"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lastRenderedPageBreak/>
        <w:t>Summary of institutional component of the integrated budget by category</w:t>
      </w:r>
      <w:r w:rsidR="00534B0D" w:rsidRPr="008D356C">
        <w:rPr>
          <w:sz w:val="28"/>
          <w:szCs w:val="21"/>
        </w:rPr>
        <w:t xml:space="preserve"> of expenditures</w:t>
      </w:r>
      <w:r w:rsidRPr="008D356C">
        <w:rPr>
          <w:sz w:val="28"/>
          <w:szCs w:val="21"/>
        </w:rPr>
        <w:t>:</w:t>
      </w:r>
      <w:r w:rsidR="008D356C" w:rsidRPr="008D356C">
        <w:rPr>
          <w:sz w:val="28"/>
          <w:szCs w:val="21"/>
        </w:rPr>
        <w:br/>
      </w:r>
      <w:r w:rsidRPr="008D356C">
        <w:rPr>
          <w:sz w:val="28"/>
          <w:szCs w:val="21"/>
        </w:rPr>
        <w:t>20</w:t>
      </w:r>
      <w:r w:rsidR="00534B0D" w:rsidRPr="008D356C">
        <w:rPr>
          <w:sz w:val="28"/>
          <w:szCs w:val="21"/>
        </w:rPr>
        <w:t>18</w:t>
      </w:r>
      <w:r w:rsidR="003C3C91">
        <w:rPr>
          <w:sz w:val="28"/>
          <w:szCs w:val="21"/>
        </w:rPr>
        <w:t>-2019</w:t>
      </w:r>
      <w:r w:rsidR="00534B0D" w:rsidRPr="008D356C">
        <w:rPr>
          <w:sz w:val="28"/>
          <w:szCs w:val="21"/>
        </w:rPr>
        <w:t xml:space="preserve"> </w:t>
      </w:r>
      <w:r w:rsidR="00515799">
        <w:rPr>
          <w:sz w:val="28"/>
          <w:szCs w:val="21"/>
        </w:rPr>
        <w:t xml:space="preserve">annualized </w:t>
      </w:r>
      <w:r w:rsidR="00534B0D" w:rsidRPr="008D356C">
        <w:rPr>
          <w:sz w:val="28"/>
          <w:szCs w:val="21"/>
        </w:rPr>
        <w:t>estimates vs 2018</w:t>
      </w:r>
      <w:r w:rsidR="00E137E9">
        <w:rPr>
          <w:sz w:val="28"/>
          <w:szCs w:val="21"/>
        </w:rPr>
        <w:t>-2019</w:t>
      </w:r>
      <w:r w:rsidR="00534B0D" w:rsidRPr="008D356C">
        <w:rPr>
          <w:sz w:val="28"/>
          <w:szCs w:val="21"/>
        </w:rPr>
        <w:t xml:space="preserve"> actual expenditures</w:t>
      </w:r>
    </w:p>
    <w:p w14:paraId="3C64993A" w14:textId="71AAABDC" w:rsidR="00DF2569" w:rsidRDefault="00534B0D" w:rsidP="00A04DD9">
      <w:pPr>
        <w:suppressAutoHyphens/>
        <w:spacing w:after="60"/>
        <w:ind w:left="720" w:firstLine="90"/>
        <w:rPr>
          <w:rFonts w:ascii="Times New Roman" w:hAnsi="Times New Roman"/>
          <w:bCs/>
          <w:color w:val="000000"/>
          <w:sz w:val="20"/>
          <w:szCs w:val="28"/>
          <w:lang w:val="en-GB"/>
        </w:rPr>
      </w:pPr>
      <w:r w:rsidRPr="00534B0D">
        <w:rPr>
          <w:rFonts w:ascii="Times New Roman" w:hAnsi="Times New Roman"/>
          <w:bCs/>
          <w:color w:val="000000"/>
          <w:sz w:val="20"/>
          <w:szCs w:val="28"/>
          <w:lang w:val="en-GB"/>
        </w:rPr>
        <w:t>(in millions of United States dollars)</w:t>
      </w:r>
    </w:p>
    <w:p w14:paraId="3B900C56" w14:textId="7D76259B" w:rsidR="00534B0D" w:rsidRPr="00534B0D" w:rsidRDefault="00CD34FF" w:rsidP="00A45BEC">
      <w:pPr>
        <w:suppressAutoHyphens/>
        <w:spacing w:after="60"/>
        <w:ind w:left="720" w:hanging="360"/>
        <w:rPr>
          <w:rFonts w:ascii="Times New Roman" w:hAnsi="Times New Roman"/>
          <w:bCs/>
          <w:color w:val="000000"/>
          <w:sz w:val="20"/>
          <w:szCs w:val="28"/>
          <w:lang w:val="en-GB"/>
        </w:rPr>
      </w:pPr>
      <w:r>
        <w:rPr>
          <w:noProof/>
        </w:rPr>
        <w:drawing>
          <wp:anchor distT="0" distB="0" distL="114300" distR="114300" simplePos="0" relativeHeight="251696128" behindDoc="1" locked="0" layoutInCell="1" allowOverlap="1" wp14:anchorId="16CCFE21" wp14:editId="32063C4B">
            <wp:simplePos x="0" y="0"/>
            <wp:positionH relativeFrom="column">
              <wp:posOffset>133350</wp:posOffset>
            </wp:positionH>
            <wp:positionV relativeFrom="paragraph">
              <wp:posOffset>180975</wp:posOffset>
            </wp:positionV>
            <wp:extent cx="7772400" cy="3475990"/>
            <wp:effectExtent l="0" t="0" r="0" b="0"/>
            <wp:wrapTight wrapText="bothSides">
              <wp:wrapPolygon edited="0">
                <wp:start x="0" y="0"/>
                <wp:lineTo x="0" y="21426"/>
                <wp:lineTo x="21547" y="21426"/>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72400" cy="3475990"/>
                    </a:xfrm>
                    <a:prstGeom prst="rect">
                      <a:avLst/>
                    </a:prstGeom>
                  </pic:spPr>
                </pic:pic>
              </a:graphicData>
            </a:graphic>
            <wp14:sizeRelH relativeFrom="margin">
              <wp14:pctWidth>0</wp14:pctWidth>
            </wp14:sizeRelH>
          </wp:anchor>
        </w:drawing>
      </w: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6430DFB4" w14:textId="47792FC3" w:rsidR="00DB0466" w:rsidRPr="008D356C" w:rsidRDefault="00DB26B2" w:rsidP="008D356C">
      <w:pPr>
        <w:pStyle w:val="H1"/>
        <w:numPr>
          <w:ilvl w:val="0"/>
          <w:numId w:val="26"/>
        </w:numPr>
        <w:tabs>
          <w:tab w:val="clear" w:pos="1022"/>
          <w:tab w:val="clear" w:pos="1742"/>
          <w:tab w:val="right" w:pos="1440"/>
          <w:tab w:val="left" w:pos="1800"/>
        </w:tabs>
        <w:spacing w:before="240" w:line="240" w:lineRule="auto"/>
        <w:ind w:left="360" w:right="0"/>
        <w:outlineLvl w:val="1"/>
        <w:rPr>
          <w:sz w:val="28"/>
          <w:szCs w:val="21"/>
        </w:rPr>
      </w:pPr>
      <w:r w:rsidRPr="008D356C">
        <w:rPr>
          <w:sz w:val="28"/>
          <w:szCs w:val="21"/>
        </w:rPr>
        <w:lastRenderedPageBreak/>
        <w:t>Resources allocated to posts by location</w:t>
      </w:r>
      <w:r w:rsidR="00107975" w:rsidRPr="008D356C">
        <w:rPr>
          <w:sz w:val="28"/>
          <w:szCs w:val="21"/>
        </w:rPr>
        <w:t>, 201</w:t>
      </w:r>
      <w:r w:rsidR="0062708A">
        <w:rPr>
          <w:sz w:val="28"/>
          <w:szCs w:val="21"/>
        </w:rPr>
        <w:t>9</w:t>
      </w:r>
    </w:p>
    <w:p w14:paraId="04682A03" w14:textId="5FDD0EB8" w:rsidR="00DB0466" w:rsidRPr="00A578CD" w:rsidRDefault="00A31A2A" w:rsidP="00295774">
      <w:pPr>
        <w:suppressAutoHyphens/>
        <w:spacing w:line="240" w:lineRule="exact"/>
        <w:ind w:firstLine="540"/>
        <w:contextualSpacing/>
        <w:rPr>
          <w:rFonts w:ascii="Times New Roman" w:hAnsi="Times New Roman"/>
          <w:spacing w:val="4"/>
          <w:w w:val="103"/>
          <w:kern w:val="14"/>
          <w:sz w:val="16"/>
          <w:lang w:val="en-GB"/>
        </w:rPr>
      </w:pPr>
      <w:r>
        <w:rPr>
          <w:noProof/>
        </w:rPr>
        <w:drawing>
          <wp:anchor distT="0" distB="0" distL="114300" distR="114300" simplePos="0" relativeHeight="251697152" behindDoc="1" locked="0" layoutInCell="1" allowOverlap="1" wp14:anchorId="6722F7EB" wp14:editId="7075FDAC">
            <wp:simplePos x="0" y="0"/>
            <wp:positionH relativeFrom="column">
              <wp:posOffset>0</wp:posOffset>
            </wp:positionH>
            <wp:positionV relativeFrom="paragraph">
              <wp:posOffset>226695</wp:posOffset>
            </wp:positionV>
            <wp:extent cx="8001000" cy="5562600"/>
            <wp:effectExtent l="0" t="0" r="0" b="0"/>
            <wp:wrapTight wrapText="bothSides">
              <wp:wrapPolygon edited="0">
                <wp:start x="0" y="0"/>
                <wp:lineTo x="0" y="21526"/>
                <wp:lineTo x="21549" y="21526"/>
                <wp:lineTo x="215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0" cy="5562600"/>
                    </a:xfrm>
                    <a:prstGeom prst="rect">
                      <a:avLst/>
                    </a:prstGeom>
                  </pic:spPr>
                </pic:pic>
              </a:graphicData>
            </a:graphic>
            <wp14:sizeRelV relativeFrom="margin">
              <wp14:pctHeight>0</wp14:pctHeight>
            </wp14:sizeRelV>
          </wp:anchor>
        </w:drawing>
      </w:r>
      <w:r w:rsidR="00DB26B2" w:rsidRPr="00A578CD">
        <w:rPr>
          <w:rFonts w:ascii="Times New Roman" w:hAnsi="Times New Roman"/>
          <w:spacing w:val="4"/>
          <w:w w:val="103"/>
          <w:kern w:val="14"/>
          <w:sz w:val="16"/>
          <w:lang w:val="en-GB"/>
        </w:rPr>
        <w:t>(</w:t>
      </w:r>
      <w:r w:rsidR="004E78D5">
        <w:rPr>
          <w:rFonts w:ascii="Times New Roman" w:hAnsi="Times New Roman"/>
          <w:spacing w:val="4"/>
          <w:w w:val="103"/>
          <w:kern w:val="14"/>
          <w:sz w:val="16"/>
          <w:lang w:val="en-GB"/>
        </w:rPr>
        <w:t>in t</w:t>
      </w:r>
      <w:r w:rsidR="00DB26B2" w:rsidRPr="00A578CD">
        <w:rPr>
          <w:rFonts w:ascii="Times New Roman" w:hAnsi="Times New Roman"/>
          <w:spacing w:val="4"/>
          <w:w w:val="103"/>
          <w:kern w:val="14"/>
          <w:sz w:val="16"/>
          <w:lang w:val="en-GB"/>
        </w:rPr>
        <w:t>housands of United States dollars)</w:t>
      </w:r>
    </w:p>
    <w:p w14:paraId="6BECF2F1" w14:textId="64E5F52E" w:rsidR="00A31A2A" w:rsidRDefault="00A31A2A" w:rsidP="003370F3">
      <w:pPr>
        <w:suppressAutoHyphens/>
        <w:spacing w:line="240" w:lineRule="exact"/>
        <w:contextualSpacing/>
        <w:rPr>
          <w:rFonts w:ascii="Times New Roman" w:hAnsi="Times New Roman"/>
          <w:i/>
          <w:spacing w:val="4"/>
          <w:w w:val="103"/>
          <w:kern w:val="14"/>
          <w:sz w:val="16"/>
          <w:lang w:val="en-GB"/>
        </w:rPr>
      </w:pPr>
      <w:r>
        <w:rPr>
          <w:rFonts w:ascii="Times New Roman" w:hAnsi="Times New Roman"/>
          <w:i/>
          <w:spacing w:val="4"/>
          <w:w w:val="103"/>
          <w:kern w:val="14"/>
          <w:sz w:val="16"/>
          <w:lang w:val="en-GB"/>
        </w:rPr>
        <w:br w:type="page"/>
      </w:r>
    </w:p>
    <w:p w14:paraId="77DE0183" w14:textId="5F8C3E3F" w:rsidR="00DB0466" w:rsidRDefault="00CE14C8" w:rsidP="003370F3">
      <w:pPr>
        <w:suppressAutoHyphens/>
        <w:spacing w:line="240" w:lineRule="exact"/>
        <w:contextualSpacing/>
        <w:rPr>
          <w:rFonts w:ascii="Times New Roman" w:hAnsi="Times New Roman"/>
          <w:b/>
          <w:spacing w:val="4"/>
          <w:w w:val="103"/>
          <w:kern w:val="14"/>
          <w:sz w:val="20"/>
          <w:lang w:val="en-GB"/>
        </w:rPr>
      </w:pPr>
      <w:r>
        <w:rPr>
          <w:noProof/>
        </w:rPr>
        <w:lastRenderedPageBreak/>
        <w:drawing>
          <wp:anchor distT="0" distB="0" distL="114300" distR="114300" simplePos="0" relativeHeight="251698176" behindDoc="1" locked="0" layoutInCell="1" allowOverlap="1" wp14:anchorId="5BB9A9A4" wp14:editId="53774018">
            <wp:simplePos x="0" y="0"/>
            <wp:positionH relativeFrom="column">
              <wp:posOffset>0</wp:posOffset>
            </wp:positionH>
            <wp:positionV relativeFrom="paragraph">
              <wp:posOffset>0</wp:posOffset>
            </wp:positionV>
            <wp:extent cx="8001000" cy="5780405"/>
            <wp:effectExtent l="0" t="0" r="0" b="0"/>
            <wp:wrapTight wrapText="bothSides">
              <wp:wrapPolygon edited="0">
                <wp:start x="0" y="0"/>
                <wp:lineTo x="0" y="21498"/>
                <wp:lineTo x="21549" y="21498"/>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001000" cy="5780405"/>
                    </a:xfrm>
                    <a:prstGeom prst="rect">
                      <a:avLst/>
                    </a:prstGeom>
                  </pic:spPr>
                </pic:pic>
              </a:graphicData>
            </a:graphic>
          </wp:anchor>
        </w:drawing>
      </w:r>
    </w:p>
    <w:p w14:paraId="202B8F3A" w14:textId="77777777" w:rsidR="0064465E" w:rsidRDefault="0064465E"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br w:type="page"/>
      </w:r>
    </w:p>
    <w:p w14:paraId="79CBB1CC" w14:textId="2B7C849A" w:rsidR="00CE0226" w:rsidRDefault="00CE0226" w:rsidP="003370F3">
      <w:pPr>
        <w:suppressAutoHyphens/>
        <w:spacing w:line="240" w:lineRule="exact"/>
        <w:contextualSpacing/>
        <w:rPr>
          <w:rFonts w:ascii="Times New Roman" w:hAnsi="Times New Roman"/>
          <w:b/>
          <w:spacing w:val="4"/>
          <w:w w:val="103"/>
          <w:kern w:val="14"/>
          <w:sz w:val="20"/>
          <w:lang w:val="en-GB"/>
        </w:rPr>
      </w:pPr>
      <w:r>
        <w:rPr>
          <w:noProof/>
        </w:rPr>
        <w:lastRenderedPageBreak/>
        <w:drawing>
          <wp:anchor distT="0" distB="0" distL="114300" distR="114300" simplePos="0" relativeHeight="251699200" behindDoc="1" locked="0" layoutInCell="1" allowOverlap="1" wp14:anchorId="17453FB6" wp14:editId="6746E220">
            <wp:simplePos x="0" y="0"/>
            <wp:positionH relativeFrom="column">
              <wp:posOffset>-57150</wp:posOffset>
            </wp:positionH>
            <wp:positionV relativeFrom="paragraph">
              <wp:posOffset>0</wp:posOffset>
            </wp:positionV>
            <wp:extent cx="8001000" cy="5638800"/>
            <wp:effectExtent l="0" t="0" r="0" b="0"/>
            <wp:wrapTight wrapText="bothSides">
              <wp:wrapPolygon edited="0">
                <wp:start x="0" y="0"/>
                <wp:lineTo x="0" y="21527"/>
                <wp:lineTo x="21549" y="21527"/>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01000" cy="5638800"/>
                    </a:xfrm>
                    <a:prstGeom prst="rect">
                      <a:avLst/>
                    </a:prstGeom>
                  </pic:spPr>
                </pic:pic>
              </a:graphicData>
            </a:graphic>
            <wp14:sizeRelV relativeFrom="margin">
              <wp14:pctHeight>0</wp14:pctHeight>
            </wp14:sizeRelV>
          </wp:anchor>
        </w:drawing>
      </w:r>
    </w:p>
    <w:p w14:paraId="7FC9F91F" w14:textId="1B82E378" w:rsidR="00CE0226" w:rsidRDefault="00CE0226"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br w:type="page"/>
      </w:r>
    </w:p>
    <w:p w14:paraId="251EB167" w14:textId="0382379F" w:rsidR="002B47AC" w:rsidRDefault="002E689F" w:rsidP="002B47AC">
      <w:pPr>
        <w:suppressAutoHyphens/>
        <w:spacing w:line="240" w:lineRule="exact"/>
        <w:contextualSpacing/>
        <w:rPr>
          <w:rFonts w:ascii="Times New Roman" w:hAnsi="Times New Roman"/>
          <w:b/>
          <w:spacing w:val="4"/>
          <w:w w:val="103"/>
          <w:kern w:val="14"/>
          <w:sz w:val="20"/>
          <w:lang w:val="en-GB"/>
        </w:rPr>
      </w:pPr>
      <w:r>
        <w:rPr>
          <w:noProof/>
        </w:rPr>
        <w:lastRenderedPageBreak/>
        <w:drawing>
          <wp:anchor distT="0" distB="0" distL="114300" distR="114300" simplePos="0" relativeHeight="251700224" behindDoc="1" locked="0" layoutInCell="1" allowOverlap="1" wp14:anchorId="1BEC47BF" wp14:editId="6E2FA19E">
            <wp:simplePos x="0" y="0"/>
            <wp:positionH relativeFrom="column">
              <wp:posOffset>0</wp:posOffset>
            </wp:positionH>
            <wp:positionV relativeFrom="paragraph">
              <wp:posOffset>0</wp:posOffset>
            </wp:positionV>
            <wp:extent cx="8001000" cy="5101590"/>
            <wp:effectExtent l="0" t="0" r="0" b="3810"/>
            <wp:wrapTight wrapText="bothSides">
              <wp:wrapPolygon edited="0">
                <wp:start x="0" y="0"/>
                <wp:lineTo x="0" y="21535"/>
                <wp:lineTo x="21549" y="21535"/>
                <wp:lineTo x="215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001000" cy="5101590"/>
                    </a:xfrm>
                    <a:prstGeom prst="rect">
                      <a:avLst/>
                    </a:prstGeom>
                  </pic:spPr>
                </pic:pic>
              </a:graphicData>
            </a:graphic>
          </wp:anchor>
        </w:drawing>
      </w:r>
      <w:r w:rsidR="002B47AC">
        <w:rPr>
          <w:rFonts w:ascii="Times New Roman" w:hAnsi="Times New Roman"/>
          <w:b/>
          <w:spacing w:val="4"/>
          <w:w w:val="103"/>
          <w:kern w:val="14"/>
          <w:sz w:val="20"/>
          <w:lang w:val="en-GB"/>
        </w:rPr>
        <w:br w:type="page"/>
      </w:r>
    </w:p>
    <w:p w14:paraId="2AFFF6BB" w14:textId="223CEDCD" w:rsidR="00A10E7B" w:rsidRPr="009252FE" w:rsidRDefault="000B77E5" w:rsidP="002B47AC">
      <w:pPr>
        <w:pStyle w:val="HCh"/>
        <w:spacing w:before="240" w:after="240" w:line="240" w:lineRule="auto"/>
        <w:ind w:left="720" w:right="1267" w:hanging="720"/>
        <w:rPr>
          <w:b w:val="0"/>
        </w:rPr>
      </w:pPr>
      <w:r>
        <w:lastRenderedPageBreak/>
        <w:t xml:space="preserve">Appendix </w:t>
      </w:r>
      <w:r w:rsidR="00A10E7B" w:rsidRPr="009252FE">
        <w:t xml:space="preserve">IV. </w:t>
      </w:r>
    </w:p>
    <w:p w14:paraId="28FFD7A4" w14:textId="1D2C3E7E" w:rsidR="002F218C" w:rsidRPr="009252FE" w:rsidRDefault="002F218C" w:rsidP="008D356C">
      <w:pPr>
        <w:pStyle w:val="HCh"/>
        <w:spacing w:before="120" w:line="240" w:lineRule="auto"/>
        <w:ind w:left="720" w:right="1267" w:hanging="720"/>
      </w:pPr>
      <w:r w:rsidRPr="009252FE">
        <w:t xml:space="preserve">Regular resources – </w:t>
      </w:r>
      <w:r w:rsidR="00E061C8">
        <w:t xml:space="preserve">annual </w:t>
      </w:r>
      <w:r w:rsidRPr="009252FE">
        <w:t>contributions from top 10 donors, 201</w:t>
      </w:r>
      <w:r w:rsidR="00FC31FD" w:rsidRPr="009252FE">
        <w:t>8</w:t>
      </w:r>
      <w:r w:rsidRPr="009252FE">
        <w:t>-201</w:t>
      </w:r>
      <w:r w:rsidR="00FC31FD" w:rsidRPr="009252FE">
        <w:t>9</w:t>
      </w:r>
    </w:p>
    <w:p w14:paraId="7A007E56" w14:textId="728683F6" w:rsidR="002F218C" w:rsidRPr="00FB2146" w:rsidRDefault="002F218C" w:rsidP="002F218C">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9252FE">
        <w:rPr>
          <w:rFonts w:ascii="Times New Roman" w:hAnsi="Times New Roman"/>
          <w:iCs/>
          <w:color w:val="000000"/>
          <w:sz w:val="16"/>
          <w:szCs w:val="15"/>
        </w:rPr>
        <w:t>(in millions of United States dollars)</w:t>
      </w:r>
    </w:p>
    <w:p w14:paraId="57BFA7C9" w14:textId="33EA49A1" w:rsidR="00A10E7B" w:rsidRDefault="009B46D6" w:rsidP="00A10E7B">
      <w:pPr>
        <w:jc w:val="both"/>
        <w:rPr>
          <w:rFonts w:ascii="Times New Roman" w:hAnsi="Times New Roman"/>
          <w:b/>
          <w:bCs/>
          <w:szCs w:val="24"/>
        </w:rPr>
      </w:pPr>
      <w:r>
        <w:rPr>
          <w:noProof/>
        </w:rPr>
        <w:drawing>
          <wp:inline distT="0" distB="0" distL="0" distR="0" wp14:anchorId="349937E1" wp14:editId="39C27527">
            <wp:extent cx="8020050" cy="352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20050" cy="3524250"/>
                    </a:xfrm>
                    <a:prstGeom prst="rect">
                      <a:avLst/>
                    </a:prstGeom>
                  </pic:spPr>
                </pic:pic>
              </a:graphicData>
            </a:graphic>
          </wp:inline>
        </w:drawing>
      </w:r>
    </w:p>
    <w:p w14:paraId="72C5F717" w14:textId="08DFCB1C" w:rsidR="00D700C5" w:rsidRDefault="00D700C5" w:rsidP="00A10E7B">
      <w:pPr>
        <w:jc w:val="both"/>
        <w:rPr>
          <w:rFonts w:ascii="Times New Roman" w:hAnsi="Times New Roman"/>
          <w:b/>
          <w:bCs/>
          <w:szCs w:val="24"/>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A10E7B">
          <w:headerReference w:type="even" r:id="rId21"/>
          <w:headerReference w:type="default" r:id="rId22"/>
          <w:footerReference w:type="even" r:id="rId23"/>
          <w:footerReference w:type="default" r:id="rId24"/>
          <w:endnotePr>
            <w:numFmt w:val="decimal"/>
          </w:endnotePr>
          <w:type w:val="continuous"/>
          <w:pgSz w:w="15840" w:h="12240" w:orient="landscape"/>
          <w:pgMar w:top="1526" w:right="1890" w:bottom="990" w:left="1350" w:header="720" w:footer="720" w:gutter="0"/>
          <w:cols w:space="720"/>
          <w:noEndnote/>
          <w:docGrid w:linePitch="326"/>
        </w:sectPr>
      </w:pPr>
    </w:p>
    <w:p w14:paraId="6FA4FCE6" w14:textId="6478E434" w:rsidR="00C14DEE" w:rsidRPr="00DB6747" w:rsidRDefault="000B77E5" w:rsidP="00DB6747">
      <w:pPr>
        <w:pStyle w:val="HCh"/>
        <w:spacing w:before="240" w:after="240" w:line="240" w:lineRule="auto"/>
        <w:ind w:left="720" w:right="1267" w:hanging="720"/>
        <w:rPr>
          <w:b w:val="0"/>
        </w:rPr>
      </w:pPr>
      <w:r>
        <w:lastRenderedPageBreak/>
        <w:t xml:space="preserve">Appendix </w:t>
      </w:r>
      <w:r w:rsidR="00C14DEE" w:rsidRPr="00DB6747">
        <w:t>V</w:t>
      </w:r>
      <w:r w:rsidR="00FD7B87" w:rsidRPr="00DB6747">
        <w:t>.</w:t>
      </w:r>
    </w:p>
    <w:p w14:paraId="6FA4FCE7" w14:textId="485167F7" w:rsidR="00634F26" w:rsidRPr="00D86669" w:rsidRDefault="00634F26" w:rsidP="008D356C">
      <w:pPr>
        <w:pStyle w:val="HCh"/>
        <w:spacing w:before="120" w:line="240" w:lineRule="auto"/>
        <w:ind w:left="720" w:right="1267" w:hanging="720"/>
        <w:rPr>
          <w:sz w:val="26"/>
          <w:szCs w:val="26"/>
        </w:rPr>
      </w:pPr>
      <w:r w:rsidRPr="00D86669">
        <w:rPr>
          <w:sz w:val="26"/>
          <w:szCs w:val="26"/>
        </w:rPr>
        <w:t xml:space="preserve">Explanations of terms used in </w:t>
      </w:r>
      <w:r w:rsidR="00D86669" w:rsidRPr="00D86669">
        <w:rPr>
          <w:sz w:val="26"/>
          <w:szCs w:val="26"/>
        </w:rPr>
        <w:t xml:space="preserve">Annex </w:t>
      </w:r>
      <w:r w:rsidR="000B77E5">
        <w:rPr>
          <w:sz w:val="26"/>
          <w:szCs w:val="26"/>
        </w:rPr>
        <w:t>I</w:t>
      </w:r>
      <w:r w:rsidR="00D86669" w:rsidRPr="00D86669">
        <w:rPr>
          <w:sz w:val="26"/>
          <w:szCs w:val="26"/>
        </w:rPr>
        <w:t xml:space="preserve"> to </w:t>
      </w:r>
      <w:r w:rsidRPr="00D86669">
        <w:rPr>
          <w:sz w:val="26"/>
          <w:szCs w:val="26"/>
        </w:rPr>
        <w:t>DP/20</w:t>
      </w:r>
      <w:r w:rsidR="004E2071" w:rsidRPr="00D86669">
        <w:rPr>
          <w:sz w:val="26"/>
          <w:szCs w:val="26"/>
        </w:rPr>
        <w:t>20</w:t>
      </w:r>
      <w:r w:rsidRPr="00D86669">
        <w:rPr>
          <w:sz w:val="26"/>
          <w:szCs w:val="26"/>
        </w:rPr>
        <w:t>/</w:t>
      </w:r>
      <w:r w:rsidR="004E2071" w:rsidRPr="00D86669">
        <w:rPr>
          <w:sz w:val="26"/>
          <w:szCs w:val="26"/>
        </w:rPr>
        <w:t>2</w:t>
      </w:r>
      <w:r w:rsidR="000B77E5">
        <w:rPr>
          <w:sz w:val="26"/>
          <w:szCs w:val="26"/>
        </w:rPr>
        <w:t>0</w:t>
      </w:r>
    </w:p>
    <w:p w14:paraId="49B4B612" w14:textId="778DA7D9" w:rsidR="00C52DDE" w:rsidRPr="00C52DDE" w:rsidRDefault="00662761" w:rsidP="00BC0466">
      <w:pPr>
        <w:pStyle w:val="ListParagraph"/>
        <w:numPr>
          <w:ilvl w:val="0"/>
          <w:numId w:val="28"/>
        </w:numPr>
        <w:tabs>
          <w:tab w:val="left" w:pos="1260"/>
        </w:tabs>
        <w:suppressAutoHyphens/>
        <w:spacing w:before="360" w:after="120"/>
        <w:ind w:left="360" w:right="1267"/>
        <w:contextualSpacing w:val="0"/>
        <w:jc w:val="both"/>
        <w:rPr>
          <w:rFonts w:ascii="Times New Roman" w:hAnsi="Times New Roman"/>
          <w:spacing w:val="4"/>
          <w:w w:val="103"/>
          <w:kern w:val="14"/>
          <w:sz w:val="20"/>
        </w:rPr>
      </w:pPr>
      <w:r w:rsidRPr="00BC0466">
        <w:rPr>
          <w:rFonts w:ascii="Times New Roman" w:hAnsi="Times New Roman"/>
          <w:b/>
          <w:bCs/>
          <w:i/>
          <w:spacing w:val="4"/>
          <w:w w:val="103"/>
          <w:kern w:val="14"/>
          <w:sz w:val="20"/>
        </w:rPr>
        <w:t>Accumulated surplus:</w:t>
      </w:r>
      <w:r w:rsidRPr="00C52DDE">
        <w:rPr>
          <w:rFonts w:ascii="Times New Roman" w:hAnsi="Times New Roman"/>
          <w:i/>
          <w:spacing w:val="4"/>
          <w:w w:val="103"/>
          <w:kern w:val="14"/>
          <w:sz w:val="20"/>
        </w:rPr>
        <w:t xml:space="preserve"> </w:t>
      </w:r>
      <w:r w:rsidRPr="00C52DDE">
        <w:rPr>
          <w:rFonts w:ascii="Times New Roman" w:hAnsi="Times New Roman"/>
          <w:spacing w:val="4"/>
          <w:w w:val="103"/>
          <w:kern w:val="14"/>
          <w:sz w:val="20"/>
        </w:rPr>
        <w:t>Formerly referred to as ‘unexpended resources or unspent balance’. It represents</w:t>
      </w:r>
      <w:r w:rsidR="000E3632" w:rsidRPr="00C52DDE">
        <w:rPr>
          <w:rFonts w:ascii="Times New Roman" w:hAnsi="Times New Roman"/>
          <w:spacing w:val="4"/>
          <w:w w:val="103"/>
          <w:kern w:val="14"/>
          <w:sz w:val="20"/>
        </w:rPr>
        <w:t xml:space="preserve"> </w:t>
      </w:r>
      <w:r w:rsidRPr="00C52DDE">
        <w:rPr>
          <w:rFonts w:ascii="Times New Roman" w:hAnsi="Times New Roman"/>
          <w:spacing w:val="4"/>
          <w:w w:val="103"/>
          <w:kern w:val="14"/>
          <w:sz w:val="20"/>
        </w:rPr>
        <w:t xml:space="preserve">accumulated funds at the end of the reporting period. </w:t>
      </w:r>
    </w:p>
    <w:p w14:paraId="6FA4FCE9" w14:textId="748B46C0" w:rsidR="00634F26" w:rsidRPr="00C52DDE"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 xml:space="preserve">Bilateral </w:t>
      </w:r>
      <w:r w:rsidR="008F7962" w:rsidRPr="00BC0466">
        <w:rPr>
          <w:rFonts w:ascii="Times New Roman" w:hAnsi="Times New Roman"/>
          <w:b/>
          <w:bCs/>
          <w:i/>
          <w:spacing w:val="4"/>
          <w:w w:val="103"/>
          <w:kern w:val="14"/>
          <w:sz w:val="20"/>
        </w:rPr>
        <w:t>governments</w:t>
      </w:r>
      <w:r w:rsidRPr="00BC0466">
        <w:rPr>
          <w:rFonts w:ascii="Times New Roman" w:hAnsi="Times New Roman"/>
          <w:b/>
          <w:bCs/>
          <w:i/>
          <w:spacing w:val="4"/>
          <w:w w:val="103"/>
          <w:kern w:val="14"/>
          <w:sz w:val="20"/>
        </w:rPr>
        <w:t>:</w:t>
      </w:r>
      <w:r w:rsidRPr="00BC0466">
        <w:rPr>
          <w:rFonts w:ascii="Times New Roman" w:hAnsi="Times New Roman"/>
          <w:iCs/>
          <w:spacing w:val="4"/>
          <w:w w:val="103"/>
          <w:kern w:val="14"/>
          <w:sz w:val="20"/>
        </w:rPr>
        <w:t xml:space="preserve"> </w:t>
      </w:r>
      <w:r w:rsidR="00E45DDE" w:rsidRPr="00BC0466">
        <w:rPr>
          <w:rFonts w:ascii="Times New Roman" w:hAnsi="Times New Roman"/>
          <w:iCs/>
          <w:spacing w:val="4"/>
          <w:w w:val="103"/>
          <w:kern w:val="14"/>
          <w:sz w:val="20"/>
        </w:rPr>
        <w:t xml:space="preserve">Governments of the </w:t>
      </w:r>
      <w:r w:rsidRPr="00BC0466">
        <w:rPr>
          <w:rFonts w:ascii="Times New Roman" w:hAnsi="Times New Roman"/>
          <w:iCs/>
          <w:spacing w:val="4"/>
          <w:w w:val="103"/>
          <w:kern w:val="14"/>
          <w:sz w:val="20"/>
        </w:rPr>
        <w:t>Member</w:t>
      </w:r>
      <w:r w:rsidR="007F306E" w:rsidRPr="00BC0466">
        <w:rPr>
          <w:rFonts w:ascii="Times New Roman" w:hAnsi="Times New Roman"/>
          <w:iCs/>
          <w:spacing w:val="4"/>
          <w:w w:val="103"/>
          <w:kern w:val="14"/>
          <w:sz w:val="20"/>
        </w:rPr>
        <w:t xml:space="preserve"> States that contribute to UNDP regular resources and other resources, </w:t>
      </w:r>
      <w:r w:rsidR="00F5512C" w:rsidRPr="00BC0466">
        <w:rPr>
          <w:rFonts w:ascii="Times New Roman" w:hAnsi="Times New Roman"/>
          <w:iCs/>
          <w:spacing w:val="4"/>
          <w:w w:val="103"/>
          <w:kern w:val="14"/>
          <w:sz w:val="20"/>
        </w:rPr>
        <w:t xml:space="preserve">comprising </w:t>
      </w:r>
      <w:r w:rsidRPr="00BC0466">
        <w:rPr>
          <w:rFonts w:ascii="Times New Roman" w:hAnsi="Times New Roman"/>
          <w:iCs/>
          <w:spacing w:val="4"/>
          <w:w w:val="103"/>
          <w:kern w:val="14"/>
          <w:sz w:val="20"/>
        </w:rPr>
        <w:t xml:space="preserve">the Development Assistance Committee of the </w:t>
      </w:r>
      <w:proofErr w:type="spellStart"/>
      <w:r w:rsidRPr="00BC0466">
        <w:rPr>
          <w:rFonts w:ascii="Times New Roman" w:hAnsi="Times New Roman"/>
          <w:iCs/>
          <w:spacing w:val="4"/>
          <w:w w:val="103"/>
          <w:kern w:val="14"/>
          <w:sz w:val="20"/>
        </w:rPr>
        <w:t>Organisation</w:t>
      </w:r>
      <w:proofErr w:type="spellEnd"/>
      <w:r w:rsidRPr="00BC0466">
        <w:rPr>
          <w:rFonts w:ascii="Times New Roman" w:hAnsi="Times New Roman"/>
          <w:iCs/>
          <w:spacing w:val="4"/>
          <w:w w:val="103"/>
          <w:kern w:val="14"/>
          <w:sz w:val="20"/>
        </w:rPr>
        <w:t xml:space="preserve"> for Economic Co-opera</w:t>
      </w:r>
      <w:r w:rsidR="007F306E" w:rsidRPr="00BC0466">
        <w:rPr>
          <w:rFonts w:ascii="Times New Roman" w:hAnsi="Times New Roman"/>
          <w:iCs/>
          <w:spacing w:val="4"/>
          <w:w w:val="103"/>
          <w:kern w:val="14"/>
          <w:sz w:val="20"/>
        </w:rPr>
        <w:t xml:space="preserve">tion and Development (OECD/DAC) </w:t>
      </w:r>
      <w:r w:rsidR="00E45DDE" w:rsidRPr="00BC0466">
        <w:rPr>
          <w:rFonts w:ascii="Times New Roman" w:hAnsi="Times New Roman"/>
          <w:iCs/>
          <w:spacing w:val="4"/>
          <w:w w:val="103"/>
          <w:kern w:val="14"/>
          <w:sz w:val="20"/>
        </w:rPr>
        <w:t>members</w:t>
      </w:r>
      <w:r w:rsidR="00513F4D" w:rsidRPr="00BC0466">
        <w:rPr>
          <w:rFonts w:ascii="Times New Roman" w:hAnsi="Times New Roman"/>
          <w:iCs/>
          <w:spacing w:val="4"/>
          <w:w w:val="103"/>
          <w:kern w:val="14"/>
          <w:sz w:val="20"/>
        </w:rPr>
        <w:t>,</w:t>
      </w:r>
      <w:r w:rsidR="00E45DDE" w:rsidRPr="00BC0466">
        <w:rPr>
          <w:rFonts w:ascii="Times New Roman" w:hAnsi="Times New Roman"/>
          <w:iCs/>
          <w:spacing w:val="4"/>
          <w:w w:val="103"/>
          <w:kern w:val="14"/>
          <w:sz w:val="20"/>
        </w:rPr>
        <w:t xml:space="preserve"> </w:t>
      </w:r>
      <w:r w:rsidR="007F306E" w:rsidRPr="00BC0466">
        <w:rPr>
          <w:rFonts w:ascii="Times New Roman" w:hAnsi="Times New Roman"/>
          <w:iCs/>
          <w:spacing w:val="4"/>
          <w:w w:val="103"/>
          <w:kern w:val="14"/>
          <w:sz w:val="20"/>
        </w:rPr>
        <w:t>and non-members of OECD/DAC including programme countries</w:t>
      </w:r>
      <w:r w:rsidRPr="00BC0466">
        <w:rPr>
          <w:rFonts w:ascii="Times New Roman" w:hAnsi="Times New Roman"/>
          <w:iCs/>
          <w:spacing w:val="4"/>
          <w:w w:val="103"/>
          <w:kern w:val="14"/>
          <w:sz w:val="20"/>
        </w:rPr>
        <w:t>.</w:t>
      </w:r>
    </w:p>
    <w:p w14:paraId="6FA4FCEB" w14:textId="0C4FE6CE" w:rsidR="00864721" w:rsidRPr="00BC0466" w:rsidRDefault="00864721"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Certified Emission Reductions (CER</w:t>
      </w:r>
      <w:r w:rsidR="009C474C" w:rsidRPr="00BC0466">
        <w:rPr>
          <w:rFonts w:ascii="Times New Roman" w:hAnsi="Times New Roman"/>
          <w:b/>
          <w:bCs/>
          <w:i/>
          <w:spacing w:val="4"/>
          <w:w w:val="103"/>
          <w:kern w:val="14"/>
          <w:sz w:val="20"/>
        </w:rPr>
        <w:t>)</w:t>
      </w:r>
      <w:r w:rsidRPr="00BC0466">
        <w:rPr>
          <w:rFonts w:ascii="Times New Roman" w:hAnsi="Times New Roman"/>
          <w:b/>
          <w:bCs/>
          <w:i/>
          <w:spacing w:val="4"/>
          <w:w w:val="103"/>
          <w:kern w:val="14"/>
          <w:sz w:val="20"/>
        </w:rPr>
        <w:t>s</w:t>
      </w:r>
      <w:r w:rsidRPr="00BC0466">
        <w:rPr>
          <w:rFonts w:ascii="Times New Roman" w:hAnsi="Times New Roman"/>
          <w:b/>
          <w:bCs/>
          <w:iCs/>
          <w:spacing w:val="4"/>
          <w:w w:val="103"/>
          <w:kern w:val="14"/>
          <w:sz w:val="20"/>
        </w:rPr>
        <w:t>:</w:t>
      </w:r>
      <w:r w:rsidRPr="00BC0466">
        <w:rPr>
          <w:rFonts w:ascii="Times New Roman" w:hAnsi="Times New Roman"/>
          <w:iCs/>
          <w:spacing w:val="4"/>
          <w:w w:val="103"/>
          <w:kern w:val="14"/>
          <w:sz w:val="20"/>
        </w:rPr>
        <w:t xml:space="preserve">  </w:t>
      </w:r>
      <w:r w:rsidR="00454FCC" w:rsidRPr="00BC0466">
        <w:rPr>
          <w:rFonts w:ascii="Times New Roman" w:hAnsi="Times New Roman"/>
          <w:iCs/>
          <w:spacing w:val="4"/>
          <w:w w:val="103"/>
          <w:kern w:val="14"/>
          <w:sz w:val="20"/>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UNDP is committed to buying only very credible, UNFCCC-issued credits (“Gold Standard”) which also deliver tangible sustainable development benefits. For details please refer to the EG-approved HQ Emission Reduction Strategy (</w:t>
      </w:r>
      <w:hyperlink r:id="rId25" w:history="1">
        <w:r w:rsidR="00454FCC" w:rsidRPr="00BC0466">
          <w:rPr>
            <w:rFonts w:ascii="Times New Roman" w:hAnsi="Times New Roman"/>
            <w:iCs/>
            <w:spacing w:val="4"/>
            <w:w w:val="103"/>
            <w:kern w:val="14"/>
            <w:sz w:val="20"/>
          </w:rPr>
          <w:t>https://undp.unteamworks.org/node/369936</w:t>
        </w:r>
      </w:hyperlink>
      <w:r w:rsidR="00454FCC" w:rsidRPr="00BC0466">
        <w:rPr>
          <w:rFonts w:ascii="Times New Roman" w:hAnsi="Times New Roman"/>
          <w:iCs/>
          <w:spacing w:val="4"/>
          <w:w w:val="103"/>
          <w:kern w:val="14"/>
          <w:sz w:val="20"/>
        </w:rPr>
        <w:t xml:space="preserve">). </w:t>
      </w:r>
    </w:p>
    <w:p w14:paraId="6FA4FCEC" w14:textId="77777777" w:rsidR="00634F26" w:rsidRPr="00C52DDE"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Cost classification:</w:t>
      </w:r>
      <w:r w:rsidRPr="00C52DDE">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Set of criteria and the process of determining programme implementation vs. administration costs, and clarifying distinctions between those.</w:t>
      </w:r>
    </w:p>
    <w:p w14:paraId="6FA4FCED" w14:textId="77777777" w:rsidR="00B1400D" w:rsidRPr="00BC0466" w:rsidRDefault="00B1400D"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Development activities:</w:t>
      </w:r>
      <w:r w:rsidRPr="00C52DDE">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Activities associated with ‘programmes</w:t>
      </w:r>
      <w:r w:rsidR="00AD7765" w:rsidRPr="00BC0466">
        <w:rPr>
          <w:rFonts w:ascii="Times New Roman" w:hAnsi="Times New Roman"/>
          <w:iCs/>
          <w:spacing w:val="4"/>
          <w:w w:val="103"/>
          <w:kern w:val="14"/>
          <w:sz w:val="20"/>
        </w:rPr>
        <w:t>’</w:t>
      </w:r>
      <w:r w:rsidRPr="00BC0466">
        <w:rPr>
          <w:rFonts w:ascii="Times New Roman" w:hAnsi="Times New Roman"/>
          <w:iCs/>
          <w:spacing w:val="4"/>
          <w:w w:val="103"/>
          <w:kern w:val="14"/>
          <w:sz w:val="20"/>
        </w:rPr>
        <w:t xml:space="preserve"> and ‘development effectiveness</w:t>
      </w:r>
      <w:r w:rsidR="00AD7765" w:rsidRPr="00BC0466">
        <w:rPr>
          <w:rFonts w:ascii="Times New Roman" w:hAnsi="Times New Roman"/>
          <w:iCs/>
          <w:spacing w:val="4"/>
          <w:w w:val="103"/>
          <w:kern w:val="14"/>
          <w:sz w:val="20"/>
        </w:rPr>
        <w:t>,</w:t>
      </w:r>
      <w:r w:rsidRPr="00BC0466">
        <w:rPr>
          <w:rFonts w:ascii="Times New Roman" w:hAnsi="Times New Roman"/>
          <w:iCs/>
          <w:spacing w:val="4"/>
          <w:w w:val="103"/>
          <w:kern w:val="14"/>
          <w:sz w:val="20"/>
        </w:rPr>
        <w:t>’ activities essential for achieving development results.</w:t>
      </w:r>
    </w:p>
    <w:p w14:paraId="6FA4FCEE" w14:textId="39933658" w:rsidR="00B1400D" w:rsidRPr="00AD7765" w:rsidRDefault="00B1400D" w:rsidP="00BC0466">
      <w:pPr>
        <w:numPr>
          <w:ilvl w:val="0"/>
          <w:numId w:val="2"/>
        </w:numPr>
        <w:suppressAutoHyphens/>
        <w:autoSpaceDE w:val="0"/>
        <w:autoSpaceDN w:val="0"/>
        <w:adjustRightInd w:val="0"/>
        <w:spacing w:before="120" w:after="120"/>
        <w:ind w:left="1080" w:right="1267" w:hanging="450"/>
        <w:jc w:val="both"/>
        <w:rPr>
          <w:rFonts w:ascii="Times New Roman" w:eastAsia="Calibri" w:hAnsi="Times New Roman"/>
          <w:bCs/>
          <w:i/>
          <w:spacing w:val="4"/>
          <w:w w:val="103"/>
          <w:kern w:val="14"/>
          <w:sz w:val="20"/>
          <w:lang w:val="en-GB"/>
        </w:rPr>
      </w:pPr>
      <w:r w:rsidRPr="00BC0466">
        <w:rPr>
          <w:rFonts w:ascii="Times New Roman" w:eastAsia="Calibri" w:hAnsi="Times New Roman"/>
          <w:b/>
          <w:i/>
          <w:spacing w:val="4"/>
          <w:w w:val="103"/>
          <w:kern w:val="14"/>
          <w:sz w:val="20"/>
          <w:lang w:val="en-GB"/>
        </w:rPr>
        <w:t>Programmes:</w:t>
      </w:r>
      <w:r w:rsidRPr="00AD7765">
        <w:rPr>
          <w:rFonts w:ascii="Times New Roman" w:eastAsia="Calibri" w:hAnsi="Times New Roman"/>
          <w:bCs/>
          <w:i/>
          <w:spacing w:val="4"/>
          <w:w w:val="103"/>
          <w:kern w:val="14"/>
          <w:sz w:val="20"/>
          <w:lang w:val="en-GB"/>
        </w:rPr>
        <w:t xml:space="preserve">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BC0466">
      <w:pPr>
        <w:numPr>
          <w:ilvl w:val="0"/>
          <w:numId w:val="2"/>
        </w:numPr>
        <w:suppressAutoHyphens/>
        <w:autoSpaceDE w:val="0"/>
        <w:autoSpaceDN w:val="0"/>
        <w:adjustRightInd w:val="0"/>
        <w:spacing w:before="120" w:after="120"/>
        <w:ind w:left="1080" w:right="1267" w:hanging="450"/>
        <w:jc w:val="both"/>
        <w:rPr>
          <w:rFonts w:ascii="Times New Roman" w:eastAsia="Calibri" w:hAnsi="Times New Roman"/>
          <w:bCs/>
          <w:spacing w:val="4"/>
          <w:w w:val="103"/>
          <w:kern w:val="14"/>
          <w:sz w:val="20"/>
          <w:lang w:val="en-GB"/>
        </w:rPr>
      </w:pPr>
      <w:r w:rsidRPr="00BC0466">
        <w:rPr>
          <w:rFonts w:ascii="Times New Roman" w:eastAsia="Calibri" w:hAnsi="Times New Roman"/>
          <w:b/>
          <w:i/>
          <w:spacing w:val="4"/>
          <w:w w:val="103"/>
          <w:kern w:val="14"/>
          <w:sz w:val="20"/>
          <w:lang w:val="en-GB"/>
        </w:rPr>
        <w:t>Development effectiveness activities:</w:t>
      </w:r>
      <w:r w:rsidRPr="00AD7765">
        <w:rPr>
          <w:rFonts w:ascii="Times New Roman" w:eastAsia="Calibri" w:hAnsi="Times New Roman"/>
          <w:bCs/>
          <w:i/>
          <w:spacing w:val="4"/>
          <w:w w:val="103"/>
          <w:kern w:val="14"/>
          <w:sz w:val="20"/>
          <w:lang w:val="en-GB"/>
        </w:rPr>
        <w:t xml:space="preserve">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BC0466" w:rsidRDefault="00662761"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Elimination:</w:t>
      </w:r>
      <w:r w:rsidRPr="00BC0466">
        <w:rPr>
          <w:rFonts w:ascii="Times New Roman" w:hAnsi="Times New Roman"/>
          <w:i/>
          <w:spacing w:val="4"/>
          <w:w w:val="103"/>
          <w:kern w:val="14"/>
          <w:sz w:val="20"/>
        </w:rPr>
        <w:t xml:space="preserve"> </w:t>
      </w:r>
      <w:r w:rsidR="000E3632" w:rsidRPr="00BC0466">
        <w:rPr>
          <w:rFonts w:ascii="Times New Roman" w:hAnsi="Times New Roman"/>
          <w:iCs/>
          <w:spacing w:val="4"/>
          <w:w w:val="103"/>
          <w:kern w:val="14"/>
          <w:sz w:val="20"/>
        </w:rPr>
        <w:t xml:space="preserve">Represents </w:t>
      </w:r>
      <w:r w:rsidR="00F5512C" w:rsidRPr="00BC0466">
        <w:rPr>
          <w:rFonts w:ascii="Times New Roman" w:hAnsi="Times New Roman"/>
          <w:iCs/>
          <w:spacing w:val="4"/>
          <w:w w:val="103"/>
          <w:kern w:val="14"/>
          <w:sz w:val="20"/>
        </w:rPr>
        <w:t>the accounting adjustment to remove the effect of internal UNDP cost-recovery revenue and general management support expense from total UNDP amounts.</w:t>
      </w:r>
    </w:p>
    <w:p w14:paraId="6FA4FCF1" w14:textId="59EAA7D6" w:rsidR="007F75AA" w:rsidRPr="00BC0466" w:rsidRDefault="000E3632"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Expenditure</w:t>
      </w:r>
      <w:r w:rsidRPr="00BC0466">
        <w:rPr>
          <w:rFonts w:ascii="Times New Roman" w:hAnsi="Times New Roman"/>
          <w:iCs/>
          <w:spacing w:val="4"/>
          <w:w w:val="103"/>
          <w:kern w:val="14"/>
          <w:sz w:val="20"/>
        </w:rPr>
        <w:t xml:space="preserve">: </w:t>
      </w:r>
      <w:r w:rsidR="00333924" w:rsidRPr="00BC0466">
        <w:rPr>
          <w:rFonts w:ascii="Times New Roman" w:hAnsi="Times New Roman"/>
          <w:iCs/>
          <w:spacing w:val="4"/>
          <w:w w:val="103"/>
          <w:kern w:val="14"/>
          <w:sz w:val="20"/>
        </w:rPr>
        <w:t xml:space="preserve">Utilization of available financial resources, across harmonized cost classification categories </w:t>
      </w:r>
    </w:p>
    <w:p w14:paraId="6FA4FCF2" w14:textId="18F4F4BB" w:rsidR="000562BE" w:rsidRPr="00BC0466" w:rsidRDefault="00B1400D"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E</w:t>
      </w:r>
      <w:r w:rsidR="000562BE" w:rsidRPr="00BC0466">
        <w:rPr>
          <w:rFonts w:ascii="Times New Roman" w:hAnsi="Times New Roman"/>
          <w:b/>
          <w:bCs/>
          <w:i/>
          <w:spacing w:val="4"/>
          <w:w w:val="103"/>
          <w:kern w:val="14"/>
          <w:sz w:val="20"/>
        </w:rPr>
        <w:t>xpenses:</w:t>
      </w:r>
      <w:r w:rsidR="000562BE" w:rsidRPr="00BC0466">
        <w:rPr>
          <w:rFonts w:ascii="Times New Roman" w:hAnsi="Times New Roman"/>
          <w:i/>
          <w:spacing w:val="4"/>
          <w:w w:val="103"/>
          <w:kern w:val="14"/>
          <w:sz w:val="20"/>
        </w:rPr>
        <w:tab/>
      </w:r>
      <w:r w:rsidR="000562BE" w:rsidRPr="00BC0466">
        <w:rPr>
          <w:rFonts w:ascii="Times New Roman" w:hAnsi="Times New Roman"/>
          <w:iCs/>
          <w:spacing w:val="4"/>
          <w:w w:val="103"/>
          <w:kern w:val="14"/>
          <w:sz w:val="20"/>
        </w:rPr>
        <w:t>Expenses include disbursements and accruals for goods received and services rendered, and the use or impairment of assets, dependent on the implementation arrangement.</w:t>
      </w:r>
    </w:p>
    <w:p w14:paraId="6FA4FCF4" w14:textId="77777777"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Government contributions towards local office costs (GLOC):</w:t>
      </w:r>
      <w:r w:rsidRPr="00AD7765">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Contributions in the f</w:t>
      </w:r>
      <w:r w:rsidR="000562BE" w:rsidRPr="00BC0466">
        <w:rPr>
          <w:rFonts w:ascii="Times New Roman" w:hAnsi="Times New Roman"/>
          <w:iCs/>
          <w:spacing w:val="4"/>
          <w:w w:val="103"/>
          <w:kern w:val="14"/>
          <w:sz w:val="20"/>
        </w:rPr>
        <w:t>orm of cash, or by provision in-</w:t>
      </w:r>
      <w:r w:rsidRPr="00BC0466">
        <w:rPr>
          <w:rFonts w:ascii="Times New Roman" w:hAnsi="Times New Roman"/>
          <w:iCs/>
          <w:spacing w:val="4"/>
          <w:w w:val="103"/>
          <w:kern w:val="14"/>
          <w:sz w:val="20"/>
        </w:rPr>
        <w:t>kind of specific goods, services and facilities that a host Government makes towards meeting the expenses of maintaining a UNDP country office.</w:t>
      </w:r>
    </w:p>
    <w:p w14:paraId="68C49AEE" w14:textId="77777777" w:rsidR="003831E9"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Institutional budget:</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The institutional </w:t>
      </w:r>
      <w:r w:rsidR="00333924" w:rsidRPr="00BC0466">
        <w:rPr>
          <w:rFonts w:ascii="Times New Roman" w:hAnsi="Times New Roman"/>
          <w:iCs/>
          <w:spacing w:val="4"/>
          <w:w w:val="103"/>
          <w:kern w:val="14"/>
          <w:sz w:val="20"/>
        </w:rPr>
        <w:t>component of the integrated budget covering activities over a period based on a set of defined results from the strategic plan.</w:t>
      </w:r>
    </w:p>
    <w:p w14:paraId="6FA4FCF5" w14:textId="01810A0F" w:rsidR="000E3632" w:rsidRPr="00BC0466" w:rsidRDefault="00662761"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IPSAS: International Public Sector Accounting Standards: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Independently developed accounting standards which have been considered the best accounting practice by public sector </w:t>
      </w:r>
      <w:proofErr w:type="spellStart"/>
      <w:r w:rsidR="00C23D9B" w:rsidRPr="00BC0466">
        <w:rPr>
          <w:rFonts w:ascii="Times New Roman" w:hAnsi="Times New Roman"/>
          <w:iCs/>
          <w:spacing w:val="4"/>
          <w:w w:val="103"/>
          <w:kern w:val="14"/>
          <w:sz w:val="20"/>
        </w:rPr>
        <w:t>orga</w:t>
      </w:r>
      <w:r w:rsidR="00A76E0F" w:rsidRPr="00BC0466">
        <w:rPr>
          <w:rFonts w:ascii="Times New Roman" w:hAnsi="Times New Roman"/>
          <w:iCs/>
          <w:spacing w:val="4"/>
          <w:w w:val="103"/>
          <w:kern w:val="14"/>
          <w:sz w:val="20"/>
        </w:rPr>
        <w:t>nisation</w:t>
      </w:r>
      <w:r w:rsidRPr="00BC0466">
        <w:rPr>
          <w:rFonts w:ascii="Times New Roman" w:hAnsi="Times New Roman"/>
          <w:iCs/>
          <w:spacing w:val="4"/>
          <w:w w:val="103"/>
          <w:kern w:val="14"/>
          <w:sz w:val="20"/>
        </w:rPr>
        <w:t>s</w:t>
      </w:r>
      <w:proofErr w:type="spellEnd"/>
      <w:r w:rsidRPr="00BC0466">
        <w:rPr>
          <w:rFonts w:ascii="Times New Roman" w:hAnsi="Times New Roman"/>
          <w:iCs/>
          <w:spacing w:val="4"/>
          <w:w w:val="103"/>
          <w:kern w:val="14"/>
          <w:sz w:val="20"/>
        </w:rPr>
        <w:t xml:space="preserve">. </w:t>
      </w:r>
    </w:p>
    <w:p w14:paraId="6FA4FCF6" w14:textId="77777777"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lastRenderedPageBreak/>
        <w:t>Joint programmes: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Collective efforts through which United Nations </w:t>
      </w:r>
      <w:proofErr w:type="spellStart"/>
      <w:r w:rsidR="00C23D9B" w:rsidRPr="00BC0466">
        <w:rPr>
          <w:rFonts w:ascii="Times New Roman" w:hAnsi="Times New Roman"/>
          <w:iCs/>
          <w:spacing w:val="4"/>
          <w:w w:val="103"/>
          <w:kern w:val="14"/>
          <w:sz w:val="20"/>
        </w:rPr>
        <w:t>organisations</w:t>
      </w:r>
      <w:proofErr w:type="spellEnd"/>
      <w:r w:rsidRPr="00BC0466">
        <w:rPr>
          <w:rFonts w:ascii="Times New Roman" w:hAnsi="Times New Roman"/>
          <w:iCs/>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223F8B80" w14:textId="63DC0D3D" w:rsidR="005B013F" w:rsidRPr="007772BE" w:rsidRDefault="005B013F"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7772BE">
        <w:rPr>
          <w:rFonts w:ascii="Times New Roman" w:hAnsi="Times New Roman"/>
          <w:b/>
          <w:bCs/>
          <w:i/>
          <w:spacing w:val="4"/>
          <w:w w:val="103"/>
          <w:kern w:val="14"/>
          <w:sz w:val="20"/>
        </w:rPr>
        <w:t>Low-income countries (LICs), Middle-income countries (MICs):</w:t>
      </w:r>
      <w:r w:rsidRPr="007772BE">
        <w:rPr>
          <w:rFonts w:ascii="Times New Roman" w:hAnsi="Times New Roman"/>
          <w:i/>
          <w:spacing w:val="4"/>
          <w:w w:val="103"/>
          <w:kern w:val="14"/>
          <w:sz w:val="20"/>
        </w:rPr>
        <w:t xml:space="preserve"> </w:t>
      </w:r>
      <w:r w:rsidRPr="007772BE">
        <w:rPr>
          <w:rFonts w:ascii="Times New Roman" w:hAnsi="Times New Roman"/>
          <w:iCs/>
          <w:spacing w:val="4"/>
          <w:w w:val="103"/>
          <w:kern w:val="14"/>
          <w:sz w:val="20"/>
        </w:rPr>
        <w:t xml:space="preserve">On the basis of their GNI per capita, countries are grouped into the following categories: </w:t>
      </w:r>
      <w:bookmarkStart w:id="1" w:name="_Hlk517887335"/>
      <w:r w:rsidRPr="007772BE">
        <w:rPr>
          <w:rFonts w:ascii="Times New Roman" w:hAnsi="Times New Roman"/>
          <w:iCs/>
          <w:spacing w:val="4"/>
          <w:w w:val="103"/>
          <w:kern w:val="14"/>
          <w:sz w:val="20"/>
        </w:rPr>
        <w:t>low income countries (LICs), middle income countries (MICs),</w:t>
      </w:r>
      <w:bookmarkEnd w:id="1"/>
      <w:r w:rsidRPr="007772BE">
        <w:rPr>
          <w:rFonts w:ascii="Times New Roman" w:hAnsi="Times New Roman"/>
          <w:iCs/>
          <w:spacing w:val="4"/>
          <w:w w:val="103"/>
          <w:kern w:val="14"/>
          <w:sz w:val="20"/>
        </w:rPr>
        <w:t xml:space="preserve"> transitional net-contributing countries and net-contributing countries (NCCs). </w:t>
      </w:r>
    </w:p>
    <w:p w14:paraId="7AD77188" w14:textId="28D7A667" w:rsidR="005B013F" w:rsidRPr="007772BE" w:rsidRDefault="005B013F" w:rsidP="00BC0466">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(a)</w:t>
      </w:r>
      <w:r w:rsidRPr="007772BE">
        <w:rPr>
          <w:rFonts w:ascii="Times New Roman" w:hAnsi="Times New Roman"/>
          <w:bCs/>
          <w:spacing w:val="4"/>
          <w:w w:val="103"/>
          <w:kern w:val="14"/>
          <w:sz w:val="20"/>
        </w:rPr>
        <w:tab/>
        <w:t>LICs are defined as countries with 201</w:t>
      </w:r>
      <w:r w:rsidR="00165B31" w:rsidRPr="007772BE">
        <w:rPr>
          <w:rFonts w:ascii="Times New Roman" w:hAnsi="Times New Roman"/>
          <w:bCs/>
          <w:spacing w:val="4"/>
          <w:w w:val="103"/>
          <w:kern w:val="14"/>
          <w:sz w:val="20"/>
        </w:rPr>
        <w:t>2</w:t>
      </w:r>
      <w:r w:rsidRPr="007772BE">
        <w:rPr>
          <w:rFonts w:ascii="Times New Roman" w:hAnsi="Times New Roman"/>
          <w:bCs/>
          <w:spacing w:val="4"/>
          <w:w w:val="103"/>
          <w:kern w:val="14"/>
          <w:sz w:val="20"/>
        </w:rPr>
        <w:t>-201</w:t>
      </w:r>
      <w:r w:rsidR="008D7927" w:rsidRPr="007772BE">
        <w:rPr>
          <w:rFonts w:ascii="Times New Roman" w:hAnsi="Times New Roman"/>
          <w:bCs/>
          <w:spacing w:val="4"/>
          <w:w w:val="103"/>
          <w:kern w:val="14"/>
          <w:sz w:val="20"/>
        </w:rPr>
        <w:t>5</w:t>
      </w:r>
      <w:r w:rsidRPr="007772BE">
        <w:rPr>
          <w:rFonts w:ascii="Times New Roman" w:hAnsi="Times New Roman"/>
          <w:bCs/>
          <w:spacing w:val="4"/>
          <w:w w:val="103"/>
          <w:kern w:val="14"/>
          <w:sz w:val="20"/>
        </w:rPr>
        <w:t xml:space="preserve"> an average GNI per capita of less than $1,280. </w:t>
      </w:r>
    </w:p>
    <w:p w14:paraId="362B6BE9" w14:textId="33EFD9C3" w:rsidR="005B013F" w:rsidRPr="007772BE" w:rsidRDefault="005B013F" w:rsidP="00BC0466">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(b)</w:t>
      </w:r>
      <w:r w:rsidRPr="007772BE">
        <w:rPr>
          <w:rFonts w:ascii="Times New Roman" w:hAnsi="Times New Roman"/>
          <w:bCs/>
          <w:spacing w:val="4"/>
          <w:w w:val="103"/>
          <w:kern w:val="14"/>
          <w:sz w:val="20"/>
        </w:rPr>
        <w:tab/>
        <w:t>MICs are defined as countries with 201</w:t>
      </w:r>
      <w:r w:rsidR="00EF6F75" w:rsidRPr="007772BE">
        <w:rPr>
          <w:rFonts w:ascii="Times New Roman" w:hAnsi="Times New Roman"/>
          <w:bCs/>
          <w:spacing w:val="4"/>
          <w:w w:val="103"/>
          <w:kern w:val="14"/>
          <w:sz w:val="20"/>
        </w:rPr>
        <w:t>2</w:t>
      </w:r>
      <w:r w:rsidRPr="007772BE">
        <w:rPr>
          <w:rFonts w:ascii="Times New Roman" w:hAnsi="Times New Roman"/>
          <w:bCs/>
          <w:spacing w:val="4"/>
          <w:w w:val="103"/>
          <w:kern w:val="14"/>
          <w:sz w:val="20"/>
        </w:rPr>
        <w:t>-201</w:t>
      </w:r>
      <w:r w:rsidR="00EF6F75" w:rsidRPr="007772BE">
        <w:rPr>
          <w:rFonts w:ascii="Times New Roman" w:hAnsi="Times New Roman"/>
          <w:bCs/>
          <w:spacing w:val="4"/>
          <w:w w:val="103"/>
          <w:kern w:val="14"/>
          <w:sz w:val="20"/>
        </w:rPr>
        <w:t>5</w:t>
      </w:r>
      <w:r w:rsidRPr="007772BE">
        <w:rPr>
          <w:rFonts w:ascii="Times New Roman" w:hAnsi="Times New Roman"/>
          <w:bCs/>
          <w:spacing w:val="4"/>
          <w:w w:val="103"/>
          <w:kern w:val="14"/>
          <w:sz w:val="20"/>
        </w:rPr>
        <w:t xml:space="preserve"> an average GNI per capita of between $1,281 and $12,475. There are two groups of MICs: </w:t>
      </w:r>
    </w:p>
    <w:p w14:paraId="3AD7AD13" w14:textId="0BD07507" w:rsidR="005B013F" w:rsidRPr="007772BE" w:rsidRDefault="005B013F" w:rsidP="00BC0466">
      <w:pPr>
        <w:pStyle w:val="ListParagraph"/>
        <w:numPr>
          <w:ilvl w:val="1"/>
          <w:numId w:val="24"/>
        </w:numPr>
        <w:suppressAutoHyphens/>
        <w:spacing w:before="120" w:after="120"/>
        <w:ind w:left="1710" w:right="1267" w:hanging="450"/>
        <w:contextualSpacing w:val="0"/>
        <w:jc w:val="both"/>
        <w:rPr>
          <w:rFonts w:ascii="Times New Roman" w:hAnsi="Times New Roman"/>
          <w:bCs/>
          <w:spacing w:val="4"/>
          <w:w w:val="103"/>
          <w:kern w:val="14"/>
          <w:sz w:val="20"/>
        </w:rPr>
      </w:pPr>
      <w:r w:rsidRPr="007772BE">
        <w:rPr>
          <w:rFonts w:ascii="Times New Roman" w:hAnsi="Times New Roman"/>
          <w:bCs/>
          <w:spacing w:val="4"/>
          <w:w w:val="103"/>
          <w:kern w:val="14"/>
          <w:sz w:val="20"/>
        </w:rPr>
        <w:t>MICs with levels of GNI per capita of between $1,281 and $6,660.</w:t>
      </w:r>
    </w:p>
    <w:p w14:paraId="7F178D29" w14:textId="0DD06227" w:rsidR="005B013F" w:rsidRPr="007772BE" w:rsidRDefault="005B013F" w:rsidP="00BC0466">
      <w:pPr>
        <w:pStyle w:val="ListParagraph"/>
        <w:numPr>
          <w:ilvl w:val="1"/>
          <w:numId w:val="24"/>
        </w:numPr>
        <w:suppressAutoHyphens/>
        <w:spacing w:before="120" w:after="120"/>
        <w:ind w:left="1710" w:right="1267" w:hanging="450"/>
        <w:contextualSpacing w:val="0"/>
        <w:jc w:val="both"/>
        <w:rPr>
          <w:rFonts w:ascii="Times New Roman" w:hAnsi="Times New Roman"/>
          <w:bCs/>
          <w:spacing w:val="4"/>
          <w:w w:val="103"/>
          <w:kern w:val="14"/>
          <w:sz w:val="20"/>
        </w:rPr>
      </w:pPr>
      <w:r w:rsidRPr="007772BE">
        <w:rPr>
          <w:rFonts w:ascii="Times New Roman" w:hAnsi="Times New Roman"/>
          <w:bCs/>
          <w:spacing w:val="4"/>
          <w:w w:val="103"/>
          <w:kern w:val="14"/>
          <w:sz w:val="20"/>
        </w:rPr>
        <w:t>MICs with high levels of GNI per capita of between $6,660 and $12,475 per capita;</w:t>
      </w:r>
    </w:p>
    <w:p w14:paraId="458F673D" w14:textId="0FF1CCAA" w:rsidR="005B013F" w:rsidRPr="007772BE" w:rsidRDefault="005B013F" w:rsidP="00BC0466">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(c)</w:t>
      </w:r>
      <w:r w:rsidRPr="007772BE">
        <w:rPr>
          <w:rFonts w:ascii="Times New Roman" w:hAnsi="Times New Roman"/>
          <w:bCs/>
          <w:spacing w:val="4"/>
          <w:w w:val="103"/>
          <w:kern w:val="14"/>
          <w:sz w:val="20"/>
        </w:rPr>
        <w:tab/>
        <w:t>Transitional NCCs are defined as countries with 201</w:t>
      </w:r>
      <w:r w:rsidR="002251CD" w:rsidRPr="007772BE">
        <w:rPr>
          <w:rFonts w:ascii="Times New Roman" w:hAnsi="Times New Roman"/>
          <w:bCs/>
          <w:spacing w:val="4"/>
          <w:w w:val="103"/>
          <w:kern w:val="14"/>
          <w:sz w:val="20"/>
        </w:rPr>
        <w:t>2</w:t>
      </w:r>
      <w:r w:rsidRPr="007772BE">
        <w:rPr>
          <w:rFonts w:ascii="Times New Roman" w:hAnsi="Times New Roman"/>
          <w:bCs/>
          <w:spacing w:val="4"/>
          <w:w w:val="103"/>
          <w:kern w:val="14"/>
          <w:sz w:val="20"/>
        </w:rPr>
        <w:t>-201</w:t>
      </w:r>
      <w:r w:rsidR="002251CD" w:rsidRPr="007772BE">
        <w:rPr>
          <w:rFonts w:ascii="Times New Roman" w:hAnsi="Times New Roman"/>
          <w:bCs/>
          <w:spacing w:val="4"/>
          <w:w w:val="103"/>
          <w:kern w:val="14"/>
          <w:sz w:val="20"/>
        </w:rPr>
        <w:t>5</w:t>
      </w:r>
      <w:r w:rsidRPr="007772BE">
        <w:rPr>
          <w:rFonts w:ascii="Times New Roman" w:hAnsi="Times New Roman"/>
          <w:bCs/>
          <w:spacing w:val="4"/>
          <w:w w:val="103"/>
          <w:kern w:val="14"/>
          <w:sz w:val="20"/>
        </w:rPr>
        <w:t xml:space="preserve"> average GNI per capita greater than $12,475 for the first time in 201</w:t>
      </w:r>
      <w:r w:rsidR="00094504" w:rsidRPr="007772BE">
        <w:rPr>
          <w:rFonts w:ascii="Times New Roman" w:hAnsi="Times New Roman"/>
          <w:bCs/>
          <w:spacing w:val="4"/>
          <w:w w:val="103"/>
          <w:kern w:val="14"/>
          <w:sz w:val="20"/>
        </w:rPr>
        <w:t>8</w:t>
      </w:r>
      <w:r w:rsidRPr="007772BE">
        <w:rPr>
          <w:rFonts w:ascii="Times New Roman" w:hAnsi="Times New Roman"/>
          <w:bCs/>
          <w:spacing w:val="4"/>
          <w:w w:val="103"/>
          <w:kern w:val="14"/>
          <w:sz w:val="20"/>
        </w:rPr>
        <w:t>-201</w:t>
      </w:r>
      <w:r w:rsidR="00094504" w:rsidRPr="007772BE">
        <w:rPr>
          <w:rFonts w:ascii="Times New Roman" w:hAnsi="Times New Roman"/>
          <w:bCs/>
          <w:spacing w:val="4"/>
          <w:w w:val="103"/>
          <w:kern w:val="14"/>
          <w:sz w:val="20"/>
        </w:rPr>
        <w:t>9</w:t>
      </w:r>
      <w:r w:rsidRPr="007772BE">
        <w:rPr>
          <w:rFonts w:ascii="Times New Roman" w:hAnsi="Times New Roman"/>
          <w:bCs/>
          <w:spacing w:val="4"/>
          <w:w w:val="103"/>
          <w:kern w:val="14"/>
          <w:sz w:val="20"/>
        </w:rPr>
        <w:t xml:space="preserve"> (as compared to the previous biennial budget period 201</w:t>
      </w:r>
      <w:r w:rsidR="00B536CB" w:rsidRPr="007772BE">
        <w:rPr>
          <w:rFonts w:ascii="Times New Roman" w:hAnsi="Times New Roman"/>
          <w:bCs/>
          <w:spacing w:val="4"/>
          <w:w w:val="103"/>
          <w:kern w:val="14"/>
          <w:sz w:val="20"/>
        </w:rPr>
        <w:t>6</w:t>
      </w:r>
      <w:r w:rsidRPr="007772BE">
        <w:rPr>
          <w:rFonts w:ascii="Times New Roman" w:hAnsi="Times New Roman"/>
          <w:bCs/>
          <w:spacing w:val="4"/>
          <w:w w:val="103"/>
          <w:kern w:val="14"/>
          <w:sz w:val="20"/>
        </w:rPr>
        <w:t>-201</w:t>
      </w:r>
      <w:r w:rsidR="00B536CB" w:rsidRPr="007772BE">
        <w:rPr>
          <w:rFonts w:ascii="Times New Roman" w:hAnsi="Times New Roman"/>
          <w:bCs/>
          <w:spacing w:val="4"/>
          <w:w w:val="103"/>
          <w:kern w:val="14"/>
          <w:sz w:val="20"/>
        </w:rPr>
        <w:t>7</w:t>
      </w:r>
      <w:r w:rsidRPr="007772BE">
        <w:rPr>
          <w:rFonts w:ascii="Times New Roman" w:hAnsi="Times New Roman"/>
          <w:bCs/>
          <w:spacing w:val="4"/>
          <w:w w:val="103"/>
          <w:kern w:val="14"/>
          <w:sz w:val="20"/>
        </w:rPr>
        <w:t xml:space="preserve">). </w:t>
      </w:r>
    </w:p>
    <w:p w14:paraId="2978670E" w14:textId="44CCFD5E" w:rsidR="005B013F" w:rsidRPr="007772BE" w:rsidRDefault="005B013F" w:rsidP="00BC0466">
      <w:pPr>
        <w:suppressAutoHyphens/>
        <w:spacing w:before="120" w:after="120"/>
        <w:ind w:left="1260" w:right="1267" w:hanging="540"/>
        <w:jc w:val="both"/>
        <w:rPr>
          <w:rFonts w:ascii="Times New Roman" w:hAnsi="Times New Roman"/>
          <w:bCs/>
          <w:spacing w:val="4"/>
          <w:w w:val="103"/>
          <w:kern w:val="14"/>
          <w:sz w:val="20"/>
        </w:rPr>
      </w:pPr>
      <w:r w:rsidRPr="007772BE">
        <w:rPr>
          <w:rFonts w:ascii="Times New Roman" w:hAnsi="Times New Roman"/>
          <w:bCs/>
          <w:spacing w:val="4"/>
          <w:w w:val="103"/>
          <w:kern w:val="14"/>
          <w:sz w:val="20"/>
        </w:rPr>
        <w:t>(d)</w:t>
      </w:r>
      <w:r w:rsidRPr="007772BE">
        <w:rPr>
          <w:rFonts w:ascii="Times New Roman" w:hAnsi="Times New Roman"/>
          <w:bCs/>
          <w:spacing w:val="4"/>
          <w:w w:val="103"/>
          <w:kern w:val="14"/>
          <w:sz w:val="20"/>
        </w:rPr>
        <w:tab/>
        <w:t>NCCs are defined as countries with 201</w:t>
      </w:r>
      <w:r w:rsidR="00B536CB" w:rsidRPr="007772BE">
        <w:rPr>
          <w:rFonts w:ascii="Times New Roman" w:hAnsi="Times New Roman"/>
          <w:bCs/>
          <w:spacing w:val="4"/>
          <w:w w:val="103"/>
          <w:kern w:val="14"/>
          <w:sz w:val="20"/>
        </w:rPr>
        <w:t>2</w:t>
      </w:r>
      <w:r w:rsidRPr="007772BE">
        <w:rPr>
          <w:rFonts w:ascii="Times New Roman" w:hAnsi="Times New Roman"/>
          <w:bCs/>
          <w:spacing w:val="4"/>
          <w:w w:val="103"/>
          <w:kern w:val="14"/>
          <w:sz w:val="20"/>
        </w:rPr>
        <w:t>-201</w:t>
      </w:r>
      <w:r w:rsidR="00C33119" w:rsidRPr="007772BE">
        <w:rPr>
          <w:rFonts w:ascii="Times New Roman" w:hAnsi="Times New Roman"/>
          <w:bCs/>
          <w:spacing w:val="4"/>
          <w:w w:val="103"/>
          <w:kern w:val="14"/>
          <w:sz w:val="20"/>
        </w:rPr>
        <w:t>5</w:t>
      </w:r>
      <w:r w:rsidRPr="007772BE">
        <w:rPr>
          <w:rFonts w:ascii="Times New Roman" w:hAnsi="Times New Roman"/>
          <w:bCs/>
          <w:spacing w:val="4"/>
          <w:w w:val="103"/>
          <w:kern w:val="14"/>
          <w:sz w:val="20"/>
        </w:rPr>
        <w:t xml:space="preserve"> average GNI per capita greater than $12,475 for the second consecutive Integrated Budget period (i.e. in 201</w:t>
      </w:r>
      <w:r w:rsidR="005C0D6A" w:rsidRPr="007772BE">
        <w:rPr>
          <w:rFonts w:ascii="Times New Roman" w:hAnsi="Times New Roman"/>
          <w:bCs/>
          <w:spacing w:val="4"/>
          <w:w w:val="103"/>
          <w:kern w:val="14"/>
          <w:sz w:val="20"/>
        </w:rPr>
        <w:t>8</w:t>
      </w:r>
      <w:r w:rsidRPr="007772BE">
        <w:rPr>
          <w:rFonts w:ascii="Times New Roman" w:hAnsi="Times New Roman"/>
          <w:bCs/>
          <w:spacing w:val="4"/>
          <w:w w:val="103"/>
          <w:kern w:val="14"/>
          <w:sz w:val="20"/>
        </w:rPr>
        <w:t>-201</w:t>
      </w:r>
      <w:r w:rsidR="005C0D6A" w:rsidRPr="007772BE">
        <w:rPr>
          <w:rFonts w:ascii="Times New Roman" w:hAnsi="Times New Roman"/>
          <w:bCs/>
          <w:spacing w:val="4"/>
          <w:w w:val="103"/>
          <w:kern w:val="14"/>
          <w:sz w:val="20"/>
        </w:rPr>
        <w:t>9</w:t>
      </w:r>
      <w:r w:rsidRPr="007772BE">
        <w:rPr>
          <w:rFonts w:ascii="Times New Roman" w:hAnsi="Times New Roman"/>
          <w:bCs/>
          <w:spacing w:val="4"/>
          <w:w w:val="103"/>
          <w:kern w:val="14"/>
          <w:sz w:val="20"/>
        </w:rPr>
        <w:t xml:space="preserve"> as well as 2016-17).</w:t>
      </w:r>
    </w:p>
    <w:p w14:paraId="3DFDFD70" w14:textId="1B70B238" w:rsidR="005B013F" w:rsidRPr="00B8440D" w:rsidRDefault="005B013F" w:rsidP="00BC0466">
      <w:pPr>
        <w:suppressAutoHyphens/>
        <w:spacing w:before="120" w:after="120"/>
        <w:ind w:left="720" w:right="1267"/>
        <w:jc w:val="both"/>
        <w:rPr>
          <w:rFonts w:ascii="Times New Roman" w:hAnsi="Times New Roman"/>
          <w:bCs/>
          <w:spacing w:val="4"/>
          <w:w w:val="103"/>
          <w:kern w:val="14"/>
          <w:sz w:val="20"/>
        </w:rPr>
      </w:pPr>
      <w:r w:rsidRPr="007772BE">
        <w:rPr>
          <w:rFonts w:ascii="Times New Roman" w:hAnsi="Times New Roman"/>
          <w:bCs/>
          <w:spacing w:val="4"/>
          <w:w w:val="103"/>
          <w:kern w:val="14"/>
          <w:sz w:val="20"/>
        </w:rPr>
        <w:t>The Executive Board decided in decision 2012/28 that there would be a system of biennial updates. In this regard, a four-year approach for GNI per capita averaging are applied, with the average GNI per capita of the years 20</w:t>
      </w:r>
      <w:r w:rsidR="00562BDA" w:rsidRPr="007772BE">
        <w:rPr>
          <w:rFonts w:ascii="Times New Roman" w:hAnsi="Times New Roman"/>
          <w:bCs/>
          <w:spacing w:val="4"/>
          <w:w w:val="103"/>
          <w:kern w:val="14"/>
          <w:sz w:val="20"/>
        </w:rPr>
        <w:t>12</w:t>
      </w:r>
      <w:r w:rsidRPr="007772BE">
        <w:rPr>
          <w:rFonts w:ascii="Times New Roman" w:hAnsi="Times New Roman"/>
          <w:bCs/>
          <w:spacing w:val="4"/>
          <w:w w:val="103"/>
          <w:kern w:val="14"/>
          <w:sz w:val="20"/>
        </w:rPr>
        <w:t>-201</w:t>
      </w:r>
      <w:r w:rsidR="00A30FF0" w:rsidRPr="007772BE">
        <w:rPr>
          <w:rFonts w:ascii="Times New Roman" w:hAnsi="Times New Roman"/>
          <w:bCs/>
          <w:spacing w:val="4"/>
          <w:w w:val="103"/>
          <w:kern w:val="14"/>
          <w:sz w:val="20"/>
        </w:rPr>
        <w:t>5</w:t>
      </w:r>
      <w:r w:rsidRPr="007772BE">
        <w:rPr>
          <w:rFonts w:ascii="Times New Roman" w:hAnsi="Times New Roman"/>
          <w:bCs/>
          <w:spacing w:val="4"/>
          <w:w w:val="103"/>
          <w:kern w:val="14"/>
          <w:sz w:val="20"/>
        </w:rPr>
        <w:t xml:space="preserve"> applied to the first two years of the Integrated Budget, 201</w:t>
      </w:r>
      <w:r w:rsidR="00A30FF0" w:rsidRPr="007772BE">
        <w:rPr>
          <w:rFonts w:ascii="Times New Roman" w:hAnsi="Times New Roman"/>
          <w:bCs/>
          <w:spacing w:val="4"/>
          <w:w w:val="103"/>
          <w:kern w:val="14"/>
          <w:sz w:val="20"/>
        </w:rPr>
        <w:t>8</w:t>
      </w:r>
      <w:r w:rsidRPr="007772BE">
        <w:rPr>
          <w:rFonts w:ascii="Times New Roman" w:hAnsi="Times New Roman"/>
          <w:bCs/>
          <w:spacing w:val="4"/>
          <w:w w:val="103"/>
          <w:kern w:val="14"/>
          <w:sz w:val="20"/>
        </w:rPr>
        <w:t>-201</w:t>
      </w:r>
      <w:r w:rsidR="00A30FF0" w:rsidRPr="007772BE">
        <w:rPr>
          <w:rFonts w:ascii="Times New Roman" w:hAnsi="Times New Roman"/>
          <w:bCs/>
          <w:spacing w:val="4"/>
          <w:w w:val="103"/>
          <w:kern w:val="14"/>
          <w:sz w:val="20"/>
        </w:rPr>
        <w:t>9</w:t>
      </w:r>
      <w:r w:rsidRPr="007772BE">
        <w:rPr>
          <w:rFonts w:ascii="Times New Roman" w:hAnsi="Times New Roman"/>
          <w:bCs/>
          <w:spacing w:val="4"/>
          <w:w w:val="103"/>
          <w:kern w:val="14"/>
          <w:sz w:val="20"/>
        </w:rPr>
        <w:t>, and the average GNI per capita of the years 201</w:t>
      </w:r>
      <w:r w:rsidR="00A710C6" w:rsidRPr="007772BE">
        <w:rPr>
          <w:rFonts w:ascii="Times New Roman" w:hAnsi="Times New Roman"/>
          <w:bCs/>
          <w:spacing w:val="4"/>
          <w:w w:val="103"/>
          <w:kern w:val="14"/>
          <w:sz w:val="20"/>
        </w:rPr>
        <w:t>4</w:t>
      </w:r>
      <w:r w:rsidRPr="007772BE">
        <w:rPr>
          <w:rFonts w:ascii="Times New Roman" w:hAnsi="Times New Roman"/>
          <w:bCs/>
          <w:spacing w:val="4"/>
          <w:w w:val="103"/>
          <w:kern w:val="14"/>
          <w:sz w:val="20"/>
        </w:rPr>
        <w:t>-201</w:t>
      </w:r>
      <w:r w:rsidR="00A710C6" w:rsidRPr="007772BE">
        <w:rPr>
          <w:rFonts w:ascii="Times New Roman" w:hAnsi="Times New Roman"/>
          <w:bCs/>
          <w:spacing w:val="4"/>
          <w:w w:val="103"/>
          <w:kern w:val="14"/>
          <w:sz w:val="20"/>
        </w:rPr>
        <w:t>7</w:t>
      </w:r>
      <w:r w:rsidRPr="007772BE">
        <w:rPr>
          <w:rFonts w:ascii="Times New Roman" w:hAnsi="Times New Roman"/>
          <w:bCs/>
          <w:spacing w:val="4"/>
          <w:w w:val="103"/>
          <w:kern w:val="14"/>
          <w:sz w:val="20"/>
        </w:rPr>
        <w:t xml:space="preserve"> </w:t>
      </w:r>
      <w:r w:rsidR="00A710C6" w:rsidRPr="007772BE">
        <w:rPr>
          <w:rFonts w:ascii="Times New Roman" w:hAnsi="Times New Roman"/>
          <w:bCs/>
          <w:spacing w:val="4"/>
          <w:w w:val="103"/>
          <w:kern w:val="14"/>
          <w:sz w:val="20"/>
        </w:rPr>
        <w:t xml:space="preserve">will be </w:t>
      </w:r>
      <w:r w:rsidRPr="007772BE">
        <w:rPr>
          <w:rFonts w:ascii="Times New Roman" w:hAnsi="Times New Roman"/>
          <w:bCs/>
          <w:spacing w:val="4"/>
          <w:w w:val="103"/>
          <w:kern w:val="14"/>
          <w:sz w:val="20"/>
        </w:rPr>
        <w:t>applied to the last two years of the Integrated Budget, 20</w:t>
      </w:r>
      <w:r w:rsidR="00A40671" w:rsidRPr="007772BE">
        <w:rPr>
          <w:rFonts w:ascii="Times New Roman" w:hAnsi="Times New Roman"/>
          <w:bCs/>
          <w:spacing w:val="4"/>
          <w:w w:val="103"/>
          <w:kern w:val="14"/>
          <w:sz w:val="20"/>
        </w:rPr>
        <w:t>20</w:t>
      </w:r>
      <w:r w:rsidRPr="007772BE">
        <w:rPr>
          <w:rFonts w:ascii="Times New Roman" w:hAnsi="Times New Roman"/>
          <w:bCs/>
          <w:spacing w:val="4"/>
          <w:w w:val="103"/>
          <w:kern w:val="14"/>
          <w:sz w:val="20"/>
        </w:rPr>
        <w:t>-20</w:t>
      </w:r>
      <w:r w:rsidR="00A40671" w:rsidRPr="007772BE">
        <w:rPr>
          <w:rFonts w:ascii="Times New Roman" w:hAnsi="Times New Roman"/>
          <w:bCs/>
          <w:spacing w:val="4"/>
          <w:w w:val="103"/>
          <w:kern w:val="14"/>
          <w:sz w:val="20"/>
        </w:rPr>
        <w:t>21</w:t>
      </w:r>
      <w:r w:rsidRPr="007772BE">
        <w:rPr>
          <w:rFonts w:ascii="Times New Roman" w:hAnsi="Times New Roman"/>
          <w:bCs/>
          <w:spacing w:val="4"/>
          <w:w w:val="103"/>
          <w:kern w:val="14"/>
          <w:sz w:val="20"/>
        </w:rPr>
        <w:t>.</w:t>
      </w:r>
    </w:p>
    <w:p w14:paraId="6FA4FCF8" w14:textId="4892ACDA" w:rsidR="00B1400D" w:rsidRPr="00BC0466" w:rsidRDefault="00B1400D"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Management activities: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Activities whose primary function is the promotion of the identity, direction and well-being of an </w:t>
      </w:r>
      <w:proofErr w:type="spellStart"/>
      <w:r w:rsidR="00C23D9B" w:rsidRPr="00BC0466">
        <w:rPr>
          <w:rFonts w:ascii="Times New Roman" w:hAnsi="Times New Roman"/>
          <w:iCs/>
          <w:spacing w:val="4"/>
          <w:w w:val="103"/>
          <w:kern w:val="14"/>
          <w:sz w:val="20"/>
        </w:rPr>
        <w:t>organisation</w:t>
      </w:r>
      <w:proofErr w:type="spellEnd"/>
      <w:r w:rsidRPr="00BC0466">
        <w:rPr>
          <w:rFonts w:ascii="Times New Roman" w:hAnsi="Times New Roman"/>
          <w:iCs/>
          <w:spacing w:val="4"/>
          <w:w w:val="103"/>
          <w:kern w:val="14"/>
          <w:sz w:val="20"/>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Management service agreements (MSAs):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Management service agreement (MSA) signed with a donor to prepare for receiving contributions to deliver management and other support services to recipient governments under a specific programme or project.</w:t>
      </w:r>
    </w:p>
    <w:p w14:paraId="6FA4FCFA" w14:textId="23A201DD"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Multilateral sources: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Multilateral partners, such as regional development banks, international financial institutions, United Nations </w:t>
      </w:r>
      <w:proofErr w:type="spellStart"/>
      <w:r w:rsidR="00C23D9B" w:rsidRPr="00BC0466">
        <w:rPr>
          <w:rFonts w:ascii="Times New Roman" w:hAnsi="Times New Roman"/>
          <w:iCs/>
          <w:spacing w:val="4"/>
          <w:w w:val="103"/>
          <w:kern w:val="14"/>
          <w:sz w:val="20"/>
        </w:rPr>
        <w:t>organisations</w:t>
      </w:r>
      <w:proofErr w:type="spellEnd"/>
      <w:r w:rsidR="006C6D79" w:rsidRPr="00BC0466">
        <w:rPr>
          <w:rFonts w:ascii="Times New Roman" w:hAnsi="Times New Roman"/>
          <w:iCs/>
          <w:spacing w:val="4"/>
          <w:w w:val="103"/>
          <w:kern w:val="14"/>
          <w:sz w:val="20"/>
        </w:rPr>
        <w:t xml:space="preserve">, foundations </w:t>
      </w:r>
      <w:r w:rsidRPr="00BC0466">
        <w:rPr>
          <w:rFonts w:ascii="Times New Roman" w:hAnsi="Times New Roman"/>
          <w:iCs/>
          <w:spacing w:val="4"/>
          <w:w w:val="103"/>
          <w:kern w:val="14"/>
          <w:sz w:val="20"/>
        </w:rPr>
        <w:t>and the private sector, which contribute to other resources.</w:t>
      </w:r>
    </w:p>
    <w:p w14:paraId="6FA4FCFB" w14:textId="77777777"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Other expenses: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 xml:space="preserve">Expenses on activities other than those covered under the four broad cost classifications (i.e., development, management, United Nations development coordination and special purpose). </w:t>
      </w:r>
    </w:p>
    <w:p w14:paraId="3880F008" w14:textId="3D2C036D" w:rsidR="002B563A" w:rsidRPr="00BC0466" w:rsidRDefault="00B1400D"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Other resources:</w:t>
      </w:r>
      <w:r w:rsidR="00BC0466">
        <w:rPr>
          <w:rFonts w:ascii="Times New Roman" w:hAnsi="Times New Roman"/>
          <w:i/>
          <w:spacing w:val="4"/>
          <w:w w:val="103"/>
          <w:kern w:val="14"/>
          <w:sz w:val="20"/>
        </w:rPr>
        <w:t xml:space="preserve"> </w:t>
      </w:r>
      <w:r w:rsidR="00B8440D" w:rsidRPr="00BC0466">
        <w:rPr>
          <w:rFonts w:ascii="Times New Roman" w:hAnsi="Times New Roman"/>
          <w:iCs/>
          <w:spacing w:val="4"/>
          <w:w w:val="103"/>
          <w:kern w:val="14"/>
          <w:sz w:val="20"/>
        </w:rPr>
        <w:t xml:space="preserve">Resources of a voluntarily funded </w:t>
      </w:r>
      <w:proofErr w:type="spellStart"/>
      <w:r w:rsidR="00B8440D" w:rsidRPr="00BC0466">
        <w:rPr>
          <w:rFonts w:ascii="Times New Roman" w:hAnsi="Times New Roman"/>
          <w:iCs/>
          <w:spacing w:val="4"/>
          <w:w w:val="103"/>
          <w:kern w:val="14"/>
          <w:sz w:val="20"/>
        </w:rPr>
        <w:t>organisation</w:t>
      </w:r>
      <w:proofErr w:type="spellEnd"/>
      <w:r w:rsidR="00B8440D" w:rsidRPr="00BC0466">
        <w:rPr>
          <w:rFonts w:ascii="Times New Roman" w:hAnsi="Times New Roman"/>
          <w:iCs/>
          <w:spacing w:val="4"/>
          <w:w w:val="103"/>
          <w:kern w:val="14"/>
          <w:sz w:val="20"/>
        </w:rPr>
        <w:t xml:space="preserve"> that are received for a specific </w:t>
      </w:r>
      <w:r w:rsidR="004A74A3" w:rsidRPr="00BC0466">
        <w:rPr>
          <w:rFonts w:ascii="Times New Roman" w:hAnsi="Times New Roman"/>
          <w:iCs/>
          <w:spacing w:val="4"/>
          <w:w w:val="103"/>
          <w:kern w:val="14"/>
          <w:sz w:val="20"/>
        </w:rPr>
        <w:t xml:space="preserve">theme, </w:t>
      </w:r>
      <w:r w:rsidR="00B8440D" w:rsidRPr="00BC0466">
        <w:rPr>
          <w:rFonts w:ascii="Times New Roman" w:hAnsi="Times New Roman"/>
          <w:iCs/>
          <w:spacing w:val="4"/>
          <w:w w:val="103"/>
          <w:kern w:val="14"/>
          <w:sz w:val="20"/>
        </w:rPr>
        <w:t xml:space="preserve">programme purpose and for the provision of specific services to third parties. Resources that fall under this category </w:t>
      </w:r>
      <w:proofErr w:type="gramStart"/>
      <w:r w:rsidR="00B8440D" w:rsidRPr="00BC0466">
        <w:rPr>
          <w:rFonts w:ascii="Times New Roman" w:hAnsi="Times New Roman"/>
          <w:iCs/>
          <w:spacing w:val="4"/>
          <w:w w:val="103"/>
          <w:kern w:val="14"/>
          <w:sz w:val="20"/>
        </w:rPr>
        <w:t>are:</w:t>
      </w:r>
      <w:proofErr w:type="gramEnd"/>
      <w:r w:rsidR="00B8440D" w:rsidRPr="00BC0466">
        <w:rPr>
          <w:rFonts w:ascii="Times New Roman" w:hAnsi="Times New Roman"/>
          <w:iCs/>
          <w:spacing w:val="4"/>
          <w:w w:val="103"/>
          <w:kern w:val="14"/>
          <w:sz w:val="20"/>
        </w:rPr>
        <w:t xml:space="preserve"> cost-sharing, trust funds established by the Administrator, reimbursable support services and miscellaneous activities.</w:t>
      </w:r>
    </w:p>
    <w:p w14:paraId="6FA4FCFD" w14:textId="23B6A727" w:rsidR="00634F26" w:rsidRPr="00BC0466"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t>Overall UNDP contributions: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Contribu</w:t>
      </w:r>
      <w:r w:rsidR="00C83B4C" w:rsidRPr="00BC0466">
        <w:rPr>
          <w:rFonts w:ascii="Times New Roman" w:hAnsi="Times New Roman"/>
          <w:iCs/>
          <w:spacing w:val="4"/>
          <w:w w:val="103"/>
          <w:kern w:val="14"/>
          <w:sz w:val="20"/>
        </w:rPr>
        <w:t>tions to UNDP regular resources and</w:t>
      </w:r>
      <w:r w:rsidRPr="00BC0466">
        <w:rPr>
          <w:rFonts w:ascii="Times New Roman" w:hAnsi="Times New Roman"/>
          <w:iCs/>
          <w:spacing w:val="4"/>
          <w:w w:val="103"/>
          <w:kern w:val="14"/>
          <w:sz w:val="20"/>
        </w:rPr>
        <w:t xml:space="preserve"> other resources.</w:t>
      </w:r>
    </w:p>
    <w:p w14:paraId="64A09477" w14:textId="77777777" w:rsidR="00686B26" w:rsidRPr="00BC0466" w:rsidRDefault="000E25A7"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BC0466">
        <w:rPr>
          <w:rFonts w:ascii="Times New Roman" w:hAnsi="Times New Roman"/>
          <w:b/>
          <w:bCs/>
          <w:i/>
          <w:spacing w:val="4"/>
          <w:w w:val="103"/>
          <w:kern w:val="14"/>
          <w:sz w:val="20"/>
        </w:rPr>
        <w:lastRenderedPageBreak/>
        <w:t>Operational reserve:</w:t>
      </w:r>
      <w:r w:rsidRPr="00BC0466">
        <w:rPr>
          <w:rFonts w:ascii="Times New Roman" w:hAnsi="Times New Roman"/>
          <w:i/>
          <w:spacing w:val="4"/>
          <w:w w:val="103"/>
          <w:kern w:val="14"/>
          <w:sz w:val="20"/>
        </w:rPr>
        <w:t xml:space="preserve"> </w:t>
      </w:r>
      <w:r w:rsidR="00686B26" w:rsidRPr="00BC0466">
        <w:rPr>
          <w:rFonts w:ascii="Times New Roman" w:hAnsi="Times New Roman"/>
          <w:iCs/>
          <w:spacing w:val="4"/>
          <w:w w:val="103"/>
          <w:kern w:val="14"/>
          <w:sz w:val="20"/>
        </w:rPr>
        <w:t>A reserve established in 1979 by the Governing Council (now the Executive Board) of UNDP to ensure adequate liquidity of UNDP by funding such reserve through a defined formula that is calculated yearly.</w:t>
      </w:r>
    </w:p>
    <w:p w14:paraId="1AB6454E" w14:textId="77777777" w:rsidR="00B8440D" w:rsidRPr="00BC0466" w:rsidRDefault="00777C57"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bookmarkStart w:id="2" w:name="_Hlk517888035"/>
      <w:r w:rsidRPr="00BC0466">
        <w:rPr>
          <w:rFonts w:ascii="Times New Roman" w:hAnsi="Times New Roman"/>
          <w:b/>
          <w:bCs/>
          <w:i/>
          <w:spacing w:val="4"/>
          <w:w w:val="103"/>
          <w:kern w:val="14"/>
          <w:sz w:val="20"/>
        </w:rPr>
        <w:t>Regular resources:</w:t>
      </w:r>
      <w:r w:rsidRPr="00BC0466">
        <w:rPr>
          <w:rFonts w:ascii="Times New Roman" w:hAnsi="Times New Roman"/>
          <w:i/>
          <w:spacing w:val="4"/>
          <w:w w:val="103"/>
          <w:kern w:val="14"/>
          <w:sz w:val="20"/>
        </w:rPr>
        <w:t xml:space="preserve"> </w:t>
      </w:r>
      <w:bookmarkEnd w:id="2"/>
      <w:r w:rsidR="00B8440D" w:rsidRPr="00BC0466">
        <w:rPr>
          <w:rFonts w:ascii="Times New Roman" w:hAnsi="Times New Roman"/>
          <w:iCs/>
          <w:spacing w:val="4"/>
          <w:w w:val="103"/>
          <w:kern w:val="14"/>
          <w:sz w:val="20"/>
        </w:rPr>
        <w:t>Resources of UNDP which are commingled and untied. They include voluntary contributions, contributions from governmental, intergovernmental or non-governmental sources, and related interest earnings and miscellaneous income.</w:t>
      </w:r>
    </w:p>
    <w:p w14:paraId="72B9B35F" w14:textId="64257BB4" w:rsidR="00DD34F5" w:rsidRPr="00FB6A40" w:rsidRDefault="00C03711"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BC0466">
        <w:rPr>
          <w:rFonts w:ascii="Times New Roman" w:hAnsi="Times New Roman"/>
          <w:b/>
          <w:bCs/>
          <w:i/>
          <w:spacing w:val="4"/>
          <w:w w:val="103"/>
          <w:kern w:val="14"/>
          <w:sz w:val="20"/>
        </w:rPr>
        <w:t>Reimbursable support services and miscellaneous activities:</w:t>
      </w:r>
      <w:r w:rsidRPr="00BC0466">
        <w:rPr>
          <w:rFonts w:ascii="Times New Roman" w:hAnsi="Times New Roman"/>
          <w:i/>
          <w:spacing w:val="4"/>
          <w:w w:val="103"/>
          <w:kern w:val="14"/>
          <w:sz w:val="20"/>
        </w:rPr>
        <w:t xml:space="preserve"> </w:t>
      </w:r>
      <w:r w:rsidRPr="00BC0466">
        <w:rPr>
          <w:rFonts w:ascii="Times New Roman" w:hAnsi="Times New Roman"/>
          <w:iCs/>
          <w:spacing w:val="4"/>
          <w:w w:val="103"/>
          <w:kern w:val="14"/>
          <w:sz w:val="20"/>
        </w:rPr>
        <w:t>Resources of UNDP other resources</w:t>
      </w:r>
      <w:r w:rsidR="00DD34F5" w:rsidRPr="00BC0466">
        <w:rPr>
          <w:rFonts w:ascii="Times New Roman" w:hAnsi="Times New Roman"/>
          <w:iCs/>
          <w:spacing w:val="4"/>
          <w:w w:val="103"/>
          <w:kern w:val="14"/>
          <w:sz w:val="20"/>
        </w:rPr>
        <w:t xml:space="preserve"> (other than cost-sharing and trust funds). Such funds are received for the provision of management and other support services to third parties. It comprises the following activities: management services agreements; the Junior Professional Officer programme, reimbursable support services; the United Nations Volunteers programme,</w:t>
      </w:r>
      <w:r w:rsidR="006C6D79" w:rsidRPr="00BC0466">
        <w:rPr>
          <w:rFonts w:ascii="Times New Roman" w:hAnsi="Times New Roman"/>
          <w:iCs/>
          <w:spacing w:val="4"/>
          <w:w w:val="103"/>
          <w:kern w:val="14"/>
          <w:sz w:val="20"/>
        </w:rPr>
        <w:t xml:space="preserve"> </w:t>
      </w:r>
      <w:r w:rsidR="00DD34F5" w:rsidRPr="00BC0466">
        <w:rPr>
          <w:rFonts w:ascii="Times New Roman" w:hAnsi="Times New Roman"/>
          <w:iCs/>
          <w:spacing w:val="4"/>
          <w:w w:val="103"/>
          <w:kern w:val="14"/>
          <w:sz w:val="20"/>
        </w:rPr>
        <w:t xml:space="preserve">programme support to Resident Coordinators, and </w:t>
      </w:r>
      <w:r w:rsidR="00DD34F5" w:rsidRPr="00FB6A40">
        <w:rPr>
          <w:rFonts w:ascii="Times New Roman" w:hAnsi="Times New Roman"/>
          <w:iCs/>
          <w:spacing w:val="4"/>
          <w:w w:val="103"/>
          <w:kern w:val="14"/>
          <w:sz w:val="20"/>
        </w:rPr>
        <w:t>special purpose activities.</w:t>
      </w:r>
    </w:p>
    <w:p w14:paraId="6FA4FCFF" w14:textId="611BC3DC" w:rsidR="00662761" w:rsidRPr="00FB6A40" w:rsidRDefault="00662761"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
          <w:spacing w:val="4"/>
          <w:w w:val="103"/>
          <w:kern w:val="14"/>
          <w:sz w:val="20"/>
        </w:rPr>
      </w:pPr>
      <w:r w:rsidRPr="00FB6A40">
        <w:rPr>
          <w:rFonts w:ascii="Times New Roman" w:hAnsi="Times New Roman"/>
          <w:b/>
          <w:bCs/>
          <w:i/>
          <w:spacing w:val="4"/>
          <w:w w:val="103"/>
          <w:kern w:val="14"/>
          <w:sz w:val="20"/>
        </w:rPr>
        <w:t>Revenue:</w:t>
      </w:r>
      <w:r w:rsidRPr="00FB6A40">
        <w:rPr>
          <w:rFonts w:ascii="Times New Roman" w:hAnsi="Times New Roman"/>
          <w:i/>
          <w:spacing w:val="4"/>
          <w:w w:val="103"/>
          <w:kern w:val="14"/>
          <w:sz w:val="20"/>
        </w:rPr>
        <w:t xml:space="preserve"> </w:t>
      </w:r>
      <w:r w:rsidRPr="00FB6A40">
        <w:rPr>
          <w:rFonts w:ascii="Times New Roman" w:hAnsi="Times New Roman"/>
          <w:iCs/>
          <w:spacing w:val="4"/>
          <w:w w:val="103"/>
          <w:kern w:val="14"/>
          <w:sz w:val="20"/>
        </w:rPr>
        <w:t>C</w:t>
      </w:r>
      <w:r w:rsidR="003831E9" w:rsidRPr="00FB6A40">
        <w:rPr>
          <w:rFonts w:ascii="Times New Roman" w:hAnsi="Times New Roman"/>
          <w:iCs/>
          <w:spacing w:val="4"/>
          <w:w w:val="103"/>
          <w:kern w:val="14"/>
          <w:sz w:val="20"/>
        </w:rPr>
        <w:t xml:space="preserve">onsists of: (a) </w:t>
      </w:r>
      <w:r w:rsidR="006C0727" w:rsidRPr="00FB6A40">
        <w:rPr>
          <w:rFonts w:ascii="Times New Roman" w:hAnsi="Times New Roman"/>
          <w:iCs/>
          <w:spacing w:val="4"/>
          <w:w w:val="103"/>
          <w:kern w:val="14"/>
          <w:sz w:val="20"/>
        </w:rPr>
        <w:t xml:space="preserve">voluntary </w:t>
      </w:r>
      <w:r w:rsidR="003831E9" w:rsidRPr="00FB6A40">
        <w:rPr>
          <w:rFonts w:ascii="Times New Roman" w:hAnsi="Times New Roman"/>
          <w:iCs/>
          <w:spacing w:val="4"/>
          <w:w w:val="103"/>
          <w:kern w:val="14"/>
          <w:sz w:val="20"/>
        </w:rPr>
        <w:t>contributions</w:t>
      </w:r>
      <w:r w:rsidRPr="00FB6A40">
        <w:rPr>
          <w:rFonts w:ascii="Times New Roman" w:hAnsi="Times New Roman"/>
          <w:iCs/>
          <w:spacing w:val="4"/>
          <w:w w:val="103"/>
          <w:kern w:val="14"/>
          <w:sz w:val="20"/>
        </w:rPr>
        <w:t>; (</w:t>
      </w:r>
      <w:r w:rsidR="006C6D79" w:rsidRPr="00FB6A40">
        <w:rPr>
          <w:rFonts w:ascii="Times New Roman" w:hAnsi="Times New Roman"/>
          <w:iCs/>
          <w:spacing w:val="4"/>
          <w:w w:val="103"/>
          <w:kern w:val="14"/>
          <w:sz w:val="20"/>
        </w:rPr>
        <w:t>b</w:t>
      </w:r>
      <w:r w:rsidRPr="00FB6A40">
        <w:rPr>
          <w:rFonts w:ascii="Times New Roman" w:hAnsi="Times New Roman"/>
          <w:iCs/>
          <w:spacing w:val="4"/>
          <w:w w:val="103"/>
          <w:kern w:val="14"/>
          <w:sz w:val="20"/>
        </w:rPr>
        <w:t>) investment revenue; and (</w:t>
      </w:r>
      <w:r w:rsidR="006C6D79" w:rsidRPr="00FB6A40">
        <w:rPr>
          <w:rFonts w:ascii="Times New Roman" w:hAnsi="Times New Roman"/>
          <w:iCs/>
          <w:spacing w:val="4"/>
          <w:w w:val="103"/>
          <w:kern w:val="14"/>
          <w:sz w:val="20"/>
        </w:rPr>
        <w:t>c</w:t>
      </w:r>
      <w:r w:rsidRPr="00FB6A40">
        <w:rPr>
          <w:rFonts w:ascii="Times New Roman" w:hAnsi="Times New Roman"/>
          <w:iCs/>
          <w:spacing w:val="4"/>
          <w:w w:val="103"/>
          <w:kern w:val="14"/>
          <w:sz w:val="20"/>
        </w:rPr>
        <w:t>) other revenue</w:t>
      </w:r>
      <w:r w:rsidR="003831E9" w:rsidRPr="00FB6A40">
        <w:rPr>
          <w:rFonts w:ascii="Times New Roman" w:hAnsi="Times New Roman"/>
          <w:iCs/>
          <w:spacing w:val="4"/>
          <w:w w:val="103"/>
          <w:kern w:val="14"/>
          <w:sz w:val="20"/>
        </w:rPr>
        <w:t xml:space="preserve"> (see below)</w:t>
      </w:r>
      <w:r w:rsidRPr="00FB6A40">
        <w:rPr>
          <w:rFonts w:ascii="Times New Roman" w:hAnsi="Times New Roman"/>
          <w:iCs/>
          <w:spacing w:val="4"/>
          <w:w w:val="103"/>
          <w:kern w:val="14"/>
          <w:sz w:val="20"/>
        </w:rPr>
        <w:t>.</w:t>
      </w:r>
      <w:r w:rsidR="006C0727" w:rsidRPr="00FB6A40">
        <w:rPr>
          <w:rFonts w:ascii="Times New Roman" w:hAnsi="Times New Roman"/>
          <w:iCs/>
          <w:spacing w:val="4"/>
          <w:w w:val="103"/>
          <w:kern w:val="14"/>
          <w:sz w:val="20"/>
        </w:rPr>
        <w:t xml:space="preserve"> </w:t>
      </w:r>
    </w:p>
    <w:p w14:paraId="6CE1125C" w14:textId="304A3400" w:rsidR="00CB4C54" w:rsidRPr="002E6121" w:rsidRDefault="006E23EA" w:rsidP="002E6121">
      <w:pPr>
        <w:pStyle w:val="ListParagraph"/>
        <w:numPr>
          <w:ilvl w:val="0"/>
          <w:numId w:val="13"/>
        </w:numPr>
        <w:suppressAutoHyphens/>
        <w:spacing w:before="120" w:after="120"/>
        <w:ind w:left="1260" w:right="1267" w:hanging="630"/>
        <w:contextualSpacing w:val="0"/>
        <w:jc w:val="both"/>
        <w:rPr>
          <w:rFonts w:ascii="Times New Roman" w:hAnsi="Times New Roman"/>
          <w:bCs/>
          <w:spacing w:val="4"/>
          <w:w w:val="103"/>
          <w:kern w:val="14"/>
          <w:sz w:val="20"/>
        </w:rPr>
      </w:pPr>
      <w:r>
        <w:rPr>
          <w:rFonts w:ascii="Times New Roman" w:hAnsi="Times New Roman"/>
          <w:b/>
          <w:i/>
          <w:spacing w:val="4"/>
          <w:w w:val="103"/>
          <w:kern w:val="14"/>
          <w:sz w:val="20"/>
        </w:rPr>
        <w:t xml:space="preserve">Voluntary </w:t>
      </w:r>
      <w:r w:rsidR="0062316B" w:rsidRPr="008014E4">
        <w:rPr>
          <w:rFonts w:ascii="Times New Roman" w:hAnsi="Times New Roman"/>
          <w:b/>
          <w:i/>
          <w:spacing w:val="4"/>
          <w:w w:val="103"/>
          <w:kern w:val="14"/>
          <w:sz w:val="20"/>
        </w:rPr>
        <w:t>Contributions</w:t>
      </w:r>
      <w:r w:rsidR="00662761" w:rsidRPr="008014E4">
        <w:rPr>
          <w:rFonts w:ascii="Times New Roman" w:hAnsi="Times New Roman"/>
          <w:b/>
          <w:i/>
          <w:spacing w:val="4"/>
          <w:w w:val="103"/>
          <w:kern w:val="14"/>
          <w:sz w:val="20"/>
        </w:rPr>
        <w:t>:</w:t>
      </w:r>
      <w:r w:rsidR="00F00B73" w:rsidRPr="003831E9">
        <w:rPr>
          <w:rFonts w:ascii="Times New Roman" w:hAnsi="Times New Roman"/>
          <w:bCs/>
          <w:spacing w:val="4"/>
          <w:w w:val="103"/>
          <w:kern w:val="14"/>
          <w:sz w:val="20"/>
        </w:rPr>
        <w:t xml:space="preserve"> </w:t>
      </w:r>
      <w:r w:rsidR="00D565F7" w:rsidRPr="00D565F7">
        <w:rPr>
          <w:rFonts w:ascii="Times New Roman" w:hAnsi="Times New Roman"/>
          <w:bCs/>
          <w:spacing w:val="4"/>
          <w:w w:val="103"/>
          <w:kern w:val="14"/>
          <w:sz w:val="20"/>
        </w:rPr>
        <w:t>In 2019, UNDP refined its accounting policy for recognizing revenue from voluntary contributions (non-exchange transactions); and as a result of the change, the full value of the contributions agreements signed (including multi-year agreements) is recognized as revenue in the year an agreement is signed. The amounts shown include returns to donors, and transfers to other funds of unused contributions. Contributions may also include in-kind contributions and GLOC cash contributions provided by programme country governments.</w:t>
      </w:r>
    </w:p>
    <w:p w14:paraId="280EF552" w14:textId="2A5E9C86" w:rsidR="006E23EA" w:rsidRPr="002E6121" w:rsidRDefault="006E23EA" w:rsidP="00D44885">
      <w:pPr>
        <w:pStyle w:val="ListParagraph"/>
        <w:numPr>
          <w:ilvl w:val="1"/>
          <w:numId w:val="13"/>
        </w:numPr>
        <w:suppressAutoHyphens/>
        <w:spacing w:before="120" w:after="120"/>
        <w:ind w:left="1800" w:right="1267"/>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 xml:space="preserve">Annual Contributions: </w:t>
      </w:r>
      <w:r w:rsidR="006C3E9F" w:rsidRPr="006C3E9F">
        <w:rPr>
          <w:rFonts w:ascii="Times New Roman" w:hAnsi="Times New Roman"/>
          <w:bCs/>
          <w:iCs/>
          <w:spacing w:val="4"/>
          <w:w w:val="103"/>
          <w:kern w:val="14"/>
          <w:sz w:val="20"/>
        </w:rPr>
        <w:t>Annual Contributions are calculated to provide additional information in order to align with previous revenue recognition policies for contributions (i.e., cash received in a reporting year, plus receivables due in a reporting year).</w:t>
      </w:r>
    </w:p>
    <w:p w14:paraId="5B42C637" w14:textId="1F8A4412" w:rsidR="002E6121" w:rsidRDefault="002E6121" w:rsidP="00D44885">
      <w:pPr>
        <w:pStyle w:val="ListParagraph"/>
        <w:numPr>
          <w:ilvl w:val="1"/>
          <w:numId w:val="13"/>
        </w:numPr>
        <w:suppressAutoHyphens/>
        <w:spacing w:before="120" w:after="120"/>
        <w:ind w:left="1800" w:right="1267"/>
        <w:contextualSpacing w:val="0"/>
        <w:jc w:val="both"/>
        <w:rPr>
          <w:rFonts w:ascii="Times New Roman" w:hAnsi="Times New Roman"/>
          <w:b/>
          <w:i/>
          <w:spacing w:val="4"/>
          <w:w w:val="103"/>
          <w:kern w:val="14"/>
          <w:sz w:val="20"/>
        </w:rPr>
      </w:pPr>
      <w:r>
        <w:rPr>
          <w:rFonts w:ascii="Times New Roman" w:hAnsi="Times New Roman"/>
          <w:b/>
          <w:i/>
          <w:spacing w:val="4"/>
          <w:w w:val="103"/>
          <w:kern w:val="14"/>
          <w:sz w:val="20"/>
        </w:rPr>
        <w:t xml:space="preserve">Future Due Contributions: </w:t>
      </w:r>
      <w:r w:rsidR="003D6F4E" w:rsidRPr="003D6F4E">
        <w:rPr>
          <w:rFonts w:ascii="Times New Roman" w:hAnsi="Times New Roman"/>
          <w:bCs/>
          <w:iCs/>
          <w:spacing w:val="4"/>
          <w:w w:val="103"/>
          <w:kern w:val="14"/>
          <w:sz w:val="20"/>
        </w:rPr>
        <w:t>Future Due Contributions are calculated to show the cash to be received after the reporting year based on the multi-year agreement signed in a reporting year.</w:t>
      </w:r>
    </w:p>
    <w:p w14:paraId="704DC407" w14:textId="434025C5" w:rsidR="002E6121" w:rsidRPr="00FB32C8" w:rsidRDefault="002E6121" w:rsidP="00D44885">
      <w:pPr>
        <w:pStyle w:val="ListParagraph"/>
        <w:numPr>
          <w:ilvl w:val="1"/>
          <w:numId w:val="13"/>
        </w:numPr>
        <w:suppressAutoHyphens/>
        <w:spacing w:before="120" w:after="120"/>
        <w:ind w:left="1800" w:right="1267"/>
        <w:contextualSpacing w:val="0"/>
        <w:jc w:val="both"/>
        <w:rPr>
          <w:rFonts w:ascii="Times New Roman" w:hAnsi="Times New Roman"/>
          <w:b/>
          <w:i/>
          <w:spacing w:val="4"/>
          <w:w w:val="103"/>
          <w:kern w:val="14"/>
          <w:sz w:val="20"/>
        </w:rPr>
      </w:pPr>
      <w:r>
        <w:rPr>
          <w:rFonts w:ascii="Times New Roman" w:hAnsi="Times New Roman"/>
          <w:b/>
          <w:i/>
          <w:spacing w:val="4"/>
          <w:w w:val="103"/>
          <w:kern w:val="14"/>
          <w:sz w:val="20"/>
        </w:rPr>
        <w:t>IPSAS 23 Adjustments:</w:t>
      </w:r>
      <w:r w:rsidRPr="0052437D">
        <w:rPr>
          <w:rFonts w:ascii="Times New Roman" w:hAnsi="Times New Roman"/>
          <w:bCs/>
          <w:iCs/>
          <w:spacing w:val="4"/>
          <w:w w:val="103"/>
          <w:kern w:val="14"/>
          <w:sz w:val="20"/>
        </w:rPr>
        <w:t xml:space="preserve"> </w:t>
      </w:r>
      <w:r w:rsidR="0052437D" w:rsidRPr="0052437D">
        <w:rPr>
          <w:rFonts w:ascii="Times New Roman" w:hAnsi="Times New Roman"/>
          <w:bCs/>
          <w:iCs/>
          <w:spacing w:val="4"/>
          <w:w w:val="103"/>
          <w:kern w:val="14"/>
          <w:sz w:val="20"/>
        </w:rPr>
        <w:t>Based on the change in revenue recognition policy, this adjustment was made for agreements signed prior to 2019 for all contributions not received by the end of 2018.</w:t>
      </w:r>
    </w:p>
    <w:p w14:paraId="11ADB805" w14:textId="62415771" w:rsidR="00281305" w:rsidRPr="00281305" w:rsidRDefault="00FB32C8" w:rsidP="001956C3">
      <w:pPr>
        <w:pStyle w:val="ListParagraph"/>
        <w:numPr>
          <w:ilvl w:val="0"/>
          <w:numId w:val="13"/>
        </w:numPr>
        <w:suppressAutoHyphens/>
        <w:autoSpaceDE w:val="0"/>
        <w:autoSpaceDN w:val="0"/>
        <w:adjustRightInd w:val="0"/>
        <w:spacing w:before="120" w:after="120"/>
        <w:ind w:left="1260" w:right="1267" w:hanging="630"/>
        <w:contextualSpacing w:val="0"/>
        <w:jc w:val="both"/>
        <w:rPr>
          <w:rFonts w:ascii="Times New Roman" w:eastAsia="Calibri" w:hAnsi="Times New Roman"/>
          <w:spacing w:val="4"/>
          <w:w w:val="103"/>
          <w:kern w:val="14"/>
          <w:sz w:val="20"/>
        </w:rPr>
      </w:pPr>
      <w:bookmarkStart w:id="3" w:name="_Hlk517443473"/>
      <w:r>
        <w:rPr>
          <w:rFonts w:ascii="Times New Roman" w:hAnsi="Times New Roman"/>
          <w:b/>
          <w:i/>
          <w:spacing w:val="4"/>
          <w:w w:val="103"/>
          <w:kern w:val="14"/>
          <w:sz w:val="20"/>
        </w:rPr>
        <w:t xml:space="preserve">Voluntary </w:t>
      </w:r>
      <w:r w:rsidR="003831E9" w:rsidRPr="00281305">
        <w:rPr>
          <w:rFonts w:ascii="Times New Roman" w:hAnsi="Times New Roman"/>
          <w:b/>
          <w:i/>
          <w:spacing w:val="4"/>
          <w:w w:val="103"/>
          <w:kern w:val="14"/>
          <w:sz w:val="20"/>
        </w:rPr>
        <w:t>Contributions</w:t>
      </w:r>
      <w:bookmarkEnd w:id="3"/>
      <w:r w:rsidR="003831E9" w:rsidRPr="00281305">
        <w:rPr>
          <w:rFonts w:ascii="Times New Roman" w:hAnsi="Times New Roman"/>
          <w:b/>
          <w:i/>
          <w:spacing w:val="4"/>
          <w:w w:val="103"/>
          <w:kern w:val="14"/>
          <w:sz w:val="20"/>
        </w:rPr>
        <w:t>, net:</w:t>
      </w:r>
      <w:r w:rsidR="003831E9" w:rsidRPr="00281305">
        <w:rPr>
          <w:rFonts w:ascii="Times New Roman" w:hAnsi="Times New Roman"/>
          <w:bCs/>
          <w:i/>
          <w:spacing w:val="4"/>
          <w:w w:val="103"/>
          <w:kern w:val="14"/>
          <w:sz w:val="20"/>
        </w:rPr>
        <w:t xml:space="preserve"> </w:t>
      </w:r>
      <w:r w:rsidR="00D64ECF" w:rsidRPr="00281305">
        <w:rPr>
          <w:rFonts w:ascii="Times New Roman" w:hAnsi="Times New Roman"/>
          <w:bCs/>
          <w:iCs/>
          <w:spacing w:val="4"/>
          <w:w w:val="103"/>
          <w:kern w:val="14"/>
          <w:sz w:val="20"/>
        </w:rPr>
        <w:t xml:space="preserve">Net </w:t>
      </w:r>
      <w:r w:rsidR="003831E9" w:rsidRPr="00281305">
        <w:rPr>
          <w:rFonts w:ascii="Times New Roman" w:hAnsi="Times New Roman"/>
          <w:bCs/>
          <w:iCs/>
          <w:spacing w:val="4"/>
          <w:w w:val="103"/>
          <w:kern w:val="14"/>
          <w:sz w:val="20"/>
        </w:rPr>
        <w:t xml:space="preserve">Contributions after returns </w:t>
      </w:r>
      <w:r w:rsidR="00D64ECF" w:rsidRPr="00281305">
        <w:rPr>
          <w:rFonts w:ascii="Times New Roman" w:hAnsi="Times New Roman"/>
          <w:bCs/>
          <w:iCs/>
          <w:spacing w:val="4"/>
          <w:w w:val="103"/>
          <w:kern w:val="14"/>
          <w:sz w:val="20"/>
        </w:rPr>
        <w:t xml:space="preserve">of unused contributions </w:t>
      </w:r>
      <w:r w:rsidR="003831E9" w:rsidRPr="00281305">
        <w:rPr>
          <w:rFonts w:ascii="Times New Roman" w:hAnsi="Times New Roman"/>
          <w:bCs/>
          <w:iCs/>
          <w:spacing w:val="4"/>
          <w:w w:val="103"/>
          <w:kern w:val="14"/>
          <w:sz w:val="20"/>
        </w:rPr>
        <w:t xml:space="preserve">to donors, and transfers </w:t>
      </w:r>
      <w:r w:rsidR="00D64ECF" w:rsidRPr="00281305">
        <w:rPr>
          <w:rFonts w:ascii="Times New Roman" w:hAnsi="Times New Roman"/>
          <w:bCs/>
          <w:iCs/>
          <w:spacing w:val="4"/>
          <w:w w:val="103"/>
          <w:kern w:val="14"/>
          <w:sz w:val="20"/>
        </w:rPr>
        <w:t xml:space="preserve">of funds have been deducted. </w:t>
      </w:r>
    </w:p>
    <w:p w14:paraId="77EACD32" w14:textId="57618411" w:rsidR="00281305" w:rsidRPr="00281305" w:rsidRDefault="00662761" w:rsidP="00281305">
      <w:pPr>
        <w:pStyle w:val="ListParagraph"/>
        <w:numPr>
          <w:ilvl w:val="0"/>
          <w:numId w:val="13"/>
        </w:numPr>
        <w:suppressAutoHyphens/>
        <w:spacing w:before="120" w:after="120"/>
        <w:ind w:left="1260" w:right="1267" w:hanging="630"/>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Investment revenue</w:t>
      </w:r>
      <w:r w:rsidRPr="0052437D">
        <w:rPr>
          <w:rFonts w:ascii="Times New Roman" w:hAnsi="Times New Roman"/>
          <w:bCs/>
          <w:iCs/>
          <w:spacing w:val="4"/>
          <w:w w:val="103"/>
          <w:kern w:val="14"/>
          <w:sz w:val="20"/>
        </w:rPr>
        <w:t xml:space="preserve">: </w:t>
      </w:r>
      <w:r w:rsidR="003723AC">
        <w:rPr>
          <w:rFonts w:ascii="Times New Roman" w:hAnsi="Times New Roman"/>
          <w:bCs/>
          <w:iCs/>
          <w:spacing w:val="4"/>
          <w:w w:val="103"/>
          <w:kern w:val="14"/>
          <w:sz w:val="20"/>
        </w:rPr>
        <w:t>I</w:t>
      </w:r>
      <w:r w:rsidRPr="0052437D">
        <w:rPr>
          <w:rFonts w:ascii="Times New Roman" w:hAnsi="Times New Roman"/>
          <w:bCs/>
          <w:iCs/>
          <w:spacing w:val="4"/>
          <w:w w:val="103"/>
          <w:kern w:val="14"/>
          <w:sz w:val="20"/>
        </w:rPr>
        <w:t>nterest inflows from UNDP investments</w:t>
      </w:r>
      <w:r w:rsidRPr="00281305">
        <w:rPr>
          <w:rFonts w:ascii="Times New Roman" w:hAnsi="Times New Roman"/>
          <w:b/>
          <w:i/>
          <w:spacing w:val="4"/>
          <w:w w:val="103"/>
          <w:kern w:val="14"/>
          <w:sz w:val="20"/>
        </w:rPr>
        <w:t xml:space="preserve"> </w:t>
      </w:r>
    </w:p>
    <w:p w14:paraId="0C896D50" w14:textId="098C0D74" w:rsidR="00281305" w:rsidRPr="00281305" w:rsidRDefault="00662761" w:rsidP="00281305">
      <w:pPr>
        <w:pStyle w:val="ListParagraph"/>
        <w:numPr>
          <w:ilvl w:val="0"/>
          <w:numId w:val="13"/>
        </w:numPr>
        <w:suppressAutoHyphens/>
        <w:spacing w:before="120" w:after="120"/>
        <w:ind w:left="1260" w:right="1267" w:hanging="630"/>
        <w:contextualSpacing w:val="0"/>
        <w:jc w:val="both"/>
        <w:rPr>
          <w:rFonts w:ascii="Times New Roman" w:hAnsi="Times New Roman"/>
          <w:b/>
          <w:i/>
          <w:spacing w:val="4"/>
          <w:w w:val="103"/>
          <w:kern w:val="14"/>
          <w:sz w:val="20"/>
        </w:rPr>
      </w:pPr>
      <w:r w:rsidRPr="00281305">
        <w:rPr>
          <w:rFonts w:ascii="Times New Roman" w:hAnsi="Times New Roman"/>
          <w:b/>
          <w:i/>
          <w:spacing w:val="4"/>
          <w:w w:val="103"/>
          <w:kern w:val="14"/>
          <w:sz w:val="20"/>
        </w:rPr>
        <w:t xml:space="preserve">Other revenue: </w:t>
      </w:r>
      <w:r w:rsidR="00F00B73" w:rsidRPr="0052437D">
        <w:rPr>
          <w:rFonts w:ascii="Times New Roman" w:hAnsi="Times New Roman"/>
          <w:bCs/>
          <w:iCs/>
          <w:spacing w:val="4"/>
          <w:w w:val="103"/>
          <w:kern w:val="14"/>
          <w:sz w:val="20"/>
        </w:rPr>
        <w:t>R</w:t>
      </w:r>
      <w:r w:rsidRPr="0052437D">
        <w:rPr>
          <w:rFonts w:ascii="Times New Roman" w:hAnsi="Times New Roman"/>
          <w:bCs/>
          <w:iCs/>
          <w:spacing w:val="4"/>
          <w:w w:val="103"/>
          <w:kern w:val="14"/>
          <w:sz w:val="20"/>
        </w:rPr>
        <w:t xml:space="preserve">evenue from sources other than contributions and investments, for example, </w:t>
      </w:r>
      <w:r w:rsidR="009733A0" w:rsidRPr="0052437D">
        <w:rPr>
          <w:rFonts w:ascii="Times New Roman" w:hAnsi="Times New Roman"/>
          <w:bCs/>
          <w:iCs/>
          <w:spacing w:val="4"/>
          <w:w w:val="103"/>
          <w:kern w:val="14"/>
          <w:sz w:val="20"/>
        </w:rPr>
        <w:t xml:space="preserve">revenue from </w:t>
      </w:r>
      <w:r w:rsidR="006C6D79" w:rsidRPr="0052437D">
        <w:rPr>
          <w:rFonts w:ascii="Times New Roman" w:hAnsi="Times New Roman"/>
          <w:bCs/>
          <w:iCs/>
          <w:spacing w:val="4"/>
          <w:w w:val="103"/>
          <w:kern w:val="14"/>
          <w:sz w:val="20"/>
        </w:rPr>
        <w:t xml:space="preserve">sale of </w:t>
      </w:r>
      <w:r w:rsidR="009733A0" w:rsidRPr="0052437D">
        <w:rPr>
          <w:rFonts w:ascii="Times New Roman" w:hAnsi="Times New Roman"/>
          <w:bCs/>
          <w:iCs/>
          <w:spacing w:val="4"/>
          <w:w w:val="103"/>
          <w:kern w:val="14"/>
          <w:sz w:val="20"/>
        </w:rPr>
        <w:t xml:space="preserve">goods and </w:t>
      </w:r>
      <w:r w:rsidR="006C6D79" w:rsidRPr="0052437D">
        <w:rPr>
          <w:rFonts w:ascii="Times New Roman" w:hAnsi="Times New Roman"/>
          <w:bCs/>
          <w:iCs/>
          <w:spacing w:val="4"/>
          <w:w w:val="103"/>
          <w:kern w:val="14"/>
          <w:sz w:val="20"/>
        </w:rPr>
        <w:t>provision of services, such as procurement, training, and other services to governments</w:t>
      </w:r>
      <w:r w:rsidR="009733A0" w:rsidRPr="0052437D">
        <w:rPr>
          <w:rFonts w:ascii="Times New Roman" w:hAnsi="Times New Roman"/>
          <w:bCs/>
          <w:iCs/>
          <w:spacing w:val="4"/>
          <w:w w:val="103"/>
          <w:kern w:val="14"/>
          <w:sz w:val="20"/>
        </w:rPr>
        <w:t>, UN agencies and other parties,</w:t>
      </w:r>
      <w:r w:rsidR="006C6D79" w:rsidRPr="0052437D">
        <w:rPr>
          <w:rFonts w:ascii="Times New Roman" w:hAnsi="Times New Roman"/>
          <w:bCs/>
          <w:iCs/>
          <w:spacing w:val="4"/>
          <w:w w:val="103"/>
          <w:kern w:val="14"/>
          <w:sz w:val="20"/>
        </w:rPr>
        <w:t xml:space="preserve"> </w:t>
      </w:r>
      <w:r w:rsidRPr="0052437D">
        <w:rPr>
          <w:rFonts w:ascii="Times New Roman" w:hAnsi="Times New Roman"/>
          <w:bCs/>
          <w:iCs/>
          <w:spacing w:val="4"/>
          <w:w w:val="103"/>
          <w:kern w:val="14"/>
          <w:sz w:val="20"/>
        </w:rPr>
        <w:t xml:space="preserve">foreign exchange gains, common services and miscellaneous revenue, and </w:t>
      </w:r>
      <w:r w:rsidR="009733A0" w:rsidRPr="0052437D">
        <w:rPr>
          <w:rFonts w:ascii="Times New Roman" w:hAnsi="Times New Roman"/>
          <w:bCs/>
          <w:iCs/>
          <w:spacing w:val="4"/>
          <w:w w:val="103"/>
          <w:kern w:val="14"/>
          <w:sz w:val="20"/>
        </w:rPr>
        <w:t>cost recovery revenue</w:t>
      </w:r>
      <w:r w:rsidRPr="0052437D">
        <w:rPr>
          <w:rFonts w:ascii="Times New Roman" w:hAnsi="Times New Roman"/>
          <w:bCs/>
          <w:iCs/>
          <w:spacing w:val="4"/>
          <w:w w:val="103"/>
          <w:kern w:val="14"/>
          <w:sz w:val="20"/>
        </w:rPr>
        <w:t>.</w:t>
      </w:r>
    </w:p>
    <w:p w14:paraId="6FA4FD06" w14:textId="77777777" w:rsidR="00B1400D" w:rsidRPr="008014E4"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8014E4">
        <w:rPr>
          <w:rFonts w:ascii="Times New Roman" w:hAnsi="Times New Roman"/>
          <w:b/>
          <w:bCs/>
          <w:i/>
          <w:spacing w:val="4"/>
          <w:w w:val="103"/>
          <w:kern w:val="14"/>
          <w:sz w:val="20"/>
        </w:rPr>
        <w:t>Special purpose activities:</w:t>
      </w:r>
      <w:r w:rsidRPr="00BC0466">
        <w:rPr>
          <w:rFonts w:ascii="Times New Roman" w:hAnsi="Times New Roman"/>
          <w:i/>
          <w:spacing w:val="4"/>
          <w:w w:val="103"/>
          <w:kern w:val="14"/>
          <w:sz w:val="20"/>
        </w:rPr>
        <w:t xml:space="preserve">  </w:t>
      </w:r>
      <w:r w:rsidR="00B1400D" w:rsidRPr="008014E4">
        <w:rPr>
          <w:rFonts w:ascii="Times New Roman" w:hAnsi="Times New Roman"/>
          <w:iCs/>
          <w:spacing w:val="4"/>
          <w:w w:val="103"/>
          <w:kern w:val="14"/>
          <w:sz w:val="20"/>
        </w:rPr>
        <w:t>Activities and associated costs of (a) capital investments; and (b) non-UNDP operations administered by UNDP.</w:t>
      </w:r>
    </w:p>
    <w:p w14:paraId="6FA4FD07" w14:textId="77777777" w:rsidR="00634F26" w:rsidRPr="008014E4" w:rsidRDefault="00634F26" w:rsidP="00BC0466">
      <w:pPr>
        <w:pStyle w:val="ListParagraph"/>
        <w:numPr>
          <w:ilvl w:val="0"/>
          <w:numId w:val="28"/>
        </w:numPr>
        <w:tabs>
          <w:tab w:val="left" w:pos="1260"/>
        </w:tabs>
        <w:suppressAutoHyphens/>
        <w:spacing w:before="120" w:after="120"/>
        <w:ind w:left="360" w:right="1267"/>
        <w:contextualSpacing w:val="0"/>
        <w:jc w:val="both"/>
        <w:rPr>
          <w:rFonts w:ascii="Times New Roman" w:hAnsi="Times New Roman"/>
          <w:iCs/>
          <w:spacing w:val="4"/>
          <w:w w:val="103"/>
          <w:kern w:val="14"/>
          <w:sz w:val="20"/>
        </w:rPr>
      </w:pPr>
      <w:r w:rsidRPr="008014E4">
        <w:rPr>
          <w:rFonts w:ascii="Times New Roman" w:hAnsi="Times New Roman"/>
          <w:b/>
          <w:bCs/>
          <w:i/>
          <w:spacing w:val="4"/>
          <w:w w:val="103"/>
          <w:kern w:val="14"/>
          <w:sz w:val="20"/>
        </w:rPr>
        <w:t>United Nations development coordination</w:t>
      </w:r>
      <w:r w:rsidR="004A48BC" w:rsidRPr="008014E4">
        <w:rPr>
          <w:rFonts w:ascii="Times New Roman" w:hAnsi="Times New Roman"/>
          <w:b/>
          <w:bCs/>
          <w:i/>
          <w:spacing w:val="4"/>
          <w:w w:val="103"/>
          <w:kern w:val="14"/>
          <w:sz w:val="20"/>
        </w:rPr>
        <w:t xml:space="preserve"> activities</w:t>
      </w:r>
      <w:r w:rsidRPr="008014E4">
        <w:rPr>
          <w:rFonts w:ascii="Times New Roman" w:hAnsi="Times New Roman"/>
          <w:b/>
          <w:bCs/>
          <w:i/>
          <w:spacing w:val="4"/>
          <w:w w:val="103"/>
          <w:kern w:val="14"/>
          <w:sz w:val="20"/>
        </w:rPr>
        <w:t>:</w:t>
      </w:r>
      <w:r w:rsidRPr="00BC0466">
        <w:rPr>
          <w:rFonts w:ascii="Times New Roman" w:hAnsi="Times New Roman"/>
          <w:i/>
          <w:spacing w:val="4"/>
          <w:w w:val="103"/>
          <w:kern w:val="14"/>
          <w:sz w:val="20"/>
        </w:rPr>
        <w:t xml:space="preserve"> </w:t>
      </w:r>
      <w:r w:rsidRPr="008014E4">
        <w:rPr>
          <w:rFonts w:ascii="Times New Roman" w:hAnsi="Times New Roman"/>
          <w:iCs/>
          <w:spacing w:val="4"/>
          <w:w w:val="103"/>
          <w:kern w:val="14"/>
          <w:sz w:val="20"/>
        </w:rPr>
        <w:t>Activities and associated costs supporting the coordination of development activities of the United Nations system.</w:t>
      </w: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4CCD2182"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DA706F">
      <w:endnotePr>
        <w:numFmt w:val="decimal"/>
      </w:endnotePr>
      <w:pgSz w:w="12240" w:h="15840"/>
      <w:pgMar w:top="171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A408" w14:textId="77777777" w:rsidR="003711A6" w:rsidRDefault="003711A6">
      <w:pPr>
        <w:spacing w:line="20" w:lineRule="exact"/>
      </w:pPr>
    </w:p>
  </w:endnote>
  <w:endnote w:type="continuationSeparator" w:id="0">
    <w:p w14:paraId="2F46E831" w14:textId="77777777" w:rsidR="003711A6" w:rsidRDefault="003711A6">
      <w:pPr>
        <w:pStyle w:val="GCHEADER"/>
      </w:pPr>
      <w:r>
        <w:rPr>
          <w:rFonts w:ascii="Courier" w:hAnsi="Courier"/>
          <w:b w:val="0"/>
          <w:sz w:val="24"/>
          <w:lang w:val="en-US"/>
        </w:rPr>
        <w:t xml:space="preserve"> </w:t>
      </w:r>
    </w:p>
  </w:endnote>
  <w:endnote w:type="continuationNotice" w:id="1">
    <w:p w14:paraId="00F49769" w14:textId="77777777" w:rsidR="003711A6" w:rsidRDefault="003711A6">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F937" w14:textId="77777777" w:rsidR="003711A6" w:rsidRDefault="003711A6">
      <w:pPr>
        <w:pStyle w:val="GCHEADER"/>
      </w:pPr>
      <w:r>
        <w:rPr>
          <w:rFonts w:ascii="Courier" w:hAnsi="Courier"/>
          <w:b w:val="0"/>
          <w:sz w:val="24"/>
          <w:lang w:val="en-US"/>
        </w:rPr>
        <w:separator/>
      </w:r>
    </w:p>
  </w:footnote>
  <w:footnote w:type="continuationSeparator" w:id="0">
    <w:p w14:paraId="25631672" w14:textId="77777777" w:rsidR="003711A6" w:rsidRDefault="0037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0" w14:textId="5CECCFE4" w:rsidR="00DB26B2" w:rsidRPr="004B3F55" w:rsidRDefault="00DB26B2" w:rsidP="004B3F55">
    <w:pPr>
      <w:pStyle w:val="Header"/>
      <w:jc w:val="right"/>
      <w:rPr>
        <w:rFonts w:ascii="Times New Roman" w:hAnsi="Times New Roman"/>
        <w:sz w:val="18"/>
        <w:szCs w:val="17"/>
      </w:rPr>
    </w:pPr>
    <w:r>
      <w:tab/>
    </w:r>
    <w:r>
      <w:tab/>
    </w:r>
    <w:r w:rsidR="006509F0">
      <w:rPr>
        <w:rFonts w:ascii="Times New Roman" w:hAnsi="Times New Roman"/>
        <w:b/>
        <w:sz w:val="18"/>
        <w:szCs w:val="17"/>
      </w:rPr>
      <w:t xml:space="preserve">Appendices I-V to Annex I to </w:t>
    </w:r>
    <w:r w:rsidR="006509F0" w:rsidRPr="002B5574">
      <w:rPr>
        <w:rFonts w:ascii="Times New Roman" w:hAnsi="Times New Roman"/>
        <w:b/>
        <w:sz w:val="18"/>
        <w:szCs w:val="17"/>
      </w:rPr>
      <w:t>DP/20</w:t>
    </w:r>
    <w:r w:rsidR="006509F0">
      <w:rPr>
        <w:rFonts w:ascii="Times New Roman" w:hAnsi="Times New Roman"/>
        <w:b/>
        <w:sz w:val="18"/>
        <w:szCs w:val="17"/>
      </w:rPr>
      <w:t>20</w:t>
    </w:r>
    <w:r w:rsidR="006509F0" w:rsidRPr="002B5574">
      <w:rPr>
        <w:rFonts w:ascii="Times New Roman" w:hAnsi="Times New Roman"/>
        <w:b/>
        <w:sz w:val="18"/>
        <w:szCs w:val="17"/>
      </w:rPr>
      <w:t>/</w:t>
    </w:r>
    <w:r w:rsidR="006509F0">
      <w:rPr>
        <w:rFonts w:ascii="Times New Roman" w:hAnsi="Times New Roman"/>
        <w:b/>
        <w:sz w:val="18"/>
        <w:szCs w:val="17"/>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FD11" w14:textId="2838DCF7" w:rsidR="00DB26B2" w:rsidRPr="002B5574" w:rsidRDefault="006509F0">
    <w:pPr>
      <w:pStyle w:val="Header"/>
      <w:rPr>
        <w:rFonts w:ascii="Times New Roman" w:hAnsi="Times New Roman"/>
        <w:sz w:val="18"/>
        <w:szCs w:val="17"/>
      </w:rPr>
    </w:pPr>
    <w:r>
      <w:rPr>
        <w:rFonts w:ascii="Times New Roman" w:hAnsi="Times New Roman"/>
        <w:b/>
        <w:sz w:val="18"/>
        <w:szCs w:val="17"/>
      </w:rPr>
      <w:t xml:space="preserve">Appendices I-V to </w:t>
    </w:r>
    <w:r w:rsidR="00545F48">
      <w:rPr>
        <w:rFonts w:ascii="Times New Roman" w:hAnsi="Times New Roman"/>
        <w:b/>
        <w:sz w:val="18"/>
        <w:szCs w:val="17"/>
      </w:rPr>
      <w:t xml:space="preserve">Annex </w:t>
    </w:r>
    <w:r w:rsidR="000B77E5">
      <w:rPr>
        <w:rFonts w:ascii="Times New Roman" w:hAnsi="Times New Roman"/>
        <w:b/>
        <w:sz w:val="18"/>
        <w:szCs w:val="17"/>
      </w:rPr>
      <w:t>I</w:t>
    </w:r>
    <w:r w:rsidR="00E51EC2">
      <w:rPr>
        <w:rFonts w:ascii="Times New Roman" w:hAnsi="Times New Roman"/>
        <w:b/>
        <w:sz w:val="18"/>
        <w:szCs w:val="17"/>
      </w:rPr>
      <w:t xml:space="preserve"> to </w:t>
    </w:r>
    <w:r w:rsidR="00DB26B2" w:rsidRPr="002B5574">
      <w:rPr>
        <w:rFonts w:ascii="Times New Roman" w:hAnsi="Times New Roman"/>
        <w:b/>
        <w:sz w:val="18"/>
        <w:szCs w:val="17"/>
      </w:rPr>
      <w:t>DP/20</w:t>
    </w:r>
    <w:r w:rsidR="00E51EC2">
      <w:rPr>
        <w:rFonts w:ascii="Times New Roman" w:hAnsi="Times New Roman"/>
        <w:b/>
        <w:sz w:val="18"/>
        <w:szCs w:val="17"/>
      </w:rPr>
      <w:t>20</w:t>
    </w:r>
    <w:r w:rsidR="00DB26B2" w:rsidRPr="002B5574">
      <w:rPr>
        <w:rFonts w:ascii="Times New Roman" w:hAnsi="Times New Roman"/>
        <w:b/>
        <w:sz w:val="18"/>
        <w:szCs w:val="17"/>
      </w:rPr>
      <w:t>/</w:t>
    </w:r>
    <w:r w:rsidR="00E51EC2">
      <w:rPr>
        <w:rFonts w:ascii="Times New Roman" w:hAnsi="Times New Roman"/>
        <w:b/>
        <w:sz w:val="18"/>
        <w:szCs w:val="17"/>
      </w:rPr>
      <w:t>2</w:t>
    </w:r>
    <w:r>
      <w:rPr>
        <w:rFonts w:ascii="Times New Roman" w:hAnsi="Times New Roman"/>
        <w:b/>
        <w:sz w:val="18"/>
        <w:szCs w:val="1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9C16C2"/>
    <w:multiLevelType w:val="hybridMultilevel"/>
    <w:tmpl w:val="6ACEED18"/>
    <w:lvl w:ilvl="0" w:tplc="0D2A5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3C5"/>
    <w:multiLevelType w:val="hybridMultilevel"/>
    <w:tmpl w:val="436AB096"/>
    <w:lvl w:ilvl="0" w:tplc="C5C6CB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B1F23"/>
    <w:multiLevelType w:val="hybridMultilevel"/>
    <w:tmpl w:val="DCA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5" w15:restartNumberingAfterBreak="0">
    <w:nsid w:val="3FB12767"/>
    <w:multiLevelType w:val="hybridMultilevel"/>
    <w:tmpl w:val="BDFE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9C76001"/>
    <w:multiLevelType w:val="hybridMultilevel"/>
    <w:tmpl w:val="9EB2A3F6"/>
    <w:lvl w:ilvl="0" w:tplc="C5C6CBFE">
      <w:numFmt w:val="bullet"/>
      <w:lvlText w:val="-"/>
      <w:lvlJc w:val="left"/>
      <w:pPr>
        <w:ind w:left="720" w:hanging="360"/>
      </w:pPr>
      <w:rPr>
        <w:rFonts w:ascii="Times New Roman" w:eastAsia="Times New Roman" w:hAnsi="Times New Roman" w:cs="Times New Roman" w:hint="default"/>
      </w:rPr>
    </w:lvl>
    <w:lvl w:ilvl="1" w:tplc="C5C6CB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769"/>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F4750"/>
    <w:multiLevelType w:val="hybridMultilevel"/>
    <w:tmpl w:val="AE4AE76E"/>
    <w:lvl w:ilvl="0" w:tplc="0409000F">
      <w:start w:val="1"/>
      <w:numFmt w:val="decimal"/>
      <w:lvlText w:val="%1."/>
      <w:lvlJc w:val="left"/>
      <w:pPr>
        <w:ind w:left="1530" w:hanging="360"/>
      </w:pPr>
    </w:lvl>
    <w:lvl w:ilvl="1" w:tplc="0D2A5E5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A074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14"/>
  </w:num>
  <w:num w:numId="4">
    <w:abstractNumId w:val="17"/>
  </w:num>
  <w:num w:numId="5">
    <w:abstractNumId w:val="18"/>
  </w:num>
  <w:num w:numId="6">
    <w:abstractNumId w:val="4"/>
  </w:num>
  <w:num w:numId="7">
    <w:abstractNumId w:val="22"/>
  </w:num>
  <w:num w:numId="8">
    <w:abstractNumId w:val="0"/>
  </w:num>
  <w:num w:numId="9">
    <w:abstractNumId w:val="20"/>
  </w:num>
  <w:num w:numId="10">
    <w:abstractNumId w:val="1"/>
  </w:num>
  <w:num w:numId="11">
    <w:abstractNumId w:val="9"/>
  </w:num>
  <w:num w:numId="12">
    <w:abstractNumId w:val="19"/>
  </w:num>
  <w:num w:numId="13">
    <w:abstractNumId w:val="27"/>
  </w:num>
  <w:num w:numId="14">
    <w:abstractNumId w:val="2"/>
  </w:num>
  <w:num w:numId="15">
    <w:abstractNumId w:val="13"/>
  </w:num>
  <w:num w:numId="16">
    <w:abstractNumId w:val="16"/>
  </w:num>
  <w:num w:numId="17">
    <w:abstractNumId w:val="11"/>
  </w:num>
  <w:num w:numId="18">
    <w:abstractNumId w:val="6"/>
  </w:num>
  <w:num w:numId="19">
    <w:abstractNumId w:val="24"/>
  </w:num>
  <w:num w:numId="20">
    <w:abstractNumId w:val="3"/>
  </w:num>
  <w:num w:numId="21">
    <w:abstractNumId w:val="10"/>
  </w:num>
  <w:num w:numId="22">
    <w:abstractNumId w:val="25"/>
  </w:num>
  <w:num w:numId="23">
    <w:abstractNumId w:val="8"/>
  </w:num>
  <w:num w:numId="24">
    <w:abstractNumId w:val="21"/>
  </w:num>
  <w:num w:numId="25">
    <w:abstractNumId w:val="23"/>
  </w:num>
  <w:num w:numId="26">
    <w:abstractNumId w:val="26"/>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1B"/>
    <w:rsid w:val="00003393"/>
    <w:rsid w:val="00006C4F"/>
    <w:rsid w:val="00016189"/>
    <w:rsid w:val="00023F4D"/>
    <w:rsid w:val="000241D5"/>
    <w:rsid w:val="000328A2"/>
    <w:rsid w:val="00036CDB"/>
    <w:rsid w:val="00037006"/>
    <w:rsid w:val="00040936"/>
    <w:rsid w:val="00041A83"/>
    <w:rsid w:val="0004305D"/>
    <w:rsid w:val="00046D94"/>
    <w:rsid w:val="00053A25"/>
    <w:rsid w:val="000562BE"/>
    <w:rsid w:val="000612D8"/>
    <w:rsid w:val="000637D2"/>
    <w:rsid w:val="00081056"/>
    <w:rsid w:val="00081689"/>
    <w:rsid w:val="00081A8C"/>
    <w:rsid w:val="00083AB8"/>
    <w:rsid w:val="00083FDF"/>
    <w:rsid w:val="00094504"/>
    <w:rsid w:val="00097C53"/>
    <w:rsid w:val="000A1C3C"/>
    <w:rsid w:val="000A76F3"/>
    <w:rsid w:val="000B77E5"/>
    <w:rsid w:val="000C4988"/>
    <w:rsid w:val="000D28A1"/>
    <w:rsid w:val="000E25A7"/>
    <w:rsid w:val="000E3632"/>
    <w:rsid w:val="000E611B"/>
    <w:rsid w:val="000E6470"/>
    <w:rsid w:val="000E66EC"/>
    <w:rsid w:val="000F5CC0"/>
    <w:rsid w:val="00107975"/>
    <w:rsid w:val="00111425"/>
    <w:rsid w:val="00116269"/>
    <w:rsid w:val="0012182F"/>
    <w:rsid w:val="00126650"/>
    <w:rsid w:val="001349AD"/>
    <w:rsid w:val="00135355"/>
    <w:rsid w:val="001400E2"/>
    <w:rsid w:val="001409F1"/>
    <w:rsid w:val="00150C28"/>
    <w:rsid w:val="00157328"/>
    <w:rsid w:val="001609CF"/>
    <w:rsid w:val="00165B31"/>
    <w:rsid w:val="0018308A"/>
    <w:rsid w:val="00183A63"/>
    <w:rsid w:val="00184154"/>
    <w:rsid w:val="0019047E"/>
    <w:rsid w:val="001956C3"/>
    <w:rsid w:val="001A326B"/>
    <w:rsid w:val="001A7FAB"/>
    <w:rsid w:val="001B618D"/>
    <w:rsid w:val="001D30A4"/>
    <w:rsid w:val="001D37CF"/>
    <w:rsid w:val="001D770F"/>
    <w:rsid w:val="001E387E"/>
    <w:rsid w:val="001E65F9"/>
    <w:rsid w:val="001F2977"/>
    <w:rsid w:val="001F375E"/>
    <w:rsid w:val="0020446C"/>
    <w:rsid w:val="002251CD"/>
    <w:rsid w:val="00231DFF"/>
    <w:rsid w:val="00233A1D"/>
    <w:rsid w:val="00242168"/>
    <w:rsid w:val="00245996"/>
    <w:rsid w:val="00252342"/>
    <w:rsid w:val="00254C01"/>
    <w:rsid w:val="00255E46"/>
    <w:rsid w:val="002565A3"/>
    <w:rsid w:val="0026282B"/>
    <w:rsid w:val="00265F6A"/>
    <w:rsid w:val="00281305"/>
    <w:rsid w:val="002927C8"/>
    <w:rsid w:val="00295774"/>
    <w:rsid w:val="002B47AC"/>
    <w:rsid w:val="002B5574"/>
    <w:rsid w:val="002B563A"/>
    <w:rsid w:val="002C52BB"/>
    <w:rsid w:val="002D0A68"/>
    <w:rsid w:val="002D1120"/>
    <w:rsid w:val="002E3666"/>
    <w:rsid w:val="002E6121"/>
    <w:rsid w:val="002E689F"/>
    <w:rsid w:val="002E756F"/>
    <w:rsid w:val="002F0D20"/>
    <w:rsid w:val="002F218C"/>
    <w:rsid w:val="002F335D"/>
    <w:rsid w:val="002F43F9"/>
    <w:rsid w:val="00302623"/>
    <w:rsid w:val="00315109"/>
    <w:rsid w:val="003153DB"/>
    <w:rsid w:val="00330668"/>
    <w:rsid w:val="00333924"/>
    <w:rsid w:val="003370F3"/>
    <w:rsid w:val="00337D8F"/>
    <w:rsid w:val="00340490"/>
    <w:rsid w:val="00344C97"/>
    <w:rsid w:val="003531F6"/>
    <w:rsid w:val="00357024"/>
    <w:rsid w:val="00363460"/>
    <w:rsid w:val="00364999"/>
    <w:rsid w:val="003711A6"/>
    <w:rsid w:val="003718AF"/>
    <w:rsid w:val="003723AC"/>
    <w:rsid w:val="0037592D"/>
    <w:rsid w:val="00377306"/>
    <w:rsid w:val="00381883"/>
    <w:rsid w:val="003831E9"/>
    <w:rsid w:val="00386110"/>
    <w:rsid w:val="00386B29"/>
    <w:rsid w:val="003900E7"/>
    <w:rsid w:val="003911FA"/>
    <w:rsid w:val="00392378"/>
    <w:rsid w:val="003A12CF"/>
    <w:rsid w:val="003A1C5F"/>
    <w:rsid w:val="003B3DC1"/>
    <w:rsid w:val="003B6197"/>
    <w:rsid w:val="003C3C91"/>
    <w:rsid w:val="003C50B0"/>
    <w:rsid w:val="003C6D44"/>
    <w:rsid w:val="003D1107"/>
    <w:rsid w:val="003D26E6"/>
    <w:rsid w:val="003D50E5"/>
    <w:rsid w:val="003D5516"/>
    <w:rsid w:val="003D59D8"/>
    <w:rsid w:val="003D6F4E"/>
    <w:rsid w:val="003D7FCF"/>
    <w:rsid w:val="003E2514"/>
    <w:rsid w:val="003E3813"/>
    <w:rsid w:val="003E50D4"/>
    <w:rsid w:val="003E54F5"/>
    <w:rsid w:val="00407230"/>
    <w:rsid w:val="004074D3"/>
    <w:rsid w:val="00416E6D"/>
    <w:rsid w:val="00423E05"/>
    <w:rsid w:val="0045202B"/>
    <w:rsid w:val="00452955"/>
    <w:rsid w:val="00454FCC"/>
    <w:rsid w:val="00455C15"/>
    <w:rsid w:val="00461090"/>
    <w:rsid w:val="00465709"/>
    <w:rsid w:val="00467228"/>
    <w:rsid w:val="00472576"/>
    <w:rsid w:val="00474BA3"/>
    <w:rsid w:val="00480CEA"/>
    <w:rsid w:val="004A48BC"/>
    <w:rsid w:val="004A50A0"/>
    <w:rsid w:val="004A74A3"/>
    <w:rsid w:val="004B3F55"/>
    <w:rsid w:val="004C031F"/>
    <w:rsid w:val="004C44B5"/>
    <w:rsid w:val="004C50EC"/>
    <w:rsid w:val="004E2071"/>
    <w:rsid w:val="004E78D5"/>
    <w:rsid w:val="004F7083"/>
    <w:rsid w:val="0050176B"/>
    <w:rsid w:val="005129A1"/>
    <w:rsid w:val="00513F4D"/>
    <w:rsid w:val="00515799"/>
    <w:rsid w:val="005202D2"/>
    <w:rsid w:val="0052437D"/>
    <w:rsid w:val="00525FB2"/>
    <w:rsid w:val="005339BA"/>
    <w:rsid w:val="00534B0D"/>
    <w:rsid w:val="00537C3C"/>
    <w:rsid w:val="0054291C"/>
    <w:rsid w:val="00545F48"/>
    <w:rsid w:val="00562BDA"/>
    <w:rsid w:val="00566F28"/>
    <w:rsid w:val="00567400"/>
    <w:rsid w:val="005803B3"/>
    <w:rsid w:val="00580D0B"/>
    <w:rsid w:val="005833F0"/>
    <w:rsid w:val="0059536B"/>
    <w:rsid w:val="005A22FD"/>
    <w:rsid w:val="005B013F"/>
    <w:rsid w:val="005C0D6A"/>
    <w:rsid w:val="005C2257"/>
    <w:rsid w:val="005C3968"/>
    <w:rsid w:val="005D0061"/>
    <w:rsid w:val="005F192C"/>
    <w:rsid w:val="00603FAE"/>
    <w:rsid w:val="0061043C"/>
    <w:rsid w:val="00613B0C"/>
    <w:rsid w:val="00614F06"/>
    <w:rsid w:val="0062316B"/>
    <w:rsid w:val="00625113"/>
    <w:rsid w:val="0062708A"/>
    <w:rsid w:val="00630651"/>
    <w:rsid w:val="00634F26"/>
    <w:rsid w:val="0064251F"/>
    <w:rsid w:val="0064465E"/>
    <w:rsid w:val="006463A5"/>
    <w:rsid w:val="006509F0"/>
    <w:rsid w:val="006516C4"/>
    <w:rsid w:val="006611BB"/>
    <w:rsid w:val="0066246C"/>
    <w:rsid w:val="00662761"/>
    <w:rsid w:val="00672053"/>
    <w:rsid w:val="00686B26"/>
    <w:rsid w:val="006916C6"/>
    <w:rsid w:val="00695941"/>
    <w:rsid w:val="006A08A1"/>
    <w:rsid w:val="006B1340"/>
    <w:rsid w:val="006B4972"/>
    <w:rsid w:val="006B5F79"/>
    <w:rsid w:val="006B729E"/>
    <w:rsid w:val="006C0727"/>
    <w:rsid w:val="006C1A4B"/>
    <w:rsid w:val="006C3E9F"/>
    <w:rsid w:val="006C5EC4"/>
    <w:rsid w:val="006C6D79"/>
    <w:rsid w:val="006D3023"/>
    <w:rsid w:val="006D414D"/>
    <w:rsid w:val="006E23EA"/>
    <w:rsid w:val="006E47EA"/>
    <w:rsid w:val="006F7A14"/>
    <w:rsid w:val="007303C6"/>
    <w:rsid w:val="00736089"/>
    <w:rsid w:val="00740A91"/>
    <w:rsid w:val="007416B9"/>
    <w:rsid w:val="007602D5"/>
    <w:rsid w:val="007657B4"/>
    <w:rsid w:val="007677E0"/>
    <w:rsid w:val="007772BE"/>
    <w:rsid w:val="00777C57"/>
    <w:rsid w:val="00781BC7"/>
    <w:rsid w:val="00791E92"/>
    <w:rsid w:val="00795CBB"/>
    <w:rsid w:val="007B2C86"/>
    <w:rsid w:val="007B7D6C"/>
    <w:rsid w:val="007C27E4"/>
    <w:rsid w:val="007D1306"/>
    <w:rsid w:val="007D66E8"/>
    <w:rsid w:val="007E7170"/>
    <w:rsid w:val="007F1E56"/>
    <w:rsid w:val="007F306E"/>
    <w:rsid w:val="007F75AA"/>
    <w:rsid w:val="008014E4"/>
    <w:rsid w:val="00801759"/>
    <w:rsid w:val="00801BEE"/>
    <w:rsid w:val="0080202A"/>
    <w:rsid w:val="00807BC6"/>
    <w:rsid w:val="0081112C"/>
    <w:rsid w:val="0081134A"/>
    <w:rsid w:val="00813FBB"/>
    <w:rsid w:val="008229B3"/>
    <w:rsid w:val="00834F48"/>
    <w:rsid w:val="00847D93"/>
    <w:rsid w:val="00853F33"/>
    <w:rsid w:val="0086156F"/>
    <w:rsid w:val="00861F3A"/>
    <w:rsid w:val="00864721"/>
    <w:rsid w:val="00865EB3"/>
    <w:rsid w:val="00874204"/>
    <w:rsid w:val="00881E2C"/>
    <w:rsid w:val="00891152"/>
    <w:rsid w:val="00897750"/>
    <w:rsid w:val="008A51AD"/>
    <w:rsid w:val="008A6116"/>
    <w:rsid w:val="008B714E"/>
    <w:rsid w:val="008B79A7"/>
    <w:rsid w:val="008C115E"/>
    <w:rsid w:val="008C1BAE"/>
    <w:rsid w:val="008D356C"/>
    <w:rsid w:val="008D36FD"/>
    <w:rsid w:val="008D7927"/>
    <w:rsid w:val="008D7AEA"/>
    <w:rsid w:val="008E12EB"/>
    <w:rsid w:val="008E6887"/>
    <w:rsid w:val="008E7D31"/>
    <w:rsid w:val="008F7962"/>
    <w:rsid w:val="00914AE9"/>
    <w:rsid w:val="00917AE3"/>
    <w:rsid w:val="00921EA5"/>
    <w:rsid w:val="009252FE"/>
    <w:rsid w:val="009301D7"/>
    <w:rsid w:val="00932136"/>
    <w:rsid w:val="0093528B"/>
    <w:rsid w:val="00945FD1"/>
    <w:rsid w:val="009576E9"/>
    <w:rsid w:val="0096229E"/>
    <w:rsid w:val="00966C75"/>
    <w:rsid w:val="00967E3E"/>
    <w:rsid w:val="009733A0"/>
    <w:rsid w:val="00983DA4"/>
    <w:rsid w:val="00985905"/>
    <w:rsid w:val="009A514B"/>
    <w:rsid w:val="009A6BA0"/>
    <w:rsid w:val="009B0444"/>
    <w:rsid w:val="009B22F8"/>
    <w:rsid w:val="009B46D6"/>
    <w:rsid w:val="009C3C81"/>
    <w:rsid w:val="009C474C"/>
    <w:rsid w:val="009D1C5D"/>
    <w:rsid w:val="009D6833"/>
    <w:rsid w:val="009F07C1"/>
    <w:rsid w:val="009F7BB2"/>
    <w:rsid w:val="00A0351B"/>
    <w:rsid w:val="00A04DD9"/>
    <w:rsid w:val="00A07F38"/>
    <w:rsid w:val="00A10E7B"/>
    <w:rsid w:val="00A2035A"/>
    <w:rsid w:val="00A30FF0"/>
    <w:rsid w:val="00A31A2A"/>
    <w:rsid w:val="00A372E3"/>
    <w:rsid w:val="00A40671"/>
    <w:rsid w:val="00A4070B"/>
    <w:rsid w:val="00A4467E"/>
    <w:rsid w:val="00A45BEC"/>
    <w:rsid w:val="00A47FA3"/>
    <w:rsid w:val="00A578CD"/>
    <w:rsid w:val="00A60BBA"/>
    <w:rsid w:val="00A613DD"/>
    <w:rsid w:val="00A61A49"/>
    <w:rsid w:val="00A663AB"/>
    <w:rsid w:val="00A710C6"/>
    <w:rsid w:val="00A7153E"/>
    <w:rsid w:val="00A74EAA"/>
    <w:rsid w:val="00A768F5"/>
    <w:rsid w:val="00A76E0F"/>
    <w:rsid w:val="00A87EB1"/>
    <w:rsid w:val="00AA5B88"/>
    <w:rsid w:val="00AA5CA8"/>
    <w:rsid w:val="00AB1862"/>
    <w:rsid w:val="00AB51B7"/>
    <w:rsid w:val="00AC7166"/>
    <w:rsid w:val="00AD2A52"/>
    <w:rsid w:val="00AD7282"/>
    <w:rsid w:val="00AD7765"/>
    <w:rsid w:val="00AF09B8"/>
    <w:rsid w:val="00AF09FB"/>
    <w:rsid w:val="00B02814"/>
    <w:rsid w:val="00B02E43"/>
    <w:rsid w:val="00B069B1"/>
    <w:rsid w:val="00B078BE"/>
    <w:rsid w:val="00B1400D"/>
    <w:rsid w:val="00B22C85"/>
    <w:rsid w:val="00B3039F"/>
    <w:rsid w:val="00B44878"/>
    <w:rsid w:val="00B4567E"/>
    <w:rsid w:val="00B456CE"/>
    <w:rsid w:val="00B47418"/>
    <w:rsid w:val="00B5005A"/>
    <w:rsid w:val="00B536CB"/>
    <w:rsid w:val="00B53BFC"/>
    <w:rsid w:val="00B777C3"/>
    <w:rsid w:val="00B8440D"/>
    <w:rsid w:val="00B93CD7"/>
    <w:rsid w:val="00BA7B54"/>
    <w:rsid w:val="00BB1944"/>
    <w:rsid w:val="00BC0466"/>
    <w:rsid w:val="00BC6289"/>
    <w:rsid w:val="00BD0B37"/>
    <w:rsid w:val="00BD35B2"/>
    <w:rsid w:val="00BD6B76"/>
    <w:rsid w:val="00BE4EC0"/>
    <w:rsid w:val="00BF4077"/>
    <w:rsid w:val="00BF57E4"/>
    <w:rsid w:val="00BF5F6C"/>
    <w:rsid w:val="00C03711"/>
    <w:rsid w:val="00C07643"/>
    <w:rsid w:val="00C13529"/>
    <w:rsid w:val="00C14DEE"/>
    <w:rsid w:val="00C23D9B"/>
    <w:rsid w:val="00C2559E"/>
    <w:rsid w:val="00C27A5E"/>
    <w:rsid w:val="00C33119"/>
    <w:rsid w:val="00C455B7"/>
    <w:rsid w:val="00C476B6"/>
    <w:rsid w:val="00C516D2"/>
    <w:rsid w:val="00C52301"/>
    <w:rsid w:val="00C52A9B"/>
    <w:rsid w:val="00C52DDE"/>
    <w:rsid w:val="00C53421"/>
    <w:rsid w:val="00C5627D"/>
    <w:rsid w:val="00C57C54"/>
    <w:rsid w:val="00C61BB2"/>
    <w:rsid w:val="00C70F45"/>
    <w:rsid w:val="00C76EC2"/>
    <w:rsid w:val="00C83B4C"/>
    <w:rsid w:val="00CB4C54"/>
    <w:rsid w:val="00CB4C5B"/>
    <w:rsid w:val="00CD0FA6"/>
    <w:rsid w:val="00CD33CA"/>
    <w:rsid w:val="00CD34FF"/>
    <w:rsid w:val="00CD6073"/>
    <w:rsid w:val="00CE0226"/>
    <w:rsid w:val="00CE14C8"/>
    <w:rsid w:val="00CE3CE7"/>
    <w:rsid w:val="00D0053D"/>
    <w:rsid w:val="00D008AB"/>
    <w:rsid w:val="00D05007"/>
    <w:rsid w:val="00D1172A"/>
    <w:rsid w:val="00D23A47"/>
    <w:rsid w:val="00D2462D"/>
    <w:rsid w:val="00D409E9"/>
    <w:rsid w:val="00D44885"/>
    <w:rsid w:val="00D50CF7"/>
    <w:rsid w:val="00D52E37"/>
    <w:rsid w:val="00D558A7"/>
    <w:rsid w:val="00D565F7"/>
    <w:rsid w:val="00D64ECF"/>
    <w:rsid w:val="00D700C5"/>
    <w:rsid w:val="00D7159D"/>
    <w:rsid w:val="00D73D84"/>
    <w:rsid w:val="00D85C35"/>
    <w:rsid w:val="00D86669"/>
    <w:rsid w:val="00D96FB8"/>
    <w:rsid w:val="00DA706F"/>
    <w:rsid w:val="00DB0466"/>
    <w:rsid w:val="00DB17B7"/>
    <w:rsid w:val="00DB26B2"/>
    <w:rsid w:val="00DB2ECA"/>
    <w:rsid w:val="00DB6747"/>
    <w:rsid w:val="00DD34F5"/>
    <w:rsid w:val="00DE0579"/>
    <w:rsid w:val="00DE1572"/>
    <w:rsid w:val="00DF132F"/>
    <w:rsid w:val="00DF2569"/>
    <w:rsid w:val="00E02EA4"/>
    <w:rsid w:val="00E061C8"/>
    <w:rsid w:val="00E11960"/>
    <w:rsid w:val="00E137E9"/>
    <w:rsid w:val="00E207E1"/>
    <w:rsid w:val="00E24923"/>
    <w:rsid w:val="00E259ED"/>
    <w:rsid w:val="00E27DBB"/>
    <w:rsid w:val="00E3069D"/>
    <w:rsid w:val="00E324C8"/>
    <w:rsid w:val="00E33C77"/>
    <w:rsid w:val="00E36F99"/>
    <w:rsid w:val="00E43691"/>
    <w:rsid w:val="00E45DDE"/>
    <w:rsid w:val="00E51EC2"/>
    <w:rsid w:val="00E520EA"/>
    <w:rsid w:val="00E55082"/>
    <w:rsid w:val="00E56C36"/>
    <w:rsid w:val="00E62607"/>
    <w:rsid w:val="00E64193"/>
    <w:rsid w:val="00E83613"/>
    <w:rsid w:val="00E85A8F"/>
    <w:rsid w:val="00E9083C"/>
    <w:rsid w:val="00E91A30"/>
    <w:rsid w:val="00E94537"/>
    <w:rsid w:val="00E96E4C"/>
    <w:rsid w:val="00EA1621"/>
    <w:rsid w:val="00EA32BB"/>
    <w:rsid w:val="00EB0DA9"/>
    <w:rsid w:val="00ED3606"/>
    <w:rsid w:val="00EF376B"/>
    <w:rsid w:val="00EF6F75"/>
    <w:rsid w:val="00F00B73"/>
    <w:rsid w:val="00F012F0"/>
    <w:rsid w:val="00F13983"/>
    <w:rsid w:val="00F21FD1"/>
    <w:rsid w:val="00F33456"/>
    <w:rsid w:val="00F4033F"/>
    <w:rsid w:val="00F40572"/>
    <w:rsid w:val="00F42624"/>
    <w:rsid w:val="00F4301F"/>
    <w:rsid w:val="00F44CF0"/>
    <w:rsid w:val="00F51994"/>
    <w:rsid w:val="00F5512C"/>
    <w:rsid w:val="00F56175"/>
    <w:rsid w:val="00F807ED"/>
    <w:rsid w:val="00F82C7F"/>
    <w:rsid w:val="00F94359"/>
    <w:rsid w:val="00F97443"/>
    <w:rsid w:val="00FB2146"/>
    <w:rsid w:val="00FB32C8"/>
    <w:rsid w:val="00FB4AE4"/>
    <w:rsid w:val="00FB6066"/>
    <w:rsid w:val="00FB6A40"/>
    <w:rsid w:val="00FC2BDC"/>
    <w:rsid w:val="00FC31FD"/>
    <w:rsid w:val="00FC7F51"/>
    <w:rsid w:val="00FD7013"/>
    <w:rsid w:val="00FD7B87"/>
    <w:rsid w:val="00FE0869"/>
    <w:rsid w:val="00FF1CDB"/>
    <w:rsid w:val="00FF265B"/>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4F5F1"/>
  <w15:docId w15:val="{260DA3E9-02B7-402B-AE1C-5483364F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8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 w:type="paragraph" w:styleId="CommentSubject">
    <w:name w:val="annotation subject"/>
    <w:basedOn w:val="CommentText"/>
    <w:next w:val="CommentText"/>
    <w:link w:val="CommentSubjectChar"/>
    <w:semiHidden/>
    <w:unhideWhenUsed/>
    <w:rsid w:val="003D5516"/>
    <w:rPr>
      <w:b/>
      <w:bCs/>
    </w:rPr>
  </w:style>
  <w:style w:type="character" w:customStyle="1" w:styleId="CommentSubjectChar">
    <w:name w:val="Comment Subject Char"/>
    <w:basedOn w:val="CommentTextChar"/>
    <w:link w:val="CommentSubject"/>
    <w:semiHidden/>
    <w:rsid w:val="003D5516"/>
    <w:rPr>
      <w:rFonts w:ascii="Courier" w:hAnsi="Courier"/>
      <w:b/>
      <w:bCs/>
    </w:rPr>
  </w:style>
  <w:style w:type="paragraph" w:customStyle="1" w:styleId="HCh">
    <w:name w:val="_ H _Ch"/>
    <w:basedOn w:val="Normal"/>
    <w:next w:val="SingleTxt"/>
    <w:rsid w:val="0037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eastAsia="MS Mincho" w:hAnsi="Times New Roman"/>
      <w:b/>
      <w:spacing w:val="-2"/>
      <w:w w:val="103"/>
      <w:kern w:val="14"/>
      <w:sz w:val="28"/>
      <w:lang w:val="en-GB"/>
    </w:rPr>
  </w:style>
  <w:style w:type="paragraph" w:customStyle="1" w:styleId="H1">
    <w:name w:val="_ H_1"/>
    <w:basedOn w:val="Normal"/>
    <w:next w:val="SingleTxt"/>
    <w:rsid w:val="007360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MS Mincho" w:hAnsi="Times New Roman"/>
      <w:b/>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6976">
      <w:bodyDiv w:val="1"/>
      <w:marLeft w:val="0"/>
      <w:marRight w:val="0"/>
      <w:marTop w:val="0"/>
      <w:marBottom w:val="0"/>
      <w:divBdr>
        <w:top w:val="none" w:sz="0" w:space="0" w:color="auto"/>
        <w:left w:val="none" w:sz="0" w:space="0" w:color="auto"/>
        <w:bottom w:val="none" w:sz="0" w:space="0" w:color="auto"/>
        <w:right w:val="none" w:sz="0" w:space="0" w:color="auto"/>
      </w:divBdr>
    </w:div>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948663296">
      <w:bodyDiv w:val="1"/>
      <w:marLeft w:val="0"/>
      <w:marRight w:val="0"/>
      <w:marTop w:val="0"/>
      <w:marBottom w:val="0"/>
      <w:divBdr>
        <w:top w:val="none" w:sz="0" w:space="0" w:color="auto"/>
        <w:left w:val="none" w:sz="0" w:space="0" w:color="auto"/>
        <w:bottom w:val="none" w:sz="0" w:space="0" w:color="auto"/>
        <w:right w:val="none" w:sz="0" w:space="0" w:color="auto"/>
      </w:divBdr>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36706305">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775176142">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1948660982">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28506861">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undp.unteamworks.org/node/369936"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F50AD-9F03-4C2F-877E-E01FBDC1E35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33856b32-dbbd-4996-9e5d-776de7c2e4f8"/>
    <ds:schemaRef ds:uri="http://schemas.microsoft.com/office/2006/documentManagement/types"/>
    <ds:schemaRef ds:uri="http://purl.org/dc/elements/1.1/"/>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7334AF77-ECAC-4B50-8AA0-363573F05141}">
  <ds:schemaRefs>
    <ds:schemaRef ds:uri="http://schemas.openxmlformats.org/officeDocument/2006/bibliography"/>
  </ds:schemaRefs>
</ds:datastoreItem>
</file>

<file path=customXml/itemProps3.xml><?xml version="1.0" encoding="utf-8"?>
<ds:datastoreItem xmlns:ds="http://schemas.openxmlformats.org/officeDocument/2006/customXml" ds:itemID="{1EA02A87-0C1F-413D-BEB2-0B59F9EF5ED8}">
  <ds:schemaRefs>
    <ds:schemaRef ds:uri="http://schemas.microsoft.com/sharepoint/v3/contenttype/forms"/>
  </ds:schemaRefs>
</ds:datastoreItem>
</file>

<file path=customXml/itemProps4.xml><?xml version="1.0" encoding="utf-8"?>
<ds:datastoreItem xmlns:ds="http://schemas.openxmlformats.org/officeDocument/2006/customXml" ds:itemID="{F9CD89AA-92E1-4703-8DED-081D3FFFC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Akiko Hasegawa</dc:creator>
  <cp:keywords/>
  <dc:description/>
  <cp:lastModifiedBy>Svetlana Iazykova</cp:lastModifiedBy>
  <cp:revision>2</cp:revision>
  <cp:lastPrinted>2019-07-19T14:14:00Z</cp:lastPrinted>
  <dcterms:created xsi:type="dcterms:W3CDTF">2020-08-03T23:41:00Z</dcterms:created>
  <dcterms:modified xsi:type="dcterms:W3CDTF">2020-08-03T23:41:00Z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